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84"/>
          <w:szCs w:val="84"/>
        </w:rPr>
      </w:pPr>
    </w:p>
    <w:p w:rsidR="002270D4" w:rsidRDefault="002270D4">
      <w:pPr>
        <w:pStyle w:val="Default"/>
        <w:jc w:val="center"/>
        <w:rPr>
          <w:sz w:val="84"/>
          <w:szCs w:val="84"/>
        </w:rPr>
      </w:pPr>
    </w:p>
    <w:p w:rsidR="002270D4" w:rsidRDefault="00F5767E">
      <w:pPr>
        <w:pStyle w:val="Default"/>
        <w:jc w:val="center"/>
        <w:rPr>
          <w:sz w:val="84"/>
          <w:szCs w:val="84"/>
        </w:rPr>
      </w:pPr>
      <w:r>
        <w:rPr>
          <w:rFonts w:hint="eastAsia"/>
          <w:sz w:val="84"/>
          <w:szCs w:val="84"/>
        </w:rPr>
        <w:t>2020年度</w:t>
      </w:r>
    </w:p>
    <w:p w:rsidR="002270D4" w:rsidRDefault="00F5767E">
      <w:pPr>
        <w:pStyle w:val="Default"/>
        <w:jc w:val="center"/>
        <w:rPr>
          <w:sz w:val="84"/>
          <w:szCs w:val="84"/>
        </w:rPr>
      </w:pPr>
      <w:r>
        <w:rPr>
          <w:rFonts w:hint="eastAsia"/>
          <w:sz w:val="84"/>
          <w:szCs w:val="84"/>
        </w:rPr>
        <w:t xml:space="preserve">  衡南县气象局部门 决算</w:t>
      </w: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jc w:val="center"/>
        <w:rPr>
          <w:sz w:val="56"/>
          <w:szCs w:val="56"/>
        </w:rPr>
      </w:pPr>
    </w:p>
    <w:p w:rsidR="002270D4" w:rsidRDefault="002270D4">
      <w:pPr>
        <w:pStyle w:val="Default"/>
        <w:spacing w:line="540" w:lineRule="exact"/>
        <w:jc w:val="center"/>
        <w:rPr>
          <w:sz w:val="56"/>
          <w:szCs w:val="56"/>
        </w:rPr>
      </w:pPr>
    </w:p>
    <w:p w:rsidR="002270D4" w:rsidRDefault="00F5767E">
      <w:pPr>
        <w:pStyle w:val="Default"/>
        <w:spacing w:line="520" w:lineRule="exact"/>
        <w:jc w:val="center"/>
        <w:rPr>
          <w:sz w:val="56"/>
          <w:szCs w:val="56"/>
        </w:rPr>
      </w:pPr>
      <w:r>
        <w:rPr>
          <w:rFonts w:hint="eastAsia"/>
          <w:sz w:val="56"/>
          <w:szCs w:val="56"/>
        </w:rPr>
        <w:t>目录</w:t>
      </w:r>
    </w:p>
    <w:p w:rsidR="002270D4" w:rsidRDefault="00F5767E">
      <w:pPr>
        <w:pStyle w:val="Default"/>
        <w:spacing w:line="520" w:lineRule="exact"/>
        <w:rPr>
          <w:rFonts w:ascii="仿宋_GB2312" w:hAnsi="仿宋_GB2312" w:cs="仿宋_GB2312"/>
          <w:b/>
          <w:sz w:val="28"/>
          <w:szCs w:val="28"/>
        </w:rPr>
      </w:pPr>
      <w:r>
        <w:rPr>
          <w:rFonts w:hint="eastAsia"/>
          <w:b/>
          <w:sz w:val="28"/>
          <w:szCs w:val="28"/>
        </w:rPr>
        <w:t>第一部分 单位概况</w:t>
      </w:r>
    </w:p>
    <w:p w:rsidR="002270D4" w:rsidRDefault="00F5767E">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2270D4" w:rsidRDefault="00F5767E" w:rsidP="00B30030">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2270D4" w:rsidRDefault="00F5767E">
      <w:pPr>
        <w:pStyle w:val="Default"/>
        <w:numPr>
          <w:ilvl w:val="0"/>
          <w:numId w:val="1"/>
        </w:numPr>
        <w:spacing w:line="520" w:lineRule="exact"/>
        <w:rPr>
          <w:rFonts w:hAnsi="仿宋_GB2312"/>
          <w:b/>
          <w:sz w:val="28"/>
          <w:szCs w:val="28"/>
        </w:rPr>
      </w:pPr>
      <w:r>
        <w:rPr>
          <w:rFonts w:hAnsi="仿宋_GB2312"/>
          <w:b/>
          <w:sz w:val="28"/>
          <w:szCs w:val="28"/>
        </w:rPr>
        <w:t>20</w:t>
      </w:r>
      <w:r>
        <w:rPr>
          <w:rFonts w:hAnsi="仿宋_GB2312" w:hint="eastAsia"/>
          <w:b/>
          <w:sz w:val="28"/>
          <w:szCs w:val="28"/>
        </w:rPr>
        <w:t>20年度部门决算表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一、收入支出决算总表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二、收入决算表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三、支出决算表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四、财政拨款收入支出决算总表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五、一般公共预算财政拨款支出决算表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六、一般公共预算财政拨款基本支出决算表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七、一般公共预算财政拨款“三公”经费支出决算表</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八、政府性基金预算财政拨款收入支出决算表</w:t>
      </w:r>
    </w:p>
    <w:p w:rsidR="002270D4" w:rsidRPr="00B30030"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九、国有资本经营预算财政拨款支出决算表</w:t>
      </w:r>
    </w:p>
    <w:p w:rsidR="002270D4" w:rsidRDefault="00F5767E">
      <w:pPr>
        <w:pStyle w:val="Default"/>
        <w:spacing w:line="520" w:lineRule="exact"/>
        <w:rPr>
          <w:rFonts w:ascii="仿宋_GB2312" w:hAnsi="仿宋_GB2312" w:cs="仿宋_GB2312"/>
          <w:b/>
          <w:sz w:val="28"/>
          <w:szCs w:val="28"/>
        </w:rPr>
      </w:pPr>
      <w:r>
        <w:rPr>
          <w:rFonts w:hAnsi="仿宋_GB2312" w:hint="eastAsia"/>
          <w:b/>
          <w:sz w:val="28"/>
          <w:szCs w:val="28"/>
        </w:rPr>
        <w:t xml:space="preserve">第三部分 </w:t>
      </w:r>
      <w:r>
        <w:rPr>
          <w:rFonts w:hAnsi="仿宋_GB2312"/>
          <w:b/>
          <w:sz w:val="28"/>
          <w:szCs w:val="28"/>
        </w:rPr>
        <w:t>20</w:t>
      </w:r>
      <w:r>
        <w:rPr>
          <w:rFonts w:hAnsi="仿宋_GB2312" w:hint="eastAsia"/>
          <w:b/>
          <w:sz w:val="28"/>
          <w:szCs w:val="28"/>
        </w:rPr>
        <w:t>20年度部门决算情况说明</w:t>
      </w:r>
    </w:p>
    <w:p w:rsidR="002270D4" w:rsidRDefault="00F5767E" w:rsidP="00B30030">
      <w:pPr>
        <w:pStyle w:val="Default"/>
        <w:snapToGrid w:val="0"/>
        <w:spacing w:line="360" w:lineRule="auto"/>
        <w:ind w:firstLineChars="200" w:firstLine="534"/>
        <w:rPr>
          <w:rFonts w:ascii="宋体" w:eastAsia="宋体" w:hAnsi="宋体" w:cs="宋体"/>
          <w:w w:val="96"/>
          <w:sz w:val="28"/>
          <w:szCs w:val="28"/>
        </w:rPr>
      </w:pPr>
      <w:r>
        <w:rPr>
          <w:rFonts w:ascii="宋体" w:eastAsia="宋体" w:hAnsi="宋体" w:cs="宋体" w:hint="eastAsia"/>
          <w:w w:val="96"/>
          <w:sz w:val="28"/>
          <w:szCs w:val="28"/>
        </w:rPr>
        <w:t>一、收入支出决算总体情况说明</w:t>
      </w:r>
    </w:p>
    <w:p w:rsidR="002270D4" w:rsidRDefault="00F5767E" w:rsidP="00B30030">
      <w:pPr>
        <w:adjustRightInd w:val="0"/>
        <w:snapToGrid w:val="0"/>
        <w:spacing w:line="360" w:lineRule="auto"/>
        <w:ind w:firstLineChars="200" w:firstLine="534"/>
        <w:jc w:val="left"/>
        <w:rPr>
          <w:rFonts w:ascii="宋体" w:eastAsia="宋体" w:hAnsi="宋体" w:cs="宋体"/>
          <w:w w:val="96"/>
          <w:sz w:val="28"/>
          <w:szCs w:val="28"/>
        </w:rPr>
      </w:pPr>
      <w:r>
        <w:rPr>
          <w:rFonts w:ascii="宋体" w:eastAsia="宋体" w:hAnsi="宋体" w:cs="宋体" w:hint="eastAsia"/>
          <w:w w:val="96"/>
          <w:sz w:val="28"/>
          <w:szCs w:val="28"/>
        </w:rPr>
        <w:t>二、收入决算情况说明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三、支出决算情况说明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四、财政拨款收入支出决算总体情况说明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五、一般公共预算财政拨款支出决算情况说明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六、一般公共预算财政拨款基本支出决算情况说明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七、一般公共预算财政拨款三公经费支出决算情况说明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八、政府性基金预算收入支出决算情况说明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lastRenderedPageBreak/>
        <w:t>九、国有资本经营预算财政拨款支出决算情况</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十、关于机关运行经费支出说明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十一、一般性支出情况说明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十二、关于政府采购支出说明</w:t>
      </w:r>
    </w:p>
    <w:p w:rsidR="002270D4"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十三、关于国有资产占用情况说明</w:t>
      </w:r>
    </w:p>
    <w:p w:rsidR="002270D4" w:rsidRPr="00B30030" w:rsidRDefault="00F5767E" w:rsidP="00B30030">
      <w:pPr>
        <w:autoSpaceDE w:val="0"/>
        <w:autoSpaceDN w:val="0"/>
        <w:adjustRightInd w:val="0"/>
        <w:snapToGrid w:val="0"/>
        <w:spacing w:line="360" w:lineRule="auto"/>
        <w:ind w:firstLineChars="200" w:firstLine="534"/>
        <w:jc w:val="left"/>
        <w:rPr>
          <w:rFonts w:ascii="宋体" w:eastAsia="宋体" w:hAnsi="宋体" w:cs="宋体"/>
          <w:color w:val="000000"/>
          <w:w w:val="96"/>
          <w:kern w:val="0"/>
          <w:sz w:val="28"/>
          <w:szCs w:val="28"/>
        </w:rPr>
      </w:pPr>
      <w:r>
        <w:rPr>
          <w:rFonts w:ascii="宋体" w:eastAsia="宋体" w:hAnsi="宋体" w:cs="宋体" w:hint="eastAsia"/>
          <w:color w:val="000000"/>
          <w:w w:val="96"/>
          <w:kern w:val="0"/>
          <w:sz w:val="28"/>
          <w:szCs w:val="28"/>
        </w:rPr>
        <w:t>十四、关于2020年度预算绩效情况说明</w:t>
      </w:r>
    </w:p>
    <w:p w:rsidR="002270D4" w:rsidRDefault="00F5767E">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w:t>
      </w:r>
      <w:r>
        <w:rPr>
          <w:rFonts w:ascii="黑体" w:eastAsia="黑体" w:hAnsi="黑体" w:cs="黑体" w:hint="eastAsia"/>
          <w:b/>
          <w:color w:val="000000"/>
          <w:kern w:val="0"/>
          <w:sz w:val="28"/>
          <w:szCs w:val="28"/>
        </w:rPr>
        <w:t xml:space="preserve"> </w:t>
      </w:r>
      <w:r>
        <w:rPr>
          <w:rFonts w:ascii="黑体" w:eastAsia="黑体" w:hAnsi="黑体" w:cs="黑体"/>
          <w:b/>
          <w:color w:val="000000"/>
          <w:kern w:val="0"/>
          <w:sz w:val="28"/>
          <w:szCs w:val="28"/>
        </w:rPr>
        <w:t>名词解释</w:t>
      </w:r>
    </w:p>
    <w:p w:rsidR="002270D4" w:rsidRDefault="00F5767E">
      <w:pPr>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第五部分</w:t>
      </w:r>
      <w:r>
        <w:rPr>
          <w:rFonts w:ascii="黑体" w:eastAsia="黑体" w:hAnsi="黑体" w:cs="黑体" w:hint="eastAsia"/>
          <w:b/>
          <w:color w:val="000000"/>
          <w:kern w:val="0"/>
          <w:sz w:val="28"/>
          <w:szCs w:val="28"/>
        </w:rPr>
        <w:t xml:space="preserve"> </w:t>
      </w:r>
      <w:r>
        <w:rPr>
          <w:rFonts w:ascii="黑体" w:eastAsia="黑体" w:hAnsi="黑体" w:cs="黑体"/>
          <w:b/>
          <w:color w:val="000000"/>
          <w:kern w:val="0"/>
          <w:sz w:val="28"/>
          <w:szCs w:val="28"/>
        </w:rPr>
        <w:t>附件</w:t>
      </w:r>
    </w:p>
    <w:p w:rsidR="002270D4" w:rsidRDefault="002270D4">
      <w:pPr>
        <w:jc w:val="center"/>
        <w:rPr>
          <w:sz w:val="72"/>
          <w:szCs w:val="72"/>
        </w:rPr>
      </w:pPr>
    </w:p>
    <w:p w:rsidR="002270D4" w:rsidRDefault="002270D4">
      <w:pPr>
        <w:rPr>
          <w:sz w:val="72"/>
          <w:szCs w:val="72"/>
        </w:rPr>
      </w:pPr>
    </w:p>
    <w:p w:rsidR="002270D4" w:rsidRDefault="002270D4">
      <w:pPr>
        <w:rPr>
          <w:sz w:val="72"/>
          <w:szCs w:val="72"/>
        </w:rPr>
      </w:pPr>
    </w:p>
    <w:p w:rsidR="002270D4" w:rsidRDefault="002270D4">
      <w:pPr>
        <w:rPr>
          <w:sz w:val="72"/>
          <w:szCs w:val="72"/>
        </w:rPr>
      </w:pPr>
    </w:p>
    <w:p w:rsidR="002270D4" w:rsidRDefault="002270D4">
      <w:pPr>
        <w:rPr>
          <w:sz w:val="72"/>
          <w:szCs w:val="72"/>
        </w:rPr>
      </w:pPr>
    </w:p>
    <w:p w:rsidR="002270D4" w:rsidRDefault="002270D4">
      <w:pPr>
        <w:rPr>
          <w:sz w:val="72"/>
          <w:szCs w:val="72"/>
        </w:rPr>
      </w:pPr>
    </w:p>
    <w:p w:rsidR="002270D4" w:rsidRDefault="002270D4">
      <w:pPr>
        <w:rPr>
          <w:sz w:val="72"/>
          <w:szCs w:val="72"/>
        </w:rPr>
      </w:pPr>
    </w:p>
    <w:p w:rsidR="002270D4" w:rsidRDefault="002270D4">
      <w:pPr>
        <w:rPr>
          <w:sz w:val="72"/>
          <w:szCs w:val="72"/>
        </w:rPr>
      </w:pPr>
    </w:p>
    <w:p w:rsidR="002270D4" w:rsidRDefault="002270D4">
      <w:pPr>
        <w:pStyle w:val="Default"/>
        <w:jc w:val="center"/>
        <w:rPr>
          <w:sz w:val="84"/>
          <w:szCs w:val="84"/>
        </w:rPr>
      </w:pPr>
    </w:p>
    <w:p w:rsidR="002270D4" w:rsidRDefault="002270D4">
      <w:pPr>
        <w:pStyle w:val="Default"/>
        <w:jc w:val="center"/>
        <w:rPr>
          <w:sz w:val="84"/>
          <w:szCs w:val="84"/>
        </w:rPr>
      </w:pPr>
    </w:p>
    <w:p w:rsidR="002270D4" w:rsidRDefault="002270D4">
      <w:pPr>
        <w:pStyle w:val="Default"/>
        <w:jc w:val="center"/>
        <w:rPr>
          <w:sz w:val="84"/>
          <w:szCs w:val="84"/>
        </w:rPr>
      </w:pPr>
    </w:p>
    <w:p w:rsidR="002270D4" w:rsidRDefault="002270D4">
      <w:pPr>
        <w:pStyle w:val="Default"/>
        <w:jc w:val="center"/>
        <w:rPr>
          <w:sz w:val="84"/>
          <w:szCs w:val="84"/>
        </w:rPr>
      </w:pPr>
    </w:p>
    <w:p w:rsidR="002270D4" w:rsidRDefault="00F5767E">
      <w:pPr>
        <w:pStyle w:val="Default"/>
        <w:jc w:val="center"/>
        <w:rPr>
          <w:sz w:val="84"/>
          <w:szCs w:val="84"/>
        </w:rPr>
      </w:pPr>
      <w:r>
        <w:rPr>
          <w:rFonts w:hint="eastAsia"/>
          <w:sz w:val="84"/>
          <w:szCs w:val="84"/>
        </w:rPr>
        <w:t>第一部分</w:t>
      </w:r>
      <w:r>
        <w:rPr>
          <w:sz w:val="84"/>
          <w:szCs w:val="84"/>
        </w:rPr>
        <w:t xml:space="preserve"> </w:t>
      </w:r>
    </w:p>
    <w:p w:rsidR="002270D4" w:rsidRDefault="002270D4">
      <w:pPr>
        <w:pStyle w:val="Default"/>
        <w:jc w:val="center"/>
        <w:rPr>
          <w:sz w:val="84"/>
          <w:szCs w:val="84"/>
        </w:rPr>
      </w:pPr>
    </w:p>
    <w:p w:rsidR="002270D4" w:rsidRDefault="00F5767E">
      <w:pPr>
        <w:pStyle w:val="Default"/>
        <w:jc w:val="center"/>
        <w:rPr>
          <w:sz w:val="84"/>
          <w:szCs w:val="84"/>
        </w:rPr>
      </w:pPr>
      <w:r>
        <w:rPr>
          <w:rFonts w:hint="eastAsia"/>
          <w:sz w:val="84"/>
          <w:szCs w:val="84"/>
        </w:rPr>
        <w:t>衡南县气象局概况</w:t>
      </w:r>
    </w:p>
    <w:p w:rsidR="002270D4" w:rsidRDefault="002270D4">
      <w:pPr>
        <w:jc w:val="center"/>
        <w:rPr>
          <w:sz w:val="72"/>
          <w:szCs w:val="72"/>
        </w:rPr>
      </w:pPr>
    </w:p>
    <w:p w:rsidR="002270D4" w:rsidRDefault="002270D4">
      <w:pPr>
        <w:rPr>
          <w:sz w:val="72"/>
          <w:szCs w:val="72"/>
        </w:rPr>
      </w:pPr>
    </w:p>
    <w:p w:rsidR="002270D4" w:rsidRDefault="002270D4">
      <w:pPr>
        <w:rPr>
          <w:sz w:val="72"/>
          <w:szCs w:val="72"/>
        </w:rPr>
      </w:pPr>
    </w:p>
    <w:p w:rsidR="002270D4" w:rsidRDefault="002270D4">
      <w:pPr>
        <w:pStyle w:val="a7"/>
        <w:ind w:firstLineChars="0" w:firstLine="0"/>
        <w:jc w:val="left"/>
        <w:rPr>
          <w:rFonts w:ascii="黑体" w:eastAsia="黑体" w:hAnsi="黑体"/>
          <w:sz w:val="32"/>
          <w:szCs w:val="32"/>
        </w:rPr>
      </w:pPr>
    </w:p>
    <w:p w:rsidR="002270D4" w:rsidRDefault="002270D4">
      <w:pPr>
        <w:pStyle w:val="a7"/>
        <w:ind w:firstLineChars="0" w:firstLine="0"/>
        <w:jc w:val="left"/>
        <w:rPr>
          <w:rFonts w:ascii="黑体" w:eastAsia="黑体" w:hAnsi="黑体"/>
          <w:sz w:val="32"/>
          <w:szCs w:val="32"/>
        </w:rPr>
      </w:pPr>
    </w:p>
    <w:p w:rsidR="00B30030" w:rsidRDefault="00B30030">
      <w:pPr>
        <w:pStyle w:val="a7"/>
        <w:ind w:firstLineChars="0" w:firstLine="0"/>
        <w:jc w:val="left"/>
        <w:rPr>
          <w:rFonts w:ascii="黑体" w:eastAsia="黑体" w:hAnsi="黑体"/>
          <w:sz w:val="32"/>
          <w:szCs w:val="32"/>
        </w:rPr>
      </w:pPr>
    </w:p>
    <w:p w:rsidR="00B30030" w:rsidRDefault="00B30030">
      <w:pPr>
        <w:pStyle w:val="a7"/>
        <w:ind w:firstLineChars="0" w:firstLine="0"/>
        <w:jc w:val="left"/>
        <w:rPr>
          <w:rFonts w:ascii="黑体" w:eastAsia="黑体" w:hAnsi="黑体"/>
          <w:sz w:val="32"/>
          <w:szCs w:val="32"/>
        </w:rPr>
      </w:pPr>
    </w:p>
    <w:p w:rsidR="002270D4" w:rsidRDefault="002270D4">
      <w:pPr>
        <w:pStyle w:val="a7"/>
        <w:ind w:firstLineChars="0" w:firstLine="0"/>
        <w:jc w:val="left"/>
        <w:rPr>
          <w:rFonts w:ascii="黑体" w:eastAsia="黑体" w:hAnsi="黑体"/>
          <w:sz w:val="32"/>
          <w:szCs w:val="32"/>
        </w:rPr>
      </w:pPr>
    </w:p>
    <w:p w:rsidR="002270D4" w:rsidRDefault="002270D4">
      <w:pPr>
        <w:pStyle w:val="a7"/>
        <w:ind w:firstLineChars="0" w:firstLine="0"/>
        <w:jc w:val="left"/>
        <w:rPr>
          <w:rFonts w:ascii="黑体" w:eastAsia="黑体" w:hAnsi="黑体"/>
          <w:sz w:val="32"/>
          <w:szCs w:val="32"/>
        </w:rPr>
      </w:pPr>
    </w:p>
    <w:p w:rsidR="002270D4" w:rsidRDefault="00F5767E">
      <w:pPr>
        <w:pStyle w:val="a7"/>
        <w:numPr>
          <w:ilvl w:val="0"/>
          <w:numId w:val="2"/>
        </w:numPr>
        <w:ind w:firstLineChars="0"/>
        <w:jc w:val="left"/>
        <w:rPr>
          <w:rFonts w:ascii="黑体" w:eastAsia="黑体" w:hAnsi="黑体"/>
          <w:sz w:val="32"/>
          <w:szCs w:val="32"/>
        </w:rPr>
      </w:pPr>
      <w:r>
        <w:rPr>
          <w:rFonts w:ascii="黑体" w:eastAsia="黑体" w:hAnsi="黑体"/>
          <w:sz w:val="32"/>
          <w:szCs w:val="32"/>
        </w:rPr>
        <w:lastRenderedPageBreak/>
        <w:t>部门职责</w:t>
      </w:r>
    </w:p>
    <w:p w:rsidR="002270D4" w:rsidRDefault="00F5767E">
      <w:pPr>
        <w:spacing w:line="560" w:lineRule="exact"/>
        <w:ind w:firstLineChars="150" w:firstLine="452"/>
        <w:rPr>
          <w:rFonts w:ascii="仿宋" w:eastAsia="仿宋" w:hAnsi="仿宋"/>
          <w:b/>
          <w:bCs/>
          <w:color w:val="000000"/>
          <w:sz w:val="30"/>
          <w:szCs w:val="30"/>
        </w:rPr>
      </w:pPr>
      <w:r>
        <w:rPr>
          <w:rFonts w:ascii="仿宋" w:eastAsia="仿宋" w:hAnsi="仿宋" w:hint="eastAsia"/>
          <w:b/>
          <w:bCs/>
          <w:color w:val="000000"/>
          <w:sz w:val="30"/>
          <w:szCs w:val="30"/>
        </w:rPr>
        <w:t>（一）履行政府气象主管机构职能</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2、负责气候资源开发利用管理。开展本行政区域空中云水资源、风能、太阳能资源和农业、林业、山地等气候资源调查评估。</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5、负责保障气象服务工作。将农业气象服务和农村气象灾害防御体系建设纳入政府公共体系范畴，推进乡镇气象工作站的标准化建设和气象协理员、信息员队伍建设。</w:t>
      </w:r>
    </w:p>
    <w:p w:rsidR="002270D4" w:rsidRDefault="00F5767E">
      <w:pPr>
        <w:spacing w:line="560" w:lineRule="exact"/>
        <w:ind w:firstLineChars="150" w:firstLine="452"/>
        <w:rPr>
          <w:rFonts w:ascii="仿宋" w:eastAsia="仿宋" w:hAnsi="仿宋"/>
          <w:bCs/>
          <w:color w:val="000000"/>
          <w:sz w:val="30"/>
          <w:szCs w:val="30"/>
        </w:rPr>
      </w:pPr>
      <w:r>
        <w:rPr>
          <w:rFonts w:ascii="仿宋" w:eastAsia="仿宋" w:hAnsi="仿宋" w:hint="eastAsia"/>
          <w:b/>
          <w:bCs/>
          <w:color w:val="000000"/>
          <w:sz w:val="30"/>
          <w:szCs w:val="30"/>
        </w:rPr>
        <w:t>（二）气象保障管理</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lastRenderedPageBreak/>
        <w:t>1、负责重大活动气象保障工作。完善重大活动气象服务管理运行机制和业务服务体系，为重大活动提供优质气象服务保障。</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2、负责气象科技服务。加强面向重点行业的专业专项气象服务，提升专业专项气象服务的科技含量和精细化水平。</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4、负责防雷减灾服务工作。负责本行政区域内的易燃易爆场所防雷装置的设计审核和竣工验收；负责对投入使用的防雷装置实行每年检测一次，对爆炸和火灾危险环境场所的防雷装置每半年检测一次。</w:t>
      </w:r>
    </w:p>
    <w:p w:rsidR="002270D4" w:rsidRDefault="00F5767E">
      <w:pPr>
        <w:spacing w:line="560" w:lineRule="exact"/>
        <w:ind w:firstLineChars="200" w:firstLine="602"/>
        <w:rPr>
          <w:rFonts w:ascii="仿宋" w:eastAsia="仿宋" w:hAnsi="仿宋"/>
          <w:b/>
          <w:bCs/>
          <w:color w:val="000000"/>
          <w:sz w:val="30"/>
          <w:szCs w:val="30"/>
        </w:rPr>
      </w:pPr>
      <w:r>
        <w:rPr>
          <w:rFonts w:ascii="仿宋" w:eastAsia="仿宋" w:hAnsi="仿宋" w:hint="eastAsia"/>
          <w:b/>
          <w:bCs/>
          <w:color w:val="000000"/>
          <w:sz w:val="30"/>
          <w:szCs w:val="30"/>
        </w:rPr>
        <w:t>（三）公共气象服务管理</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2、负责重点领域气象服务。提升山洪地质灾害多发重发区域的综合气象观测能力和预警信息发布能力；加强电力、生态等气象服务。</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3、负责决策气象服务。加强面向防灾减灾、应对气候变化、新农村建设等领域的决策气象服务，提高服务的针对性和影响力。</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4、承担民生气象服务。加快推进公共安全和保障民生为重</w:t>
      </w:r>
      <w:r>
        <w:rPr>
          <w:rFonts w:ascii="仿宋" w:eastAsia="仿宋" w:hAnsi="仿宋" w:hint="eastAsia"/>
          <w:bCs/>
          <w:color w:val="000000"/>
          <w:sz w:val="30"/>
          <w:szCs w:val="30"/>
        </w:rPr>
        <w:lastRenderedPageBreak/>
        <w:t>点的社会气象服务能力建设。</w:t>
      </w:r>
    </w:p>
    <w:p w:rsidR="002270D4" w:rsidRDefault="00F5767E">
      <w:pPr>
        <w:spacing w:line="560" w:lineRule="exact"/>
        <w:ind w:firstLineChars="150" w:firstLine="452"/>
        <w:rPr>
          <w:rFonts w:ascii="仿宋" w:eastAsia="仿宋" w:hAnsi="仿宋"/>
          <w:b/>
          <w:bCs/>
          <w:color w:val="000000"/>
          <w:sz w:val="30"/>
          <w:szCs w:val="30"/>
        </w:rPr>
      </w:pPr>
      <w:r>
        <w:rPr>
          <w:rFonts w:ascii="仿宋" w:eastAsia="仿宋" w:hAnsi="仿宋" w:hint="eastAsia"/>
          <w:b/>
          <w:bCs/>
          <w:color w:val="000000"/>
          <w:sz w:val="30"/>
          <w:szCs w:val="30"/>
        </w:rPr>
        <w:t>（四）气象现代化建设管理</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1、承担气象预报预测工作。</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2、指导和管理气象活动。负责气象事业发展规划、计划及气象业务建设的组织实施。</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3、负责气象观测自动化建设。承担布局合理、自动化程度高、运行稳定、保障有力的综合气象观测业务建设，开展长期、连续、稳定、高精度的自动观测，增强综合气象观测能力。</w:t>
      </w:r>
    </w:p>
    <w:p w:rsidR="002270D4" w:rsidRDefault="00F5767E">
      <w:pPr>
        <w:spacing w:line="560" w:lineRule="exact"/>
        <w:ind w:firstLineChars="200" w:firstLine="600"/>
        <w:rPr>
          <w:rFonts w:ascii="仿宋" w:eastAsia="仿宋" w:hAnsi="仿宋"/>
          <w:bCs/>
          <w:color w:val="000000"/>
          <w:sz w:val="30"/>
          <w:szCs w:val="30"/>
        </w:rPr>
      </w:pPr>
      <w:r>
        <w:rPr>
          <w:rFonts w:ascii="仿宋" w:eastAsia="仿宋" w:hAnsi="仿宋" w:hint="eastAsia"/>
          <w:bCs/>
          <w:color w:val="000000"/>
          <w:sz w:val="30"/>
          <w:szCs w:val="30"/>
        </w:rPr>
        <w:t>4、负责气象科技创新和人才队伍建设。负责本区域气象科技创新、气象新成果推广应用，负责气象教育培训工作,加强气象应用型、复合型专业人才培养，为气象发展提供智力支撑。</w:t>
      </w:r>
    </w:p>
    <w:p w:rsidR="002270D4" w:rsidRDefault="00F5767E">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2270D4" w:rsidRDefault="00F5767E">
      <w:pPr>
        <w:widowControl/>
        <w:spacing w:line="600" w:lineRule="exact"/>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（一）内设机构设置。</w:t>
      </w:r>
    </w:p>
    <w:p w:rsidR="002270D4" w:rsidRDefault="00F5767E">
      <w:pPr>
        <w:widowControl/>
        <w:spacing w:line="600" w:lineRule="exact"/>
        <w:ind w:firstLineChars="200" w:firstLine="600"/>
        <w:rPr>
          <w:rFonts w:ascii="仿宋" w:eastAsia="仿宋" w:hAnsi="仿宋"/>
          <w:sz w:val="30"/>
          <w:szCs w:val="30"/>
        </w:rPr>
      </w:pPr>
      <w:r>
        <w:rPr>
          <w:rFonts w:ascii="仿宋" w:eastAsia="仿宋" w:hAnsi="仿宋" w:hint="eastAsia"/>
          <w:sz w:val="30"/>
          <w:szCs w:val="30"/>
        </w:rPr>
        <w:t>我局是正科级事业单位，设有办公室、气象台、人工降雨办公室、防雷减灾办公室、气象科技服务中心、法规股等。现有干部职工18人（中央气象编制6人、地方气象事业编制6人、临聘人员1人，退休人员5人）。</w:t>
      </w:r>
    </w:p>
    <w:p w:rsidR="002270D4" w:rsidRDefault="00F5767E">
      <w:pPr>
        <w:widowControl/>
        <w:spacing w:line="600" w:lineRule="exact"/>
        <w:rPr>
          <w:rFonts w:ascii="仿宋" w:eastAsia="仿宋" w:hAnsi="仿宋"/>
          <w:sz w:val="30"/>
          <w:szCs w:val="30"/>
        </w:rPr>
      </w:pPr>
      <w:r>
        <w:rPr>
          <w:rFonts w:ascii="Times New Roman" w:eastAsia="仿宋_GB2312" w:hAnsi="Times New Roman" w:cs="Times New Roman"/>
          <w:b/>
          <w:bCs/>
          <w:kern w:val="0"/>
          <w:sz w:val="32"/>
          <w:szCs w:val="32"/>
        </w:rPr>
        <w:t>（二）决算单位构成。</w:t>
      </w:r>
      <w:r>
        <w:rPr>
          <w:rFonts w:ascii="Times New Roman" w:eastAsia="仿宋_GB2312" w:hAnsi="Times New Roman" w:cs="Times New Roman" w:hint="eastAsia"/>
          <w:bCs/>
          <w:kern w:val="0"/>
          <w:sz w:val="32"/>
          <w:szCs w:val="32"/>
        </w:rPr>
        <w:t>衡南县气象局</w:t>
      </w:r>
      <w:r>
        <w:rPr>
          <w:rFonts w:ascii="Times New Roman" w:eastAsia="仿宋_GB2312" w:hAnsi="Times New Roman" w:cs="Times New Roman"/>
          <w:bCs/>
          <w:kern w:val="0"/>
          <w:sz w:val="32"/>
          <w:szCs w:val="32"/>
        </w:rPr>
        <w:t>20</w:t>
      </w:r>
      <w:r>
        <w:rPr>
          <w:rFonts w:ascii="Times New Roman" w:eastAsia="仿宋_GB2312" w:hAnsi="Times New Roman" w:cs="Times New Roman" w:hint="eastAsia"/>
          <w:bCs/>
          <w:kern w:val="0"/>
          <w:sz w:val="32"/>
          <w:szCs w:val="32"/>
        </w:rPr>
        <w:t>20</w:t>
      </w:r>
      <w:r>
        <w:rPr>
          <w:rFonts w:ascii="Times New Roman" w:eastAsia="仿宋_GB2312" w:hAnsi="Times New Roman" w:cs="Times New Roman"/>
          <w:bCs/>
          <w:kern w:val="0"/>
          <w:sz w:val="32"/>
          <w:szCs w:val="32"/>
        </w:rPr>
        <w:t>年部门决算公开单位构成：</w:t>
      </w:r>
      <w:r>
        <w:rPr>
          <w:rFonts w:ascii="Times New Roman" w:eastAsia="仿宋_GB2312" w:hAnsi="Times New Roman" w:cs="Times New Roman" w:hint="eastAsia"/>
          <w:bCs/>
          <w:kern w:val="0"/>
          <w:sz w:val="32"/>
          <w:szCs w:val="32"/>
        </w:rPr>
        <w:t>衡南县气象局单位本级。衡南县气象局为</w:t>
      </w:r>
      <w:r>
        <w:rPr>
          <w:rFonts w:ascii="Times New Roman" w:eastAsia="仿宋_GB2312" w:hAnsi="Times New Roman" w:cs="Times New Roman"/>
          <w:bCs/>
          <w:kern w:val="0"/>
          <w:sz w:val="32"/>
          <w:szCs w:val="32"/>
        </w:rPr>
        <w:t>省直一级预算单位，无下属二级机构及其他。</w:t>
      </w:r>
    </w:p>
    <w:p w:rsidR="002270D4" w:rsidRDefault="002270D4">
      <w:pPr>
        <w:jc w:val="left"/>
        <w:rPr>
          <w:rFonts w:ascii="仿宋_GB2312" w:eastAsia="仿宋_GB2312" w:hAnsiTheme="minorEastAsia"/>
          <w:sz w:val="28"/>
          <w:szCs w:val="32"/>
        </w:rPr>
      </w:pPr>
    </w:p>
    <w:p w:rsidR="002270D4" w:rsidRDefault="002270D4">
      <w:pPr>
        <w:jc w:val="center"/>
        <w:rPr>
          <w:rFonts w:ascii="黑体" w:eastAsia="黑体" w:hAnsi="黑体"/>
          <w:sz w:val="28"/>
          <w:szCs w:val="28"/>
        </w:rPr>
      </w:pPr>
    </w:p>
    <w:p w:rsidR="002270D4" w:rsidRDefault="002270D4">
      <w:pPr>
        <w:rPr>
          <w:sz w:val="72"/>
          <w:szCs w:val="72"/>
        </w:rPr>
      </w:pPr>
    </w:p>
    <w:p w:rsidR="002270D4" w:rsidRDefault="002270D4">
      <w:pPr>
        <w:jc w:val="center"/>
        <w:rPr>
          <w:sz w:val="72"/>
          <w:szCs w:val="72"/>
        </w:rPr>
      </w:pPr>
    </w:p>
    <w:p w:rsidR="002270D4" w:rsidRDefault="002270D4">
      <w:pPr>
        <w:jc w:val="center"/>
        <w:rPr>
          <w:sz w:val="72"/>
          <w:szCs w:val="72"/>
        </w:rPr>
      </w:pPr>
    </w:p>
    <w:p w:rsidR="002270D4" w:rsidRDefault="002270D4">
      <w:pPr>
        <w:jc w:val="center"/>
        <w:rPr>
          <w:sz w:val="72"/>
          <w:szCs w:val="72"/>
        </w:rPr>
      </w:pPr>
    </w:p>
    <w:p w:rsidR="002270D4" w:rsidRDefault="002270D4">
      <w:pPr>
        <w:jc w:val="center"/>
        <w:rPr>
          <w:sz w:val="72"/>
          <w:szCs w:val="72"/>
        </w:rPr>
      </w:pPr>
    </w:p>
    <w:p w:rsidR="002270D4" w:rsidRDefault="002270D4">
      <w:pPr>
        <w:jc w:val="center"/>
        <w:rPr>
          <w:sz w:val="72"/>
          <w:szCs w:val="72"/>
        </w:rPr>
      </w:pPr>
    </w:p>
    <w:p w:rsidR="002270D4" w:rsidRDefault="00F5767E">
      <w:pPr>
        <w:jc w:val="center"/>
        <w:rPr>
          <w:sz w:val="72"/>
          <w:szCs w:val="72"/>
        </w:rPr>
      </w:pPr>
      <w:r>
        <w:rPr>
          <w:rFonts w:hint="eastAsia"/>
          <w:sz w:val="72"/>
          <w:szCs w:val="72"/>
        </w:rPr>
        <w:t>第二部分</w:t>
      </w:r>
    </w:p>
    <w:p w:rsidR="002270D4" w:rsidRDefault="002270D4">
      <w:pPr>
        <w:jc w:val="center"/>
        <w:rPr>
          <w:sz w:val="72"/>
          <w:szCs w:val="72"/>
        </w:rPr>
      </w:pPr>
    </w:p>
    <w:p w:rsidR="002270D4" w:rsidRDefault="00F5767E">
      <w:pPr>
        <w:jc w:val="center"/>
        <w:rPr>
          <w:sz w:val="72"/>
          <w:szCs w:val="72"/>
        </w:rPr>
      </w:pPr>
      <w:r>
        <w:rPr>
          <w:rFonts w:hint="eastAsia"/>
          <w:sz w:val="72"/>
          <w:szCs w:val="72"/>
        </w:rPr>
        <w:t>部门决算表</w:t>
      </w:r>
    </w:p>
    <w:p w:rsidR="002270D4" w:rsidRDefault="002270D4">
      <w:pPr>
        <w:jc w:val="center"/>
        <w:rPr>
          <w:sz w:val="72"/>
          <w:szCs w:val="72"/>
        </w:rPr>
      </w:pPr>
    </w:p>
    <w:p w:rsidR="002270D4" w:rsidRDefault="00F5767E">
      <w:pPr>
        <w:jc w:val="center"/>
        <w:rPr>
          <w:rFonts w:ascii="宋体" w:eastAsia="宋体" w:hAnsi="宋体" w:cs="宋体"/>
          <w:sz w:val="32"/>
          <w:szCs w:val="32"/>
        </w:rPr>
      </w:pPr>
      <w:r>
        <w:rPr>
          <w:rFonts w:ascii="宋体" w:eastAsia="宋体" w:hAnsi="宋体" w:cs="宋体" w:hint="eastAsia"/>
          <w:sz w:val="32"/>
          <w:szCs w:val="32"/>
        </w:rPr>
        <w:t>(部门决算公示表附后)</w:t>
      </w:r>
    </w:p>
    <w:p w:rsidR="002270D4" w:rsidRDefault="002270D4">
      <w:pPr>
        <w:jc w:val="center"/>
        <w:rPr>
          <w:sz w:val="72"/>
          <w:szCs w:val="72"/>
        </w:rPr>
      </w:pPr>
    </w:p>
    <w:p w:rsidR="002270D4" w:rsidRDefault="002270D4">
      <w:pPr>
        <w:jc w:val="center"/>
        <w:rPr>
          <w:sz w:val="72"/>
          <w:szCs w:val="72"/>
        </w:rPr>
      </w:pPr>
    </w:p>
    <w:p w:rsidR="002270D4" w:rsidRDefault="002270D4">
      <w:pPr>
        <w:jc w:val="center"/>
        <w:rPr>
          <w:sz w:val="72"/>
          <w:szCs w:val="72"/>
        </w:rPr>
      </w:pPr>
    </w:p>
    <w:p w:rsidR="002270D4" w:rsidRDefault="002270D4">
      <w:pPr>
        <w:jc w:val="left"/>
        <w:rPr>
          <w:rFonts w:asciiTheme="minorEastAsia" w:hAnsiTheme="minorEastAsia"/>
          <w:sz w:val="32"/>
          <w:szCs w:val="32"/>
        </w:rPr>
        <w:sectPr w:rsidR="002270D4">
          <w:pgSz w:w="11906" w:h="16838"/>
          <w:pgMar w:top="1440" w:right="1800" w:bottom="1440" w:left="1800" w:header="851" w:footer="992" w:gutter="0"/>
          <w:cols w:space="425"/>
          <w:docGrid w:type="lines" w:linePitch="312"/>
        </w:sectPr>
      </w:pPr>
    </w:p>
    <w:p w:rsidR="002270D4" w:rsidRDefault="002270D4">
      <w:pPr>
        <w:pStyle w:val="Default"/>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F5767E">
      <w:pPr>
        <w:pStyle w:val="Default"/>
        <w:jc w:val="center"/>
        <w:rPr>
          <w:sz w:val="72"/>
          <w:szCs w:val="72"/>
        </w:rPr>
      </w:pPr>
      <w:r>
        <w:rPr>
          <w:rFonts w:hint="eastAsia"/>
          <w:sz w:val="72"/>
          <w:szCs w:val="72"/>
        </w:rPr>
        <w:t>第三部分</w:t>
      </w:r>
    </w:p>
    <w:p w:rsidR="002270D4" w:rsidRDefault="002270D4">
      <w:pPr>
        <w:pStyle w:val="Default"/>
        <w:jc w:val="center"/>
        <w:rPr>
          <w:sz w:val="70"/>
          <w:szCs w:val="70"/>
        </w:rPr>
      </w:pPr>
    </w:p>
    <w:p w:rsidR="002270D4" w:rsidRDefault="00F5767E">
      <w:pPr>
        <w:pStyle w:val="Default"/>
        <w:jc w:val="center"/>
        <w:rPr>
          <w:sz w:val="70"/>
          <w:szCs w:val="70"/>
        </w:rPr>
      </w:pPr>
      <w:r>
        <w:rPr>
          <w:sz w:val="70"/>
          <w:szCs w:val="70"/>
        </w:rPr>
        <w:t>20</w:t>
      </w:r>
      <w:r>
        <w:rPr>
          <w:rFonts w:hint="eastAsia"/>
          <w:sz w:val="70"/>
          <w:szCs w:val="70"/>
        </w:rPr>
        <w:t>20年度部门决算情况说明</w:t>
      </w:r>
    </w:p>
    <w:p w:rsidR="002270D4" w:rsidRDefault="002270D4">
      <w:pPr>
        <w:pStyle w:val="Default"/>
        <w:jc w:val="center"/>
        <w:rPr>
          <w:sz w:val="70"/>
          <w:szCs w:val="70"/>
        </w:rPr>
      </w:pPr>
    </w:p>
    <w:p w:rsidR="002270D4" w:rsidRDefault="002270D4">
      <w:pPr>
        <w:pStyle w:val="Default"/>
        <w:jc w:val="center"/>
        <w:rPr>
          <w:sz w:val="70"/>
          <w:szCs w:val="70"/>
        </w:rPr>
      </w:pPr>
    </w:p>
    <w:p w:rsidR="002270D4" w:rsidRDefault="002270D4">
      <w:pPr>
        <w:pStyle w:val="Default"/>
        <w:jc w:val="center"/>
        <w:rPr>
          <w:sz w:val="70"/>
          <w:szCs w:val="70"/>
        </w:rPr>
      </w:pPr>
    </w:p>
    <w:p w:rsidR="002270D4" w:rsidRDefault="002270D4">
      <w:pPr>
        <w:pStyle w:val="Default"/>
        <w:jc w:val="center"/>
        <w:rPr>
          <w:sz w:val="70"/>
          <w:szCs w:val="70"/>
        </w:rPr>
      </w:pPr>
    </w:p>
    <w:p w:rsidR="002270D4" w:rsidRDefault="002270D4">
      <w:pPr>
        <w:pStyle w:val="Default"/>
        <w:jc w:val="center"/>
        <w:rPr>
          <w:sz w:val="70"/>
          <w:szCs w:val="70"/>
        </w:rPr>
      </w:pPr>
    </w:p>
    <w:p w:rsidR="002270D4" w:rsidRDefault="002270D4">
      <w:pPr>
        <w:pStyle w:val="Default"/>
        <w:jc w:val="center"/>
        <w:rPr>
          <w:sz w:val="70"/>
          <w:szCs w:val="70"/>
        </w:rPr>
      </w:pPr>
    </w:p>
    <w:p w:rsidR="002270D4" w:rsidRDefault="002270D4">
      <w:pPr>
        <w:pStyle w:val="Default"/>
        <w:jc w:val="both"/>
        <w:rPr>
          <w:sz w:val="70"/>
          <w:szCs w:val="70"/>
        </w:rPr>
      </w:pPr>
    </w:p>
    <w:p w:rsidR="002270D4" w:rsidRDefault="00F5767E">
      <w:pPr>
        <w:widowControl/>
        <w:jc w:val="left"/>
        <w:rPr>
          <w:rFonts w:hAnsi="黑体"/>
          <w:b/>
          <w:sz w:val="32"/>
          <w:szCs w:val="32"/>
        </w:rPr>
      </w:pPr>
      <w:r>
        <w:rPr>
          <w:rFonts w:hAnsi="黑体" w:hint="eastAsia"/>
          <w:b/>
          <w:sz w:val="32"/>
          <w:szCs w:val="32"/>
        </w:rPr>
        <w:lastRenderedPageBreak/>
        <w:t>一、收入支出决算总体情况说明</w:t>
      </w:r>
    </w:p>
    <w:p w:rsidR="002270D4" w:rsidRDefault="00F5767E" w:rsidP="00653200">
      <w:pPr>
        <w:pStyle w:val="Default"/>
        <w:spacing w:line="560" w:lineRule="exact"/>
        <w:ind w:firstLineChars="200" w:firstLine="640"/>
        <w:rPr>
          <w:rFonts w:asciiTheme="minorEastAsia" w:eastAsiaTheme="minorEastAsia" w:hAnsiTheme="minorEastAsia"/>
          <w:sz w:val="32"/>
          <w:szCs w:val="32"/>
        </w:rPr>
      </w:pPr>
      <w:r w:rsidRPr="00653200">
        <w:rPr>
          <w:rFonts w:asciiTheme="minorEastAsia" w:eastAsiaTheme="minorEastAsia" w:hAnsiTheme="minorEastAsia" w:hint="eastAsia"/>
          <w:sz w:val="32"/>
          <w:szCs w:val="32"/>
        </w:rPr>
        <w:t>本年收</w:t>
      </w:r>
      <w:r w:rsidR="00653200">
        <w:rPr>
          <w:rFonts w:asciiTheme="minorEastAsia" w:eastAsiaTheme="minorEastAsia" w:hAnsiTheme="minorEastAsia" w:hint="eastAsia"/>
          <w:sz w:val="32"/>
          <w:szCs w:val="32"/>
        </w:rPr>
        <w:t>支总</w:t>
      </w:r>
      <w:r w:rsidRPr="00653200">
        <w:rPr>
          <w:rFonts w:asciiTheme="minorEastAsia" w:eastAsiaTheme="minorEastAsia" w:hAnsiTheme="minorEastAsia" w:hint="eastAsia"/>
          <w:sz w:val="32"/>
          <w:szCs w:val="32"/>
        </w:rPr>
        <w:t>计251.98万元，其中：财政拨款收入251.98万元，占100%。</w:t>
      </w:r>
      <w:r w:rsidR="00653200">
        <w:rPr>
          <w:rFonts w:asciiTheme="minorEastAsia" w:eastAsiaTheme="minorEastAsia" w:hAnsiTheme="minorEastAsia" w:hint="eastAsia"/>
          <w:sz w:val="32"/>
          <w:szCs w:val="32"/>
        </w:rPr>
        <w:t>与2019年相比增加</w:t>
      </w:r>
      <w:r w:rsidR="00653200">
        <w:rPr>
          <w:rFonts w:asciiTheme="minorEastAsia" w:eastAsiaTheme="minorEastAsia" w:hAnsiTheme="minorEastAsia"/>
          <w:sz w:val="32"/>
          <w:szCs w:val="32"/>
        </w:rPr>
        <w:t>88.6</w:t>
      </w:r>
      <w:r w:rsidR="00653200">
        <w:rPr>
          <w:rFonts w:asciiTheme="minorEastAsia" w:eastAsiaTheme="minorEastAsia" w:hAnsiTheme="minorEastAsia" w:hint="eastAsia"/>
          <w:sz w:val="32"/>
          <w:szCs w:val="32"/>
        </w:rPr>
        <w:t>万元，增加</w:t>
      </w:r>
      <w:r w:rsidR="00653200">
        <w:rPr>
          <w:rFonts w:asciiTheme="minorEastAsia" w:eastAsiaTheme="minorEastAsia" w:hAnsiTheme="minorEastAsia"/>
          <w:sz w:val="32"/>
          <w:szCs w:val="32"/>
        </w:rPr>
        <w:t>54</w:t>
      </w:r>
      <w:r w:rsidR="00653200">
        <w:rPr>
          <w:rFonts w:asciiTheme="minorEastAsia" w:eastAsiaTheme="minorEastAsia" w:hAnsiTheme="minorEastAsia" w:hint="eastAsia"/>
          <w:sz w:val="32"/>
          <w:szCs w:val="32"/>
        </w:rPr>
        <w:t>%，主要是增加了项目经费。</w:t>
      </w:r>
    </w:p>
    <w:p w:rsidR="00653200" w:rsidRPr="00653200" w:rsidRDefault="00653200" w:rsidP="00653200">
      <w:pPr>
        <w:pStyle w:val="Default"/>
        <w:spacing w:line="560" w:lineRule="exact"/>
        <w:ind w:firstLineChars="200" w:firstLine="640"/>
        <w:rPr>
          <w:rFonts w:asciiTheme="minorEastAsia" w:eastAsiaTheme="minorEastAsia" w:hAnsiTheme="minorEastAsia"/>
          <w:sz w:val="32"/>
          <w:szCs w:val="32"/>
        </w:rPr>
      </w:pPr>
    </w:p>
    <w:p w:rsidR="002270D4" w:rsidRDefault="00F5767E">
      <w:pPr>
        <w:pStyle w:val="Default"/>
        <w:rPr>
          <w:rFonts w:hAnsi="黑体"/>
          <w:b/>
          <w:sz w:val="32"/>
          <w:szCs w:val="32"/>
        </w:rPr>
      </w:pPr>
      <w:r>
        <w:rPr>
          <w:rFonts w:hAnsi="黑体" w:hint="eastAsia"/>
          <w:b/>
          <w:sz w:val="32"/>
          <w:szCs w:val="32"/>
        </w:rPr>
        <w:t>二、收入决算情况说明</w:t>
      </w:r>
    </w:p>
    <w:p w:rsidR="002270D4" w:rsidRDefault="00F5767E" w:rsidP="00653200">
      <w:pPr>
        <w:pStyle w:val="Default"/>
        <w:spacing w:line="560" w:lineRule="exact"/>
        <w:ind w:firstLineChars="200" w:firstLine="640"/>
        <w:rPr>
          <w:rFonts w:asciiTheme="minorEastAsia" w:eastAsiaTheme="minorEastAsia" w:hAnsiTheme="minorEastAsia"/>
          <w:sz w:val="32"/>
          <w:szCs w:val="32"/>
        </w:rPr>
      </w:pPr>
      <w:r w:rsidRPr="00FA3693">
        <w:rPr>
          <w:rFonts w:asciiTheme="minorEastAsia" w:eastAsiaTheme="minorEastAsia" w:hAnsiTheme="minorEastAsia" w:hint="eastAsia"/>
          <w:sz w:val="32"/>
          <w:szCs w:val="32"/>
        </w:rPr>
        <w:t>本年收入合计251.98万元，其中：财政拨款收入251.98万元，占</w:t>
      </w:r>
      <w:r>
        <w:rPr>
          <w:rFonts w:asciiTheme="minorEastAsia" w:hAnsiTheme="minorEastAsia" w:hint="eastAsia"/>
          <w:sz w:val="32"/>
          <w:szCs w:val="32"/>
        </w:rPr>
        <w:t>100%</w:t>
      </w:r>
      <w:r>
        <w:rPr>
          <w:rFonts w:asciiTheme="minorEastAsia" w:hAnsiTheme="minorEastAsia" w:hint="eastAsia"/>
          <w:sz w:val="32"/>
          <w:szCs w:val="32"/>
        </w:rPr>
        <w:t>。</w:t>
      </w:r>
      <w:r w:rsidR="00653200">
        <w:rPr>
          <w:rFonts w:asciiTheme="minorEastAsia" w:eastAsiaTheme="minorEastAsia" w:hAnsiTheme="minorEastAsia" w:hint="eastAsia"/>
          <w:sz w:val="32"/>
          <w:szCs w:val="32"/>
        </w:rPr>
        <w:t>与2019年相比增加</w:t>
      </w:r>
      <w:r w:rsidR="00653200">
        <w:rPr>
          <w:rFonts w:asciiTheme="minorEastAsia" w:eastAsiaTheme="minorEastAsia" w:hAnsiTheme="minorEastAsia"/>
          <w:sz w:val="32"/>
          <w:szCs w:val="32"/>
        </w:rPr>
        <w:t>88.6</w:t>
      </w:r>
      <w:r w:rsidR="00653200">
        <w:rPr>
          <w:rFonts w:asciiTheme="minorEastAsia" w:eastAsiaTheme="minorEastAsia" w:hAnsiTheme="minorEastAsia" w:hint="eastAsia"/>
          <w:sz w:val="32"/>
          <w:szCs w:val="32"/>
        </w:rPr>
        <w:t>万元，增加</w:t>
      </w:r>
      <w:r w:rsidR="00653200">
        <w:rPr>
          <w:rFonts w:asciiTheme="minorEastAsia" w:eastAsiaTheme="minorEastAsia" w:hAnsiTheme="minorEastAsia"/>
          <w:sz w:val="32"/>
          <w:szCs w:val="32"/>
        </w:rPr>
        <w:t>35.16</w:t>
      </w:r>
      <w:r w:rsidR="00653200">
        <w:rPr>
          <w:rFonts w:asciiTheme="minorEastAsia" w:eastAsiaTheme="minorEastAsia" w:hAnsiTheme="minorEastAsia" w:hint="eastAsia"/>
          <w:sz w:val="32"/>
          <w:szCs w:val="32"/>
        </w:rPr>
        <w:t>%，主要是增加了项目经费。</w:t>
      </w:r>
      <w:bookmarkStart w:id="0" w:name="_GoBack"/>
      <w:bookmarkEnd w:id="0"/>
    </w:p>
    <w:p w:rsidR="00653200" w:rsidRPr="00653200" w:rsidRDefault="00653200" w:rsidP="00653200">
      <w:pPr>
        <w:pStyle w:val="Default"/>
        <w:spacing w:line="560" w:lineRule="exact"/>
        <w:ind w:firstLineChars="200" w:firstLine="640"/>
        <w:rPr>
          <w:rFonts w:asciiTheme="minorEastAsia" w:eastAsiaTheme="minorEastAsia" w:hAnsiTheme="minorEastAsia"/>
          <w:sz w:val="32"/>
          <w:szCs w:val="32"/>
        </w:rPr>
      </w:pPr>
    </w:p>
    <w:p w:rsidR="002270D4" w:rsidRDefault="00F5767E">
      <w:pPr>
        <w:pStyle w:val="Default"/>
        <w:rPr>
          <w:rFonts w:hAnsi="黑体"/>
          <w:b/>
          <w:sz w:val="32"/>
          <w:szCs w:val="32"/>
        </w:rPr>
      </w:pPr>
      <w:r>
        <w:rPr>
          <w:rFonts w:hAnsi="黑体" w:hint="eastAsia"/>
          <w:b/>
          <w:sz w:val="32"/>
          <w:szCs w:val="32"/>
        </w:rPr>
        <w:t>三、支出决算情况说明</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本年支出合计251.98万元，其中：基本支出</w:t>
      </w:r>
      <w:r>
        <w:rPr>
          <w:rFonts w:ascii="仿宋" w:eastAsia="仿宋" w:hAnsi="仿宋" w:hint="eastAsia"/>
          <w:sz w:val="30"/>
          <w:szCs w:val="30"/>
        </w:rPr>
        <w:t>61.34</w:t>
      </w:r>
      <w:r>
        <w:rPr>
          <w:rFonts w:asciiTheme="minorEastAsia" w:eastAsiaTheme="minorEastAsia" w:hAnsiTheme="minorEastAsia" w:hint="eastAsia"/>
          <w:sz w:val="32"/>
          <w:szCs w:val="32"/>
        </w:rPr>
        <w:t>万元，占24%；项目支出</w:t>
      </w:r>
      <w:r>
        <w:rPr>
          <w:rFonts w:ascii="仿宋" w:eastAsia="仿宋" w:hAnsi="仿宋" w:hint="eastAsia"/>
          <w:sz w:val="30"/>
          <w:szCs w:val="30"/>
        </w:rPr>
        <w:t>190.64</w:t>
      </w:r>
      <w:r>
        <w:rPr>
          <w:rFonts w:asciiTheme="minorEastAsia" w:eastAsiaTheme="minorEastAsia" w:hAnsiTheme="minorEastAsia" w:hint="eastAsia"/>
          <w:sz w:val="32"/>
          <w:szCs w:val="32"/>
        </w:rPr>
        <w:t>万元，占76%。</w:t>
      </w:r>
    </w:p>
    <w:p w:rsidR="002270D4" w:rsidRDefault="00F5767E">
      <w:pPr>
        <w:pStyle w:val="Default"/>
        <w:rPr>
          <w:rFonts w:hAnsi="黑体"/>
          <w:b/>
          <w:sz w:val="32"/>
          <w:szCs w:val="32"/>
        </w:rPr>
      </w:pPr>
      <w:r>
        <w:rPr>
          <w:rFonts w:hAnsi="黑体" w:hint="eastAsia"/>
          <w:b/>
          <w:sz w:val="32"/>
          <w:szCs w:val="32"/>
        </w:rPr>
        <w:t>四、财政拨款收入支出决算总体情况说明</w:t>
      </w:r>
    </w:p>
    <w:p w:rsidR="002270D4" w:rsidRDefault="00F5767E">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asciiTheme="minorEastAsia" w:hAnsiTheme="minorEastAsia" w:hint="eastAsia"/>
          <w:sz w:val="32"/>
          <w:szCs w:val="32"/>
        </w:rPr>
        <w:t>2020年度财政拨款收、支出总计251.98万元，与2019年相比，增加88.6万元,增加54%，主要是因为增加了项目经费。</w:t>
      </w:r>
    </w:p>
    <w:p w:rsidR="002270D4" w:rsidRDefault="00F5767E">
      <w:pPr>
        <w:pStyle w:val="Default"/>
        <w:rPr>
          <w:rFonts w:hAnsi="黑体"/>
          <w:b/>
          <w:sz w:val="32"/>
          <w:szCs w:val="32"/>
        </w:rPr>
      </w:pPr>
      <w:r>
        <w:rPr>
          <w:rFonts w:hAnsi="黑体" w:hint="eastAsia"/>
          <w:b/>
          <w:sz w:val="32"/>
          <w:szCs w:val="32"/>
        </w:rPr>
        <w:t>五、一般公共预算财政拨款支出决算情况说明</w:t>
      </w:r>
    </w:p>
    <w:p w:rsidR="002270D4" w:rsidRDefault="00F5767E" w:rsidP="00B3003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2270D4" w:rsidRDefault="00F5767E">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asciiTheme="minorEastAsia" w:hAnsiTheme="minorEastAsia" w:hint="eastAsia"/>
          <w:sz w:val="32"/>
          <w:szCs w:val="32"/>
        </w:rPr>
        <w:t>2020年度财政拨款支出251.98万元，占本年支出合计的100%，与2019年相比，财政拨款支出增加88.6万元,增加54%，主要是因为增加了项目经费。</w:t>
      </w:r>
    </w:p>
    <w:p w:rsidR="002270D4" w:rsidRDefault="00F5767E">
      <w:pPr>
        <w:widowControl/>
        <w:shd w:val="clear" w:color="auto" w:fill="FFFFFF"/>
        <w:spacing w:before="100" w:beforeAutospacing="1" w:after="100" w:afterAutospacing="1" w:line="450" w:lineRule="atLeast"/>
        <w:ind w:firstLine="640"/>
        <w:jc w:val="left"/>
        <w:rPr>
          <w:rFonts w:asciiTheme="minorEastAsia" w:hAnsiTheme="minorEastAsia"/>
          <w:b/>
          <w:sz w:val="32"/>
          <w:szCs w:val="32"/>
        </w:rPr>
      </w:pPr>
      <w:r>
        <w:rPr>
          <w:rFonts w:asciiTheme="minorEastAsia" w:hAnsiTheme="minorEastAsia" w:hint="eastAsia"/>
          <w:b/>
          <w:sz w:val="32"/>
          <w:szCs w:val="32"/>
        </w:rPr>
        <w:t>（二）财政拨款支出决算结构情况</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2020年度财政拨款支出251.98万元，主要用于以下方面：一般公</w:t>
      </w:r>
      <w:r>
        <w:rPr>
          <w:rFonts w:asciiTheme="minorEastAsia" w:eastAsiaTheme="minorEastAsia" w:hAnsiTheme="minorEastAsia" w:hint="eastAsia"/>
          <w:sz w:val="32"/>
          <w:szCs w:val="32"/>
        </w:rPr>
        <w:lastRenderedPageBreak/>
        <w:t>共服务（类）支出78万元，占31%；社会保障和就业支出6.03万元，占2%；卫生健康支出2.63万元，占1%；自然资源海洋气象等支出163.33万元，占65%；住房保障支出1.99万元，占1%。</w:t>
      </w:r>
    </w:p>
    <w:p w:rsidR="002270D4" w:rsidRDefault="00F5767E" w:rsidP="00B30030">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2270D4" w:rsidRDefault="00F5767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2020年度财政拨款支出年初预算数为84.96万元，支出决算数为251.98万元，完成年初预算的297%，其中：</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1、一般公共服务支出</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年初预算为0万元，支出决算为78万元，决算数大于年初预算数的主要原因是：为年中追加数。</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2、社会保障和就业支出</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社会保障和就业支出年初预算6.03万元，决算数6.03万元，完成年初预算的100%。</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3、卫生健康支出</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卫生健康支出年初预算2.63万元，决算数2.63万元，完成年初预算的100%。</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4、其他支出</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其他支出主要是：气象装备保障维护经费，年初预算7万元，决算数7万元，完成年初预算的100%；气象信息预警系统建设维持费年初预算8万元，决算数8万元，完成年初预算的100%；人工增雨年初预算5万元，决算数5万元，完成年初预算的100%；防雷建设及安全监管工作经费年初预算10万元，决算数10万元，完成年初预算的100%；天气预报影视制作年初预算2万元，决算数2万元，完成年初预算的100%；“道安云”建设经费年初预算0万元，决算数73万元，为年中追加数；防雷设计审核竣工验收经费年初预算0万元，决算数7.64万元，为年</w:t>
      </w:r>
      <w:r>
        <w:rPr>
          <w:rFonts w:asciiTheme="minorEastAsia" w:eastAsiaTheme="minorEastAsia" w:hAnsiTheme="minorEastAsia" w:hint="eastAsia"/>
          <w:sz w:val="32"/>
          <w:szCs w:val="32"/>
        </w:rPr>
        <w:lastRenderedPageBreak/>
        <w:t>中追加数。</w:t>
      </w:r>
    </w:p>
    <w:p w:rsidR="002270D4" w:rsidRDefault="002270D4">
      <w:pPr>
        <w:pStyle w:val="Default"/>
        <w:ind w:firstLineChars="300" w:firstLine="960"/>
        <w:rPr>
          <w:rFonts w:ascii="Times New Roman" w:eastAsia="仿宋_GB2312" w:cs="Times New Roman"/>
          <w:sz w:val="32"/>
          <w:szCs w:val="32"/>
        </w:rPr>
      </w:pPr>
    </w:p>
    <w:p w:rsidR="002270D4" w:rsidRDefault="00F5767E">
      <w:pPr>
        <w:pStyle w:val="Default"/>
        <w:rPr>
          <w:rFonts w:hAnsi="黑体"/>
          <w:b/>
          <w:sz w:val="32"/>
          <w:szCs w:val="32"/>
        </w:rPr>
      </w:pPr>
      <w:r>
        <w:rPr>
          <w:rFonts w:hAnsi="黑体" w:hint="eastAsia"/>
          <w:b/>
          <w:sz w:val="32"/>
          <w:szCs w:val="32"/>
        </w:rPr>
        <w:t>六、一般公共预算财政拨款基本支出决算情况说明</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2020年度财政拨款基本支出61.34万元，其中：人员经费</w:t>
      </w:r>
      <w:r w:rsidR="00653200">
        <w:rPr>
          <w:rFonts w:asciiTheme="minorEastAsia" w:eastAsiaTheme="minorEastAsia" w:hAnsiTheme="minorEastAsia"/>
          <w:sz w:val="32"/>
          <w:szCs w:val="32"/>
        </w:rPr>
        <w:t>4</w:t>
      </w:r>
      <w:r>
        <w:rPr>
          <w:rFonts w:asciiTheme="minorEastAsia" w:eastAsiaTheme="minorEastAsia" w:hAnsiTheme="minorEastAsia" w:hint="eastAsia"/>
          <w:sz w:val="32"/>
          <w:szCs w:val="32"/>
        </w:rPr>
        <w:t>7.74万元，占基本支出的</w:t>
      </w:r>
      <w:r w:rsidR="00653200">
        <w:rPr>
          <w:rFonts w:asciiTheme="minorEastAsia" w:eastAsiaTheme="minorEastAsia" w:hAnsiTheme="minorEastAsia"/>
          <w:sz w:val="32"/>
          <w:szCs w:val="32"/>
        </w:rPr>
        <w:t>77.82</w:t>
      </w:r>
      <w:r>
        <w:rPr>
          <w:rFonts w:asciiTheme="minorEastAsia" w:eastAsiaTheme="minorEastAsia" w:hAnsiTheme="minorEastAsia" w:hint="eastAsia"/>
          <w:sz w:val="32"/>
          <w:szCs w:val="32"/>
        </w:rPr>
        <w:t>%,主要包括基本工资、津贴补贴、绩效工资、养老保险、医保、住房公积金等；公用经费</w:t>
      </w:r>
      <w:r w:rsidR="00653200">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3.6万元，占基本支出的</w:t>
      </w:r>
      <w:r w:rsidR="00653200">
        <w:rPr>
          <w:rFonts w:asciiTheme="minorEastAsia" w:eastAsiaTheme="minorEastAsia" w:hAnsiTheme="minorEastAsia"/>
          <w:sz w:val="32"/>
          <w:szCs w:val="32"/>
        </w:rPr>
        <w:t>22.18</w:t>
      </w:r>
      <w:r>
        <w:rPr>
          <w:rFonts w:asciiTheme="minorEastAsia" w:eastAsiaTheme="minorEastAsia" w:hAnsiTheme="minorEastAsia" w:hint="eastAsia"/>
          <w:sz w:val="32"/>
          <w:szCs w:val="32"/>
        </w:rPr>
        <w:t>%，主要包括办公费、水费、电费、邮电费、差旅费、维修（护）费、公务接待费、公务用车运行维护费、其他交通费、其他商品和服务支出费。</w:t>
      </w:r>
    </w:p>
    <w:p w:rsidR="002270D4" w:rsidRDefault="00F5767E">
      <w:pPr>
        <w:pStyle w:val="Default"/>
        <w:rPr>
          <w:rFonts w:hAnsi="黑体"/>
          <w:b/>
          <w:sz w:val="32"/>
          <w:szCs w:val="32"/>
        </w:rPr>
      </w:pPr>
      <w:r>
        <w:rPr>
          <w:rFonts w:hAnsi="黑体" w:hint="eastAsia"/>
          <w:b/>
          <w:sz w:val="32"/>
          <w:szCs w:val="32"/>
        </w:rPr>
        <w:t>七、一般公共预算财政拨款三公经费支出决算情况说明</w:t>
      </w:r>
    </w:p>
    <w:p w:rsidR="002270D4" w:rsidRDefault="00F5767E" w:rsidP="00B30030">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2270D4" w:rsidRDefault="00F5767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“三公”经费财政拨款支出预算为4万元，支出决算为2.82万元，完成预算的71%，其中：</w:t>
      </w:r>
    </w:p>
    <w:p w:rsidR="002270D4" w:rsidRDefault="00F5767E">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因公出国（境）费支出预算为0万元，支出决算为0万元，完成预算的0%，主要原因是没有职工因公出国。</w:t>
      </w:r>
    </w:p>
    <w:p w:rsidR="002270D4" w:rsidRDefault="00F5767E">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asciiTheme="minorEastAsia" w:hAnsiTheme="minorEastAsia" w:hint="eastAsia"/>
          <w:sz w:val="32"/>
          <w:szCs w:val="32"/>
        </w:rPr>
        <w:t>公务接待费支出预算为1.5万元，支出决算为0.97万元，完成预算的65%，决算数小于年初预算数的主要原因是杜绝铺张浪费，厉行节约，与上年相比减少0.56万元。</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公务用车购置费及运行维护费支出预算为2.5万元，支出决算为1.85万元，完成预算的74%，决算数小于年初预算数的主要原因是厉行节约，与上年相比减少0.2万元。</w:t>
      </w:r>
    </w:p>
    <w:p w:rsidR="002270D4" w:rsidRDefault="00F5767E" w:rsidP="00B30030">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w:t>
      </w:r>
      <w:r>
        <w:rPr>
          <w:rFonts w:asciiTheme="minorEastAsia" w:eastAsiaTheme="minorEastAsia" w:hAnsiTheme="minorEastAsia" w:hint="eastAsia"/>
          <w:sz w:val="32"/>
          <w:szCs w:val="32"/>
        </w:rPr>
        <w:lastRenderedPageBreak/>
        <w:t>算0.97万元，占34%,因公出国（境）费支出决算0万元，占0%,公务用车购置费及运行维护费支出决算1.85万元，占66%。其中：</w:t>
      </w:r>
    </w:p>
    <w:p w:rsidR="002270D4" w:rsidRDefault="00F5767E">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1、因公出国（境）费支出决算为0万元，全年安排因公出国（境）团组0个，累计0人次,开支内容包括：</w:t>
      </w:r>
    </w:p>
    <w:p w:rsidR="002270D4" w:rsidRDefault="00F5767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2、公务接待费支出决算为0.97万元，全年共接待来访批次20次、来宾130人，主要是上级单位检查、兄弟单位相互学习等发生的接待支出。</w:t>
      </w:r>
    </w:p>
    <w:p w:rsidR="002270D4" w:rsidRDefault="00F5767E">
      <w:pPr>
        <w:pStyle w:val="Default"/>
        <w:ind w:firstLineChars="200" w:firstLine="640"/>
        <w:rPr>
          <w:rFonts w:asciiTheme="minorEastAsia" w:eastAsiaTheme="minorEastAsia" w:hAnsiTheme="minorEastAsia"/>
          <w:sz w:val="32"/>
          <w:szCs w:val="32"/>
        </w:rPr>
      </w:pPr>
      <w:r>
        <w:rPr>
          <w:rFonts w:asciiTheme="minorEastAsia" w:hAnsiTheme="minorEastAsia" w:hint="eastAsia"/>
          <w:sz w:val="32"/>
          <w:szCs w:val="32"/>
        </w:rPr>
        <w:t>3</w:t>
      </w:r>
      <w:r>
        <w:rPr>
          <w:rFonts w:ascii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为1.85万元，其中：公务用车购置费0万元，公务用车运行维护费1.85万元，主要是人工降雨、仪器维护、灾情调查等。公务用车本年购置数量为0台，保有量为1台。发生运行维护费为业务专用车辆使用支出。</w:t>
      </w:r>
    </w:p>
    <w:p w:rsidR="002270D4" w:rsidRDefault="00F5767E">
      <w:pPr>
        <w:pStyle w:val="Default"/>
        <w:rPr>
          <w:rFonts w:hAnsi="黑体"/>
          <w:b/>
          <w:sz w:val="32"/>
          <w:szCs w:val="32"/>
        </w:rPr>
      </w:pPr>
      <w:r>
        <w:rPr>
          <w:rFonts w:hAnsi="黑体" w:hint="eastAsia"/>
          <w:b/>
          <w:sz w:val="32"/>
          <w:szCs w:val="32"/>
        </w:rPr>
        <w:t>八、政府性基金预算收入支出决算情况</w:t>
      </w:r>
    </w:p>
    <w:p w:rsidR="002270D4" w:rsidRDefault="00F5767E">
      <w:pPr>
        <w:pStyle w:val="Default"/>
        <w:ind w:firstLine="630"/>
        <w:rPr>
          <w:rFonts w:asciiTheme="minorEastAsia" w:eastAsiaTheme="minorEastAsia" w:hAnsiTheme="minorEastAsia"/>
          <w:sz w:val="32"/>
          <w:szCs w:val="32"/>
        </w:rPr>
      </w:pPr>
      <w:r>
        <w:rPr>
          <w:rFonts w:asciiTheme="minorEastAsia" w:eastAsiaTheme="minorEastAsia" w:hAnsiTheme="minorEastAsia" w:hint="eastAsia"/>
          <w:sz w:val="32"/>
          <w:szCs w:val="32"/>
        </w:rPr>
        <w:t>2020年度我局无政府性基金支出。</w:t>
      </w:r>
    </w:p>
    <w:p w:rsidR="002270D4" w:rsidRDefault="00F5767E">
      <w:pPr>
        <w:pStyle w:val="Default"/>
        <w:snapToGrid w:val="0"/>
        <w:spacing w:line="360" w:lineRule="auto"/>
        <w:rPr>
          <w:rFonts w:ascii="宋体" w:eastAsia="宋体" w:hAnsi="宋体" w:cs="宋体"/>
          <w:b/>
          <w:w w:val="96"/>
          <w:sz w:val="32"/>
          <w:szCs w:val="32"/>
        </w:rPr>
      </w:pPr>
      <w:r>
        <w:rPr>
          <w:rFonts w:ascii="宋体" w:eastAsia="宋体" w:hAnsi="宋体" w:cs="宋体" w:hint="eastAsia"/>
          <w:b/>
          <w:w w:val="96"/>
          <w:sz w:val="32"/>
          <w:szCs w:val="32"/>
        </w:rPr>
        <w:t>九、国有资本经营预算财政拨款支出决算情况</w:t>
      </w:r>
    </w:p>
    <w:p w:rsidR="002270D4" w:rsidRDefault="00F5767E">
      <w:pPr>
        <w:pStyle w:val="Default"/>
        <w:ind w:firstLine="630"/>
        <w:rPr>
          <w:rFonts w:asciiTheme="minorEastAsia" w:eastAsiaTheme="minorEastAsia" w:hAnsiTheme="minorEastAsia"/>
          <w:sz w:val="32"/>
          <w:szCs w:val="32"/>
        </w:rPr>
      </w:pPr>
      <w:r>
        <w:rPr>
          <w:rFonts w:ascii="宋体" w:eastAsia="宋体" w:hAnsi="宋体" w:cs="宋体" w:hint="eastAsia"/>
          <w:w w:val="96"/>
          <w:sz w:val="32"/>
          <w:szCs w:val="32"/>
        </w:rPr>
        <w:t>本单位2020年没有国有资本经营预算财政拨款支出。</w:t>
      </w:r>
    </w:p>
    <w:p w:rsidR="002270D4" w:rsidRDefault="00F5767E">
      <w:pPr>
        <w:rPr>
          <w:rFonts w:asciiTheme="minorEastAsia" w:hAnsiTheme="minorEastAsia" w:cs="黑体"/>
          <w:b/>
          <w:color w:val="000000"/>
          <w:kern w:val="0"/>
          <w:sz w:val="32"/>
          <w:szCs w:val="32"/>
        </w:rPr>
      </w:pPr>
      <w:r>
        <w:rPr>
          <w:rFonts w:hAnsi="黑体" w:hint="eastAsia"/>
          <w:b/>
          <w:sz w:val="32"/>
          <w:szCs w:val="32"/>
        </w:rPr>
        <w:t>十、</w:t>
      </w:r>
      <w:r>
        <w:rPr>
          <w:rFonts w:asciiTheme="minorEastAsia" w:hAnsiTheme="minorEastAsia" w:cs="黑体" w:hint="eastAsia"/>
          <w:b/>
          <w:color w:val="000000"/>
          <w:kern w:val="0"/>
          <w:sz w:val="32"/>
          <w:szCs w:val="32"/>
        </w:rPr>
        <w:t>机关运行经费支出情况</w:t>
      </w:r>
    </w:p>
    <w:p w:rsidR="002270D4" w:rsidRDefault="00F5767E" w:rsidP="00B30030">
      <w:pPr>
        <w:pStyle w:val="Default"/>
        <w:ind w:firstLineChars="250" w:firstLine="763"/>
        <w:rPr>
          <w:rFonts w:asciiTheme="minorEastAsia" w:eastAsiaTheme="minorEastAsia" w:hAnsiTheme="minorEastAsia"/>
          <w:sz w:val="32"/>
          <w:szCs w:val="32"/>
        </w:rPr>
      </w:pPr>
      <w:r w:rsidRPr="00B30030">
        <w:rPr>
          <w:rFonts w:ascii="宋体" w:eastAsia="宋体" w:hAnsi="宋体" w:cs="宋体" w:hint="eastAsia"/>
          <w:w w:val="96"/>
          <w:sz w:val="32"/>
          <w:szCs w:val="32"/>
        </w:rPr>
        <w:t>本部门2020年度机关运行经费支出61.34万元，比年初预算数增加8.38万元，增长16%。主要原因是</w:t>
      </w:r>
      <w:r>
        <w:rPr>
          <w:rFonts w:asciiTheme="minorEastAsia" w:hAnsiTheme="minorEastAsia" w:hint="eastAsia"/>
          <w:sz w:val="32"/>
          <w:szCs w:val="32"/>
        </w:rPr>
        <w:t>：</w:t>
      </w:r>
      <w:r>
        <w:rPr>
          <w:rFonts w:asciiTheme="minorEastAsia" w:eastAsiaTheme="minorEastAsia" w:hAnsiTheme="minorEastAsia" w:hint="eastAsia"/>
          <w:sz w:val="32"/>
          <w:szCs w:val="32"/>
        </w:rPr>
        <w:t>因为人员工资调资相应增加。</w:t>
      </w:r>
    </w:p>
    <w:p w:rsidR="002270D4" w:rsidRDefault="00F5767E">
      <w:pPr>
        <w:rPr>
          <w:rFonts w:asciiTheme="minorEastAsia" w:hAnsiTheme="minorEastAsia" w:cs="黑体"/>
          <w:b/>
          <w:color w:val="000000"/>
          <w:kern w:val="0"/>
          <w:sz w:val="32"/>
          <w:szCs w:val="32"/>
        </w:rPr>
      </w:pPr>
      <w:r>
        <w:rPr>
          <w:rFonts w:ascii="宋体" w:eastAsia="宋体" w:hAnsi="宋体" w:cs="宋体" w:hint="eastAsia"/>
          <w:b/>
          <w:w w:val="96"/>
          <w:sz w:val="32"/>
          <w:szCs w:val="32"/>
        </w:rPr>
        <w:t>十一、</w:t>
      </w:r>
      <w:r>
        <w:rPr>
          <w:rFonts w:asciiTheme="minorEastAsia" w:hAnsiTheme="minorEastAsia" w:cs="黑体" w:hint="eastAsia"/>
          <w:b/>
          <w:color w:val="000000"/>
          <w:kern w:val="0"/>
          <w:sz w:val="32"/>
          <w:szCs w:val="32"/>
        </w:rPr>
        <w:t>一般性支出情况</w:t>
      </w:r>
    </w:p>
    <w:p w:rsidR="002270D4" w:rsidRDefault="00F5767E">
      <w:pPr>
        <w:pStyle w:val="Default"/>
        <w:ind w:firstLineChars="200" w:firstLine="640"/>
        <w:rPr>
          <w:rFonts w:asciiTheme="minorEastAsia" w:eastAsiaTheme="minorEastAsia" w:hAnsiTheme="minorEastAsia"/>
          <w:sz w:val="32"/>
          <w:szCs w:val="32"/>
        </w:rPr>
      </w:pPr>
      <w:r w:rsidRPr="00C30C2C">
        <w:rPr>
          <w:rFonts w:asciiTheme="minorEastAsia" w:eastAsiaTheme="minorEastAsia" w:hAnsiTheme="minorEastAsia" w:hint="eastAsia"/>
          <w:sz w:val="32"/>
          <w:szCs w:val="32"/>
        </w:rPr>
        <w:t>2020年本部门</w:t>
      </w:r>
      <w:r>
        <w:rPr>
          <w:rFonts w:asciiTheme="minorEastAsia" w:eastAsiaTheme="minorEastAsia" w:hAnsiTheme="minorEastAsia" w:hint="eastAsia"/>
          <w:sz w:val="32"/>
          <w:szCs w:val="32"/>
        </w:rPr>
        <w:t>公用经费3.6万元，主要包括办公费、水费、电费、邮电费、差旅费、维修（护）费、公务接待费、公务用车运行维护费、其他交通费、其他商品和服务支出费。</w:t>
      </w:r>
    </w:p>
    <w:p w:rsidR="002270D4" w:rsidRDefault="00F5767E">
      <w:pP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十二、政府采购支出情况</w:t>
      </w:r>
    </w:p>
    <w:p w:rsidR="002270D4" w:rsidRDefault="00F5767E">
      <w:pPr>
        <w:ind w:firstLineChars="200" w:firstLine="640"/>
        <w:rPr>
          <w:rFonts w:asciiTheme="minorEastAsia" w:hAnsiTheme="minorEastAsia" w:cs="黑体"/>
          <w:i/>
          <w:color w:val="FF0000"/>
          <w:kern w:val="0"/>
          <w:sz w:val="32"/>
          <w:szCs w:val="32"/>
        </w:rPr>
      </w:pPr>
      <w:r>
        <w:rPr>
          <w:rFonts w:asciiTheme="minorEastAsia" w:hAnsiTheme="minorEastAsia" w:cs="黑体" w:hint="eastAsia"/>
          <w:color w:val="000000"/>
          <w:kern w:val="0"/>
          <w:sz w:val="32"/>
          <w:szCs w:val="32"/>
        </w:rPr>
        <w:t>本部门2020年度政府采购支出总额3.16万元，其中：政府采购</w:t>
      </w:r>
      <w:r>
        <w:rPr>
          <w:rFonts w:asciiTheme="minorEastAsia" w:hAnsiTheme="minorEastAsia" w:cs="黑体" w:hint="eastAsia"/>
          <w:color w:val="000000"/>
          <w:kern w:val="0"/>
          <w:sz w:val="32"/>
          <w:szCs w:val="32"/>
        </w:rPr>
        <w:lastRenderedPageBreak/>
        <w:t>货物支出3.16万元,主要是采购办公物资等。</w:t>
      </w:r>
    </w:p>
    <w:p w:rsidR="002270D4" w:rsidRDefault="00F5767E">
      <w:pP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十三、国有资产占用情况</w:t>
      </w:r>
    </w:p>
    <w:p w:rsidR="002270D4" w:rsidRDefault="00F5767E">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截至2020年12月31日，本单位共有车辆2辆，为特种专业技术用车2辆、均为人工增雨作业专业用车。单位价值50万元以上通用设备0台（套）；单位价值100万元以上专用设备0台（套）。</w:t>
      </w:r>
    </w:p>
    <w:p w:rsidR="002270D4" w:rsidRDefault="00F5767E">
      <w:pPr>
        <w:pStyle w:val="Default"/>
        <w:rPr>
          <w:rFonts w:hAnsi="黑体"/>
          <w:b/>
          <w:sz w:val="32"/>
          <w:szCs w:val="32"/>
        </w:rPr>
      </w:pPr>
      <w:r>
        <w:rPr>
          <w:rFonts w:hAnsi="黑体" w:hint="eastAsia"/>
          <w:b/>
          <w:sz w:val="32"/>
          <w:szCs w:val="32"/>
        </w:rPr>
        <w:t>十四、关于2020年度预算绩效情况说明</w:t>
      </w:r>
    </w:p>
    <w:p w:rsidR="002270D4" w:rsidRDefault="00F5767E">
      <w:pPr>
        <w:widowControl/>
        <w:shd w:val="clear" w:color="auto" w:fill="FFFFFF"/>
        <w:spacing w:before="100" w:beforeAutospacing="1" w:after="100" w:afterAutospacing="1" w:line="450" w:lineRule="atLeast"/>
        <w:ind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我局将所有预算支出全面纳入绩效管理，坚持花钱必问效，无效必问责；围绕稳就业、推改革、强人才、促和谐、抓扶贫、优行风等六个方面重点工作，制定了预算支出绩效目标；严格按照省财政厅的要求，组织开展了2020年度部门整体支出绩效自评，并将评价结果向社会公开。</w:t>
      </w:r>
    </w:p>
    <w:p w:rsidR="002270D4" w:rsidRDefault="002270D4">
      <w:pPr>
        <w:pStyle w:val="a0"/>
      </w:pPr>
    </w:p>
    <w:p w:rsidR="002270D4" w:rsidRDefault="002270D4">
      <w:pPr>
        <w:widowControl/>
        <w:shd w:val="clear" w:color="auto" w:fill="FFFFFF"/>
        <w:spacing w:before="100" w:beforeAutospacing="1" w:after="100" w:afterAutospacing="1" w:line="450" w:lineRule="atLeast"/>
        <w:jc w:val="left"/>
        <w:rPr>
          <w:rFonts w:ascii="宋体" w:hAnsi="宋体" w:cs="宋体"/>
          <w:color w:val="333333"/>
          <w:kern w:val="0"/>
          <w:sz w:val="24"/>
          <w:szCs w:val="24"/>
        </w:rPr>
      </w:pPr>
    </w:p>
    <w:p w:rsidR="002270D4" w:rsidRDefault="002270D4">
      <w:pPr>
        <w:ind w:firstLineChars="200" w:firstLine="640"/>
        <w:rPr>
          <w:rFonts w:asciiTheme="minorEastAsia" w:hAnsiTheme="minorEastAsia" w:cs="黑体"/>
          <w:color w:val="000000"/>
          <w:kern w:val="0"/>
          <w:sz w:val="32"/>
          <w:szCs w:val="32"/>
        </w:rPr>
      </w:pPr>
    </w:p>
    <w:p w:rsidR="002270D4" w:rsidRDefault="00F5767E">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2270D4" w:rsidRDefault="002270D4">
      <w:pPr>
        <w:ind w:firstLineChars="200" w:firstLine="640"/>
        <w:rPr>
          <w:rFonts w:asciiTheme="minorEastAsia" w:hAnsiTheme="minorEastAsia" w:cs="黑体"/>
          <w:color w:val="000000"/>
          <w:kern w:val="0"/>
          <w:sz w:val="32"/>
          <w:szCs w:val="3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F5767E">
      <w:pPr>
        <w:pStyle w:val="Default"/>
        <w:jc w:val="center"/>
        <w:rPr>
          <w:sz w:val="72"/>
          <w:szCs w:val="72"/>
        </w:rPr>
      </w:pPr>
      <w:r>
        <w:rPr>
          <w:rFonts w:hint="eastAsia"/>
          <w:sz w:val="72"/>
          <w:szCs w:val="72"/>
        </w:rPr>
        <w:t>第四部分</w:t>
      </w:r>
    </w:p>
    <w:p w:rsidR="002270D4" w:rsidRDefault="002270D4">
      <w:pPr>
        <w:jc w:val="center"/>
        <w:rPr>
          <w:rFonts w:ascii="黑体" w:eastAsia="黑体" w:cs="黑体"/>
          <w:color w:val="000000"/>
          <w:kern w:val="0"/>
          <w:sz w:val="70"/>
          <w:szCs w:val="70"/>
        </w:rPr>
      </w:pPr>
    </w:p>
    <w:p w:rsidR="002270D4" w:rsidRDefault="00F5767E">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2270D4" w:rsidRDefault="00F5767E">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lastRenderedPageBreak/>
        <w:t>一、财政拨款收入：</w:t>
      </w:r>
      <w:r>
        <w:rPr>
          <w:rFonts w:ascii="宋体" w:eastAsia="宋体" w:hAnsi="宋体" w:cs="宋体" w:hint="eastAsia"/>
          <w:w w:val="96"/>
          <w:kern w:val="0"/>
          <w:sz w:val="32"/>
          <w:szCs w:val="32"/>
        </w:rPr>
        <w:t>指财政部门核拨给单位的财政预算资金。</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二、事业收入：</w:t>
      </w:r>
      <w:r>
        <w:rPr>
          <w:rFonts w:ascii="宋体" w:eastAsia="宋体" w:hAnsi="宋体" w:cs="宋体" w:hint="eastAsia"/>
          <w:w w:val="96"/>
          <w:kern w:val="0"/>
          <w:sz w:val="32"/>
          <w:szCs w:val="32"/>
        </w:rPr>
        <w:t>指事业单位开展专业业务活动及辅助活动所取得的收入。</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三、附属单位上缴收入：</w:t>
      </w:r>
      <w:r>
        <w:rPr>
          <w:rFonts w:ascii="宋体" w:eastAsia="宋体" w:hAnsi="宋体" w:cs="宋体" w:hint="eastAsia"/>
          <w:w w:val="96"/>
          <w:kern w:val="0"/>
          <w:sz w:val="32"/>
          <w:szCs w:val="32"/>
        </w:rPr>
        <w:t>指事业单位附属独立核算单位按有关规定上缴的收入。</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四、其他收入：</w:t>
      </w:r>
      <w:r>
        <w:rPr>
          <w:rFonts w:ascii="宋体" w:eastAsia="宋体" w:hAnsi="宋体" w:cs="宋体" w:hint="eastAsia"/>
          <w:w w:val="96"/>
          <w:kern w:val="0"/>
          <w:sz w:val="32"/>
          <w:szCs w:val="32"/>
        </w:rPr>
        <w:t>指单位取得的除上述“财政拨款收入”、“事业收入”、“附属单位上缴收入”等以外的收入。</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五、年初结转和结余：</w:t>
      </w:r>
      <w:r>
        <w:rPr>
          <w:rFonts w:ascii="宋体" w:eastAsia="宋体" w:hAnsi="宋体" w:cs="宋体" w:hint="eastAsia"/>
          <w:w w:val="96"/>
          <w:kern w:val="0"/>
          <w:sz w:val="32"/>
          <w:szCs w:val="32"/>
        </w:rPr>
        <w:t>指以前年度尚未完成、结转到本年仍按有关规定继续使用的资金。</w:t>
      </w:r>
    </w:p>
    <w:p w:rsidR="002270D4" w:rsidRDefault="00F5767E" w:rsidP="00B30030">
      <w:pPr>
        <w:widowControl/>
        <w:tabs>
          <w:tab w:val="left" w:pos="2635"/>
        </w:tabs>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六、用事业基金弥补收支差额：</w:t>
      </w:r>
      <w:r>
        <w:rPr>
          <w:rFonts w:ascii="宋体" w:eastAsia="宋体" w:hAnsi="宋体" w:cs="宋体" w:hint="eastAsia"/>
          <w:w w:val="96"/>
          <w:kern w:val="0"/>
          <w:sz w:val="32"/>
          <w:szCs w:val="32"/>
        </w:rPr>
        <w:t>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rsidR="002270D4" w:rsidRDefault="00F5767E" w:rsidP="00B30030">
      <w:pPr>
        <w:widowControl/>
        <w:adjustRightInd w:val="0"/>
        <w:snapToGrid w:val="0"/>
        <w:spacing w:line="360" w:lineRule="auto"/>
        <w:ind w:firstLineChars="200" w:firstLine="618"/>
        <w:rPr>
          <w:rFonts w:ascii="宋体" w:eastAsia="宋体" w:hAnsi="宋体" w:cs="宋体"/>
          <w:bCs/>
          <w:w w:val="96"/>
          <w:kern w:val="0"/>
          <w:sz w:val="32"/>
          <w:szCs w:val="32"/>
        </w:rPr>
      </w:pPr>
      <w:r>
        <w:rPr>
          <w:rFonts w:ascii="宋体" w:eastAsia="宋体" w:hAnsi="宋体" w:cs="宋体" w:hint="eastAsia"/>
          <w:b/>
          <w:w w:val="96"/>
          <w:kern w:val="0"/>
          <w:sz w:val="32"/>
          <w:szCs w:val="32"/>
        </w:rPr>
        <w:t>七、卫生健康支出（类）行政事业单位医疗（款）其他行政事业单位医疗支出（项）：</w:t>
      </w:r>
      <w:r>
        <w:rPr>
          <w:rFonts w:ascii="宋体" w:eastAsia="宋体" w:hAnsi="宋体" w:cs="宋体" w:hint="eastAsia"/>
          <w:bCs/>
          <w:w w:val="96"/>
          <w:kern w:val="0"/>
          <w:sz w:val="32"/>
          <w:szCs w:val="32"/>
        </w:rPr>
        <w:t>指单位医疗保障经费。</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八、住房保障支出（类）住房改革支出（款）住房公积金（项）：</w:t>
      </w:r>
      <w:r>
        <w:rPr>
          <w:rFonts w:ascii="宋体" w:eastAsia="宋体" w:hAnsi="宋体" w:cs="宋体" w:hint="eastAsia"/>
          <w:w w:val="96"/>
          <w:kern w:val="0"/>
          <w:sz w:val="32"/>
          <w:szCs w:val="32"/>
        </w:rPr>
        <w:t>指住房公积金。</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九、结余分配：</w:t>
      </w:r>
      <w:r>
        <w:rPr>
          <w:rFonts w:ascii="宋体" w:eastAsia="宋体" w:hAnsi="宋体" w:cs="宋体" w:hint="eastAsia"/>
          <w:w w:val="96"/>
          <w:kern w:val="0"/>
          <w:sz w:val="32"/>
          <w:szCs w:val="32"/>
        </w:rPr>
        <w:t>指事业单位按规定提取的职工福利基金、事业基金和缴纳的所得税，以及建设单位按规定应交回的基本建设竣工项目结余资金。</w:t>
      </w:r>
    </w:p>
    <w:p w:rsidR="002270D4" w:rsidRDefault="00F5767E" w:rsidP="00B30030">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十、年末结转和结余：</w:t>
      </w:r>
      <w:r>
        <w:rPr>
          <w:rFonts w:ascii="宋体" w:eastAsia="宋体" w:hAnsi="宋体" w:cs="宋体" w:hint="eastAsia"/>
          <w:w w:val="96"/>
          <w:kern w:val="0"/>
          <w:sz w:val="32"/>
          <w:szCs w:val="32"/>
        </w:rPr>
        <w:t>指本年度或以前年度预算安排、因客观条件发生变化无法按原计划实施，需延迟到以后年度按有关规定继续使用的资金。</w:t>
      </w:r>
    </w:p>
    <w:p w:rsidR="002270D4" w:rsidRDefault="00F5767E" w:rsidP="00B30030">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lastRenderedPageBreak/>
        <w:t>十一、基本支出：</w:t>
      </w:r>
      <w:r>
        <w:rPr>
          <w:rFonts w:ascii="宋体" w:eastAsia="宋体" w:hAnsi="宋体" w:cs="宋体" w:hint="eastAsia"/>
          <w:w w:val="96"/>
          <w:kern w:val="0"/>
          <w:sz w:val="32"/>
          <w:szCs w:val="32"/>
        </w:rPr>
        <w:t>指为保障机构正常运转、完成日常工作任务而发生的人员支出和公用支出。</w:t>
      </w:r>
    </w:p>
    <w:p w:rsidR="002270D4" w:rsidRDefault="00F5767E" w:rsidP="00B30030">
      <w:pPr>
        <w:widowControl/>
        <w:autoSpaceDE w:val="0"/>
        <w:autoSpaceDN w:val="0"/>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十二、项目支出：</w:t>
      </w:r>
      <w:r>
        <w:rPr>
          <w:rFonts w:ascii="宋体" w:eastAsia="宋体" w:hAnsi="宋体" w:cs="宋体" w:hint="eastAsia"/>
          <w:w w:val="96"/>
          <w:kern w:val="0"/>
          <w:sz w:val="32"/>
          <w:szCs w:val="32"/>
        </w:rPr>
        <w:t>指在基本支出之外，为完成特定行政任务和事业发展目标所发生的支出。</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十三、“三公”经费：</w:t>
      </w:r>
      <w:r>
        <w:rPr>
          <w:rFonts w:ascii="宋体" w:eastAsia="宋体" w:hAnsi="宋体" w:cs="宋体" w:hint="eastAsia"/>
          <w:w w:val="96"/>
          <w:kern w:val="0"/>
          <w:sz w:val="32"/>
          <w:szCs w:val="32"/>
        </w:rPr>
        <w:t>指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2270D4" w:rsidRDefault="00F5767E" w:rsidP="00B30030">
      <w:pPr>
        <w:widowControl/>
        <w:adjustRightInd w:val="0"/>
        <w:snapToGrid w:val="0"/>
        <w:spacing w:line="360" w:lineRule="auto"/>
        <w:ind w:firstLineChars="200" w:firstLine="618"/>
        <w:rPr>
          <w:rFonts w:ascii="宋体" w:eastAsia="宋体" w:hAnsi="宋体" w:cs="宋体"/>
          <w:w w:val="96"/>
          <w:kern w:val="0"/>
          <w:sz w:val="32"/>
          <w:szCs w:val="32"/>
        </w:rPr>
      </w:pPr>
      <w:r>
        <w:rPr>
          <w:rFonts w:ascii="宋体" w:eastAsia="宋体" w:hAnsi="宋体" w:cs="宋体" w:hint="eastAsia"/>
          <w:b/>
          <w:w w:val="96"/>
          <w:kern w:val="0"/>
          <w:sz w:val="32"/>
          <w:szCs w:val="32"/>
        </w:rPr>
        <w:t>十四、机关运行经费：</w:t>
      </w:r>
      <w:r>
        <w:rPr>
          <w:rFonts w:ascii="宋体" w:eastAsia="宋体" w:hAnsi="宋体" w:cs="宋体" w:hint="eastAsia"/>
          <w:w w:val="96"/>
          <w:kern w:val="0"/>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270D4" w:rsidRDefault="00F5767E" w:rsidP="00B30030">
      <w:pPr>
        <w:widowControl/>
        <w:adjustRightInd w:val="0"/>
        <w:snapToGrid w:val="0"/>
        <w:spacing w:line="360" w:lineRule="auto"/>
        <w:ind w:firstLineChars="200" w:firstLine="610"/>
        <w:jc w:val="left"/>
        <w:rPr>
          <w:rFonts w:ascii="宋体" w:eastAsia="宋体" w:hAnsi="宋体" w:cs="宋体"/>
          <w:color w:val="FF0000"/>
          <w:w w:val="96"/>
          <w:sz w:val="32"/>
          <w:szCs w:val="32"/>
          <w:shd w:val="clear" w:color="auto" w:fill="FFFFFF"/>
        </w:rPr>
      </w:pPr>
      <w:r>
        <w:rPr>
          <w:rFonts w:ascii="宋体" w:eastAsia="宋体" w:hAnsi="宋体" w:cs="宋体" w:hint="eastAsia"/>
          <w:color w:val="FF0000"/>
          <w:w w:val="96"/>
          <w:sz w:val="32"/>
          <w:szCs w:val="32"/>
          <w:shd w:val="clear" w:color="auto" w:fill="FFFFFF"/>
        </w:rPr>
        <w:t xml:space="preserve"> </w:t>
      </w:r>
    </w:p>
    <w:p w:rsidR="002270D4" w:rsidRDefault="002270D4" w:rsidP="00B30030">
      <w:pPr>
        <w:widowControl/>
        <w:adjustRightInd w:val="0"/>
        <w:snapToGrid w:val="0"/>
        <w:spacing w:line="360" w:lineRule="auto"/>
        <w:ind w:firstLineChars="200" w:firstLine="610"/>
        <w:jc w:val="left"/>
        <w:rPr>
          <w:rFonts w:ascii="宋体" w:eastAsia="宋体" w:hAnsi="宋体" w:cs="宋体"/>
          <w:color w:val="FF0000"/>
          <w:w w:val="96"/>
          <w:sz w:val="32"/>
          <w:szCs w:val="32"/>
          <w:shd w:val="clear" w:color="auto" w:fill="FFFFFF"/>
        </w:rPr>
      </w:pPr>
    </w:p>
    <w:p w:rsidR="002270D4" w:rsidRDefault="002270D4">
      <w:pPr>
        <w:ind w:firstLineChars="200" w:firstLine="640"/>
        <w:jc w:val="left"/>
        <w:rPr>
          <w:rFonts w:asciiTheme="minorEastAsia" w:hAnsiTheme="minorEastAsia" w:cs="黑体"/>
          <w:color w:val="000000"/>
          <w:kern w:val="0"/>
          <w:sz w:val="32"/>
          <w:szCs w:val="3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2270D4">
      <w:pPr>
        <w:pStyle w:val="Default"/>
        <w:jc w:val="center"/>
        <w:rPr>
          <w:sz w:val="72"/>
          <w:szCs w:val="72"/>
        </w:rPr>
      </w:pPr>
    </w:p>
    <w:p w:rsidR="002270D4" w:rsidRDefault="00F5767E">
      <w:pPr>
        <w:pStyle w:val="Default"/>
        <w:jc w:val="center"/>
        <w:rPr>
          <w:sz w:val="72"/>
          <w:szCs w:val="72"/>
        </w:rPr>
      </w:pPr>
      <w:r>
        <w:rPr>
          <w:rFonts w:hint="eastAsia"/>
          <w:sz w:val="72"/>
          <w:szCs w:val="72"/>
        </w:rPr>
        <w:t>第五部分</w:t>
      </w:r>
    </w:p>
    <w:p w:rsidR="002270D4" w:rsidRDefault="002270D4">
      <w:pPr>
        <w:jc w:val="center"/>
        <w:rPr>
          <w:rFonts w:ascii="黑体" w:eastAsia="黑体" w:cs="黑体"/>
          <w:color w:val="000000"/>
          <w:kern w:val="0"/>
          <w:sz w:val="70"/>
          <w:szCs w:val="70"/>
        </w:rPr>
      </w:pPr>
    </w:p>
    <w:p w:rsidR="002270D4" w:rsidRDefault="00F5767E">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2270D4" w:rsidRDefault="002270D4">
      <w:pPr>
        <w:jc w:val="center"/>
        <w:rPr>
          <w:rFonts w:ascii="黑体" w:eastAsia="黑体" w:cs="黑体"/>
          <w:color w:val="000000"/>
          <w:kern w:val="0"/>
          <w:sz w:val="70"/>
          <w:szCs w:val="70"/>
        </w:rPr>
      </w:pPr>
    </w:p>
    <w:p w:rsidR="002270D4" w:rsidRDefault="002270D4">
      <w:pPr>
        <w:widowControl/>
        <w:jc w:val="left"/>
        <w:rPr>
          <w:rFonts w:ascii="黑体" w:eastAsia="黑体" w:cs="黑体"/>
          <w:color w:val="000000"/>
          <w:kern w:val="0"/>
          <w:sz w:val="70"/>
          <w:szCs w:val="70"/>
        </w:rPr>
      </w:pPr>
    </w:p>
    <w:p w:rsidR="002270D4" w:rsidRDefault="002270D4">
      <w:pPr>
        <w:jc w:val="center"/>
        <w:rPr>
          <w:rFonts w:ascii="黑体" w:eastAsia="黑体" w:cs="黑体"/>
          <w:color w:val="000000"/>
          <w:kern w:val="0"/>
          <w:sz w:val="70"/>
          <w:szCs w:val="70"/>
        </w:rPr>
      </w:pPr>
    </w:p>
    <w:p w:rsidR="002270D4" w:rsidRDefault="002270D4">
      <w:pPr>
        <w:jc w:val="center"/>
        <w:rPr>
          <w:rFonts w:ascii="黑体" w:eastAsia="黑体" w:cs="黑体"/>
          <w:color w:val="000000"/>
          <w:kern w:val="0"/>
          <w:sz w:val="70"/>
          <w:szCs w:val="70"/>
        </w:rPr>
      </w:pPr>
    </w:p>
    <w:p w:rsidR="002270D4" w:rsidRDefault="002270D4">
      <w:pPr>
        <w:jc w:val="center"/>
        <w:rPr>
          <w:rFonts w:ascii="黑体" w:eastAsia="黑体" w:cs="黑体"/>
          <w:color w:val="000000"/>
          <w:kern w:val="0"/>
          <w:sz w:val="70"/>
          <w:szCs w:val="70"/>
        </w:rPr>
      </w:pPr>
    </w:p>
    <w:p w:rsidR="002270D4" w:rsidRDefault="002270D4" w:rsidP="00B30030">
      <w:pPr>
        <w:ind w:firstLineChars="200" w:firstLine="643"/>
        <w:jc w:val="center"/>
        <w:rPr>
          <w:rFonts w:asciiTheme="minorEastAsia" w:hAnsiTheme="minorEastAsia" w:cs="黑体"/>
          <w:b/>
          <w:color w:val="000000"/>
          <w:kern w:val="0"/>
          <w:sz w:val="32"/>
          <w:szCs w:val="32"/>
        </w:rPr>
      </w:pPr>
    </w:p>
    <w:p w:rsidR="002270D4" w:rsidRDefault="002270D4">
      <w:pPr>
        <w:widowControl/>
        <w:spacing w:line="540" w:lineRule="atLeast"/>
        <w:jc w:val="center"/>
        <w:rPr>
          <w:rFonts w:ascii="仿宋" w:eastAsia="仿宋" w:hAnsi="仿宋" w:cs="仿宋"/>
          <w:b/>
          <w:bCs/>
          <w:color w:val="000000"/>
          <w:kern w:val="0"/>
          <w:sz w:val="44"/>
          <w:szCs w:val="44"/>
        </w:rPr>
      </w:pPr>
    </w:p>
    <w:p w:rsidR="002270D4" w:rsidRDefault="002270D4">
      <w:pPr>
        <w:widowControl/>
        <w:spacing w:line="540" w:lineRule="atLeast"/>
        <w:jc w:val="center"/>
        <w:rPr>
          <w:rFonts w:ascii="仿宋" w:eastAsia="仿宋" w:hAnsi="仿宋" w:cs="仿宋"/>
          <w:b/>
          <w:bCs/>
          <w:color w:val="000000"/>
          <w:kern w:val="0"/>
          <w:sz w:val="44"/>
          <w:szCs w:val="44"/>
        </w:rPr>
      </w:pPr>
    </w:p>
    <w:p w:rsidR="002270D4" w:rsidRDefault="00F5767E">
      <w:pPr>
        <w:widowControl/>
        <w:spacing w:line="540" w:lineRule="atLeast"/>
        <w:jc w:val="center"/>
        <w:rPr>
          <w:rFonts w:ascii="仿宋" w:eastAsia="仿宋" w:hAnsi="仿宋" w:cs="仿宋"/>
          <w:b/>
          <w:bCs/>
          <w:color w:val="000000"/>
          <w:kern w:val="0"/>
          <w:sz w:val="44"/>
          <w:szCs w:val="44"/>
        </w:rPr>
      </w:pPr>
      <w:r>
        <w:rPr>
          <w:rFonts w:ascii="仿宋" w:eastAsia="仿宋" w:hAnsi="仿宋" w:cs="仿宋" w:hint="eastAsia"/>
          <w:b/>
          <w:bCs/>
          <w:color w:val="000000"/>
          <w:kern w:val="0"/>
          <w:sz w:val="44"/>
          <w:szCs w:val="44"/>
        </w:rPr>
        <w:lastRenderedPageBreak/>
        <w:t>气象局2020年部门整体支出</w:t>
      </w:r>
    </w:p>
    <w:p w:rsidR="002270D4" w:rsidRDefault="00F5767E">
      <w:pPr>
        <w:widowControl/>
        <w:spacing w:line="540" w:lineRule="atLeast"/>
        <w:jc w:val="center"/>
        <w:rPr>
          <w:rFonts w:ascii="仿宋" w:eastAsia="仿宋" w:hAnsi="仿宋" w:cs="仿宋"/>
          <w:b/>
          <w:bCs/>
          <w:color w:val="000000"/>
          <w:kern w:val="0"/>
          <w:sz w:val="44"/>
          <w:szCs w:val="44"/>
        </w:rPr>
      </w:pPr>
      <w:r>
        <w:rPr>
          <w:rFonts w:ascii="仿宋" w:eastAsia="仿宋" w:hAnsi="仿宋" w:cs="仿宋" w:hint="eastAsia"/>
          <w:b/>
          <w:bCs/>
          <w:color w:val="000000"/>
          <w:kern w:val="0"/>
          <w:sz w:val="44"/>
          <w:szCs w:val="44"/>
        </w:rPr>
        <w:t>绩效自评报告</w:t>
      </w:r>
    </w:p>
    <w:p w:rsidR="002270D4" w:rsidRDefault="002270D4">
      <w:pPr>
        <w:pStyle w:val="a0"/>
      </w:pPr>
    </w:p>
    <w:p w:rsidR="002270D4" w:rsidRDefault="002270D4">
      <w:pPr>
        <w:ind w:firstLineChars="200" w:firstLine="600"/>
        <w:jc w:val="left"/>
        <w:rPr>
          <w:rFonts w:asciiTheme="minorEastAsia" w:hAnsiTheme="minorEastAsia" w:cstheme="minorEastAsia"/>
          <w:color w:val="000000"/>
          <w:kern w:val="0"/>
          <w:sz w:val="30"/>
          <w:szCs w:val="30"/>
        </w:rPr>
      </w:pPr>
    </w:p>
    <w:p w:rsidR="002270D4" w:rsidRDefault="00F5767E">
      <w:pPr>
        <w:ind w:firstLineChars="100" w:firstLine="300"/>
        <w:jc w:val="left"/>
        <w:rPr>
          <w:rFonts w:asciiTheme="minorEastAsia" w:hAnsiTheme="minorEastAsia" w:cstheme="minorEastAsia"/>
          <w:color w:val="333333"/>
          <w:spacing w:val="-2"/>
          <w:sz w:val="30"/>
          <w:szCs w:val="30"/>
        </w:rPr>
      </w:pPr>
      <w:r>
        <w:rPr>
          <w:rFonts w:asciiTheme="minorEastAsia" w:hAnsiTheme="minorEastAsia" w:cstheme="minorEastAsia" w:hint="eastAsia"/>
          <w:color w:val="000000"/>
          <w:kern w:val="0"/>
          <w:sz w:val="30"/>
          <w:szCs w:val="30"/>
        </w:rPr>
        <w:t> </w:t>
      </w:r>
      <w:r>
        <w:rPr>
          <w:rFonts w:asciiTheme="minorEastAsia" w:hAnsiTheme="minorEastAsia" w:cstheme="minorEastAsia" w:hint="eastAsia"/>
          <w:color w:val="333333"/>
          <w:spacing w:val="-2"/>
          <w:sz w:val="30"/>
          <w:szCs w:val="30"/>
        </w:rPr>
        <w:t>为加强财政预算资金管理，进一步规范预算资金使用，提高财政资金使用效益，根据《衡南县财政局关于开展2020年度财政资金绩效自评工作的通知》（</w:t>
      </w:r>
      <w:r>
        <w:rPr>
          <w:rFonts w:asciiTheme="minorEastAsia" w:hAnsiTheme="minorEastAsia" w:cstheme="minorEastAsia" w:hint="eastAsia"/>
          <w:bCs/>
          <w:sz w:val="30"/>
          <w:szCs w:val="30"/>
        </w:rPr>
        <w:t>清财绩[2021]66号）</w:t>
      </w:r>
      <w:r>
        <w:rPr>
          <w:rFonts w:asciiTheme="minorEastAsia" w:hAnsiTheme="minorEastAsia" w:cstheme="minorEastAsia" w:hint="eastAsia"/>
          <w:color w:val="333333"/>
          <w:spacing w:val="-2"/>
          <w:sz w:val="30"/>
          <w:szCs w:val="30"/>
        </w:rPr>
        <w:t>要求，我局对2020年度本单位财政性资金整体使用情况进行了绩效自评，现将具体绩效评价情况报告如下：</w:t>
      </w:r>
    </w:p>
    <w:p w:rsidR="002270D4" w:rsidRDefault="00F5767E" w:rsidP="00B30030">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一、单位基本情况</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sz w:val="30"/>
          <w:szCs w:val="30"/>
        </w:rPr>
        <w:t>衡南县气象局是正科级事业单位</w:t>
      </w:r>
      <w:r>
        <w:rPr>
          <w:rFonts w:asciiTheme="minorEastAsia" w:hAnsiTheme="minorEastAsia" w:cstheme="minorEastAsia" w:hint="eastAsia"/>
          <w:bCs/>
          <w:color w:val="383838"/>
          <w:sz w:val="30"/>
          <w:szCs w:val="30"/>
          <w:shd w:val="clear" w:color="auto" w:fill="FFFFFF"/>
        </w:rPr>
        <w:t>。</w:t>
      </w:r>
      <w:r>
        <w:rPr>
          <w:rFonts w:asciiTheme="minorEastAsia" w:hAnsiTheme="minorEastAsia" w:cstheme="minorEastAsia" w:hint="eastAsia"/>
          <w:sz w:val="30"/>
          <w:szCs w:val="30"/>
        </w:rPr>
        <w:t>设有办公室、气象台、人工降雨办公室、防雷减灾办公室、气象科技服务中心、法规股等。现有干部职工18人（中央气象编制6人、地方气象事业编制6人、长期聘用人员1人，退休人员5人）。</w:t>
      </w:r>
    </w:p>
    <w:p w:rsidR="002270D4" w:rsidRDefault="00F5767E" w:rsidP="00B30030">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二、部门职能</w:t>
      </w:r>
    </w:p>
    <w:p w:rsidR="002270D4" w:rsidRDefault="00F5767E">
      <w:pPr>
        <w:spacing w:line="560" w:lineRule="exact"/>
        <w:ind w:firstLineChars="200" w:firstLine="600"/>
        <w:jc w:val="left"/>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（一）履行政府气象主管机构职能</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1、负责气象灾害防御组织管理。编制本行政区域气象灾害防御规划，完善气象灾害应急预案，组织开展气象灾害应急演练，提高应急救援能力；提出气象灾害防御措施，对重大气象灾害做出评估，为县政府组织防御气象灾害提供决策依据。</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2、负责气候资源开发利用管理。开展本行政区域空中云水资源、风能、太阳能资源和农业、林业、山地等气候资源调查评估。</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3、负责人工影响天气工作管理。制定人工影响天气作业方案，组织实施人工影响天气作业；负责人工影响天气作业资格条件的报批，管理和监督作业使用的高射炮、火箭发射装置、炮弹、火箭弹遵守国家有关武器装备、爆炸物品管理的法律、法规；组织高射炮、火箭发射装置的年检和从事人工影响天气作业人员的培训、考核。</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lastRenderedPageBreak/>
        <w:t>4、负责气象行政执法工作。在本行政区域内，依法开展防雷和施放气球审批工作；依法保护气象探测环境；依法发布各类气象预报、预警；组织开展气象法制宣传教育，负责监督有关气象法规的实施，对违反《中华人民共和国气象法》有关规定的行为依法进行处罚。</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5、负责保障气象服务工作。将农业气象服务和农村气象灾害防御体系建设纳入政府公共体系范畴，推进乡镇气象工作站的标准化建设和气象协理员、信息员队伍建设。</w:t>
      </w:r>
    </w:p>
    <w:p w:rsidR="002270D4" w:rsidRDefault="00F5767E">
      <w:pPr>
        <w:spacing w:line="560" w:lineRule="exact"/>
        <w:ind w:firstLineChars="200" w:firstLine="600"/>
        <w:jc w:val="left"/>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（二）气象保障管理</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1、负责重大活动气象保障工作。完善重大活动气象服务管理运行机制和业务服务体系，为重大活动提供优质气象服务保障。</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2、负责气象科技服务。加强面向重点行业的专业专项气象服务，提升专业专项气象服务的科技含量和精细化水平。</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3、负责气候可行性论证。负责对与气候条件密切相关的城乡规划编制、重大区域性经济开发和建设项目进行气候可行性论证，进行气候资源开发利用及管理工作，开展气象灾害风险评估和气象服务效益评估；开展农业、生态、旅游等气候资源开发利用服务，为能源结构调整提供科技支撑。</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4、负责防雷减灾服务工作。负责本行政区域内的易燃易爆场所防雷装置的设计审核和竣工验收；负责对投入使用的防雷装置实行每年检测一次，对爆炸和火灾危险环境场所的防雷装置每半年检测一次。</w:t>
      </w:r>
    </w:p>
    <w:p w:rsidR="002270D4" w:rsidRDefault="00F5767E">
      <w:pPr>
        <w:spacing w:line="560" w:lineRule="exact"/>
        <w:ind w:firstLineChars="200" w:firstLine="600"/>
        <w:jc w:val="left"/>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（三）公共气象服务管理</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1、负责农业气象服务体系和农村气象灾害防御体系建设工作。负责气象为农服务组织建设工作，建立政府统一领导、综合协调，相关部门各负其责的气象为农服务组织体系；提高重大农业气象灾害的预测预报能力，加强粮食产量预报和综合评估。</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2、负责重点领域气象服务。提升山洪地质灾害多发重发区域的综合气象观测能力和预警信息发布能力；加强电力、生态等气象服务。</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lastRenderedPageBreak/>
        <w:t>3、负责决策气象服务。加强面向防灾减灾、应对气候变化、新农村建设等领域的决策气象服务，提高服务的针对性和影响力。</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4、承担民生气象服务。加快推进公共安全和保障民生为重点的社会气象服务能力建设。</w:t>
      </w:r>
    </w:p>
    <w:p w:rsidR="002270D4" w:rsidRDefault="00F5767E">
      <w:pPr>
        <w:spacing w:line="560" w:lineRule="exact"/>
        <w:ind w:firstLineChars="200" w:firstLine="600"/>
        <w:jc w:val="left"/>
        <w:rPr>
          <w:rFonts w:asciiTheme="minorEastAsia" w:hAnsiTheme="minorEastAsia" w:cstheme="minorEastAsia"/>
          <w:color w:val="000000"/>
          <w:sz w:val="30"/>
          <w:szCs w:val="30"/>
        </w:rPr>
      </w:pPr>
      <w:r>
        <w:rPr>
          <w:rFonts w:asciiTheme="minorEastAsia" w:hAnsiTheme="minorEastAsia" w:cstheme="minorEastAsia" w:hint="eastAsia"/>
          <w:color w:val="000000"/>
          <w:sz w:val="30"/>
          <w:szCs w:val="30"/>
        </w:rPr>
        <w:t>（四）气象现代化建设管理</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1、承担气象预报预测工作。</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2、指导和管理气象活动。负责气象事业发展规划、计划及气象业务建设的组织实施。</w:t>
      </w:r>
    </w:p>
    <w:p w:rsidR="002270D4" w:rsidRDefault="00F5767E">
      <w:pPr>
        <w:spacing w:line="560" w:lineRule="exact"/>
        <w:ind w:firstLineChars="200" w:firstLine="600"/>
        <w:jc w:val="left"/>
        <w:rPr>
          <w:rFonts w:asciiTheme="minorEastAsia" w:hAnsiTheme="minorEastAsia" w:cstheme="minorEastAsia"/>
          <w:bCs/>
          <w:color w:val="000000"/>
          <w:sz w:val="30"/>
          <w:szCs w:val="30"/>
        </w:rPr>
      </w:pPr>
      <w:r>
        <w:rPr>
          <w:rFonts w:asciiTheme="minorEastAsia" w:hAnsiTheme="minorEastAsia" w:cstheme="minorEastAsia" w:hint="eastAsia"/>
          <w:bCs/>
          <w:color w:val="000000"/>
          <w:sz w:val="30"/>
          <w:szCs w:val="30"/>
        </w:rPr>
        <w:t>3、负责气象观测自动化建设。承担布局合理、自动化程度高、运行稳定、保障有力的综合气象观测业务建设，开展长期、连续、稳定、高精度的自动观测，增强综合气象观测能力。</w:t>
      </w:r>
    </w:p>
    <w:p w:rsidR="002270D4" w:rsidRDefault="00F5767E">
      <w:pPr>
        <w:spacing w:line="600" w:lineRule="exact"/>
        <w:ind w:firstLineChars="200" w:firstLine="600"/>
        <w:jc w:val="left"/>
        <w:rPr>
          <w:rFonts w:asciiTheme="minorEastAsia" w:hAnsiTheme="minorEastAsia" w:cstheme="minorEastAsia"/>
          <w:b/>
          <w:color w:val="383838"/>
          <w:sz w:val="30"/>
          <w:szCs w:val="30"/>
          <w:shd w:val="clear" w:color="auto" w:fill="FFFFFF"/>
        </w:rPr>
      </w:pPr>
      <w:r>
        <w:rPr>
          <w:rFonts w:asciiTheme="minorEastAsia" w:hAnsiTheme="minorEastAsia" w:cstheme="minorEastAsia" w:hint="eastAsia"/>
          <w:bCs/>
          <w:color w:val="000000"/>
          <w:sz w:val="30"/>
          <w:szCs w:val="30"/>
        </w:rPr>
        <w:t>4、负责气象科技创新和人才队伍建设。负责本区域气象科技创新、气象新成果推广应用，负责气象教育培训工作,加强气象应用型、复合型专业人才培养，为气象发展提供智力支撑。</w:t>
      </w:r>
    </w:p>
    <w:p w:rsidR="002270D4" w:rsidRDefault="00F5767E" w:rsidP="00B30030">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三、部门整体支出管理及使用情况</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（一）部门预算决算收支情况</w:t>
      </w:r>
    </w:p>
    <w:p w:rsidR="002270D4" w:rsidRDefault="00F5767E">
      <w:pPr>
        <w:spacing w:line="600" w:lineRule="exact"/>
        <w:ind w:firstLineChars="200" w:firstLine="600"/>
        <w:jc w:val="left"/>
        <w:rPr>
          <w:rFonts w:asciiTheme="minorEastAsia" w:hAnsiTheme="minorEastAsia" w:cstheme="minorEastAsia"/>
          <w:color w:val="333333"/>
          <w:sz w:val="30"/>
          <w:szCs w:val="30"/>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年年初预算收入</w:t>
      </w:r>
      <w:r>
        <w:rPr>
          <w:rFonts w:asciiTheme="minorEastAsia" w:hAnsiTheme="minorEastAsia" w:cstheme="minorEastAsia" w:hint="eastAsia"/>
          <w:sz w:val="30"/>
          <w:szCs w:val="30"/>
        </w:rPr>
        <w:t>84.96</w:t>
      </w:r>
      <w:r>
        <w:rPr>
          <w:rFonts w:asciiTheme="minorEastAsia" w:hAnsiTheme="minorEastAsia" w:cstheme="minorEastAsia" w:hint="eastAsia"/>
          <w:bCs/>
          <w:color w:val="383838"/>
          <w:sz w:val="30"/>
          <w:szCs w:val="30"/>
          <w:shd w:val="clear" w:color="auto" w:fill="FFFFFF"/>
        </w:rPr>
        <w:t>万元，</w:t>
      </w:r>
      <w:r>
        <w:rPr>
          <w:rFonts w:asciiTheme="minorEastAsia" w:hAnsiTheme="minorEastAsia" w:cstheme="minorEastAsia" w:hint="eastAsia"/>
          <w:color w:val="333333"/>
          <w:sz w:val="30"/>
          <w:szCs w:val="30"/>
        </w:rPr>
        <w:t>其中：工资福利支出49.36万元，一般商品和服务支出3.6万元，项目支出32万元。</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年决算收入251.98万元。本年度总支出251.98万元，其中：</w:t>
      </w:r>
      <w:r>
        <w:rPr>
          <w:rFonts w:asciiTheme="minorEastAsia" w:hAnsiTheme="minorEastAsia" w:cstheme="minorEastAsia" w:hint="eastAsia"/>
          <w:color w:val="333333"/>
          <w:sz w:val="30"/>
          <w:szCs w:val="30"/>
        </w:rPr>
        <w:t>工资福利支出57.74万元，一般商品和服务支出3.6万元，项目支出190.64万元</w:t>
      </w:r>
      <w:r>
        <w:rPr>
          <w:rFonts w:asciiTheme="minorEastAsia" w:hAnsiTheme="minorEastAsia" w:cstheme="minorEastAsia" w:hint="eastAsia"/>
          <w:bCs/>
          <w:color w:val="383838"/>
          <w:sz w:val="30"/>
          <w:szCs w:val="30"/>
          <w:shd w:val="clear" w:color="auto" w:fill="FFFFFF"/>
        </w:rPr>
        <w:t>。</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（二）支出分类情况。</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1.基本支出</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基本支出为保障单位机构正常运转、完成日常工作任务而发生的各项支出，包括用于基本工资、津贴补贴等人员经费以及办公费、印刷费、水电费等日常公用经费。</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2020年年初预算批复的基本支出为52.96万元，2020年决算基本支出</w:t>
      </w:r>
      <w:r>
        <w:rPr>
          <w:rFonts w:asciiTheme="minorEastAsia" w:hAnsiTheme="minorEastAsia" w:cstheme="minorEastAsia" w:hint="eastAsia"/>
          <w:bCs/>
          <w:color w:val="383838"/>
          <w:sz w:val="30"/>
          <w:szCs w:val="30"/>
          <w:shd w:val="clear" w:color="auto" w:fill="FFFFFF"/>
        </w:rPr>
        <w:lastRenderedPageBreak/>
        <w:t>61.34万元，其中：</w:t>
      </w:r>
      <w:r>
        <w:rPr>
          <w:rFonts w:asciiTheme="minorEastAsia" w:hAnsiTheme="minorEastAsia" w:cstheme="minorEastAsia" w:hint="eastAsia"/>
          <w:color w:val="333333"/>
          <w:sz w:val="30"/>
          <w:szCs w:val="30"/>
        </w:rPr>
        <w:t>工资福利支出57.74元，一般商品和服务支出3.6万元</w:t>
      </w:r>
      <w:r>
        <w:rPr>
          <w:rFonts w:asciiTheme="minorEastAsia" w:hAnsiTheme="minorEastAsia" w:cstheme="minorEastAsia" w:hint="eastAsia"/>
          <w:bCs/>
          <w:color w:val="383838"/>
          <w:sz w:val="30"/>
          <w:szCs w:val="30"/>
          <w:shd w:val="clear" w:color="auto" w:fill="FFFFFF"/>
        </w:rPr>
        <w:t>。</w:t>
      </w:r>
    </w:p>
    <w:p w:rsidR="002270D4" w:rsidRDefault="00F5767E">
      <w:pPr>
        <w:numPr>
          <w:ilvl w:val="0"/>
          <w:numId w:val="3"/>
        </w:num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“三公”经费情况</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年“三公”经费实际支出2.82万元，其中公务接待0.97万元，公务用车1.85年“三公”经费比上年减少0.76万元。</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 xml:space="preserve">我局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3.项目支出</w:t>
      </w:r>
    </w:p>
    <w:p w:rsidR="002270D4" w:rsidRDefault="00F5767E">
      <w:pPr>
        <w:shd w:val="solid" w:color="FFFFFF" w:fill="auto"/>
        <w:autoSpaceDN w:val="0"/>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w:t>
      </w:r>
      <w:r>
        <w:rPr>
          <w:rFonts w:asciiTheme="minorEastAsia" w:hAnsiTheme="minorEastAsia" w:cstheme="minorEastAsia" w:hint="eastAsia"/>
          <w:color w:val="333333"/>
          <w:spacing w:val="-2"/>
          <w:sz w:val="30"/>
          <w:szCs w:val="30"/>
        </w:rPr>
        <w:t>20</w:t>
      </w:r>
      <w:r>
        <w:rPr>
          <w:rFonts w:asciiTheme="minorEastAsia" w:hAnsiTheme="minorEastAsia" w:cstheme="minorEastAsia" w:hint="eastAsia"/>
          <w:bCs/>
          <w:color w:val="383838"/>
          <w:sz w:val="30"/>
          <w:szCs w:val="30"/>
          <w:shd w:val="clear" w:color="auto" w:fill="FFFFFF"/>
        </w:rPr>
        <w:t>年年初预算批复的项目支出为32万元，2020年决算项目支出190.64万元，其中：学校防雷工程款68万元；气象工作补助经费10万元；气象为农服务基地维持经费7万元；气象信息预警系统建设维持费8万元；人工增雨5万元；防雷建设及安全监管工作经费10 万元； 天气预报影视制作2万元；道安云建设经费73万元；防雷设计审核竣工验收7.64万元。</w:t>
      </w:r>
    </w:p>
    <w:p w:rsidR="002270D4" w:rsidRDefault="00F5767E" w:rsidP="00B30030">
      <w:pPr>
        <w:spacing w:line="600" w:lineRule="exact"/>
        <w:ind w:firstLineChars="200" w:firstLine="602"/>
        <w:jc w:val="left"/>
        <w:rPr>
          <w:rFonts w:asciiTheme="minorEastAsia" w:hAnsiTheme="minorEastAsia" w:cstheme="minorEastAsia"/>
          <w:b/>
          <w:bCs/>
          <w:sz w:val="30"/>
          <w:szCs w:val="30"/>
        </w:rPr>
      </w:pPr>
      <w:r>
        <w:rPr>
          <w:rFonts w:asciiTheme="minorEastAsia" w:hAnsiTheme="minorEastAsia" w:cstheme="minorEastAsia" w:hint="eastAsia"/>
          <w:b/>
          <w:bCs/>
          <w:sz w:val="30"/>
          <w:szCs w:val="30"/>
        </w:rPr>
        <w:t>四、绩效评价工作情况</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（一）评价目的</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局的各项指标数据更加清晰明了，有利于</w:t>
      </w:r>
      <w:r>
        <w:rPr>
          <w:rFonts w:asciiTheme="minorEastAsia" w:hAnsiTheme="minorEastAsia" w:cstheme="minorEastAsia" w:hint="eastAsia"/>
          <w:bCs/>
          <w:color w:val="383838"/>
          <w:sz w:val="30"/>
          <w:szCs w:val="30"/>
          <w:shd w:val="clear" w:color="auto" w:fill="FFFFFF"/>
        </w:rPr>
        <w:lastRenderedPageBreak/>
        <w:t>我局2021年各项工作的开展。</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（二）评价方法</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根据衡南县财政局《衡南县预算绩效管理工作考核办法》（南财预[2015]174号）及县财政局会议精神，我局成立了绩效评价工作组，于2021年5月初起开展了部门整体支出绩效评价工作，具体工作方法包括：</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1、查阅资料。查阅2020年度预算安排、预算追加、经费支出、资金管理、资产管理等相关文件资料和财务凭证。</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2、核实数据。对2020年度部门整体支出数据的准确性、真实性进行核实，将2020年度部门整体支出情况与2020年度预算情况、2020年度部门整体支出情况进行比较分析。</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3、形成绩效评价报告。</w:t>
      </w:r>
    </w:p>
    <w:p w:rsidR="002270D4" w:rsidRDefault="00F5767E" w:rsidP="00B30030">
      <w:pPr>
        <w:spacing w:line="600" w:lineRule="exact"/>
        <w:ind w:firstLineChars="200" w:firstLine="602"/>
        <w:jc w:val="left"/>
        <w:rPr>
          <w:rFonts w:asciiTheme="minorEastAsia" w:hAnsiTheme="minorEastAsia" w:cstheme="minorEastAsia"/>
          <w:b/>
          <w:bCs/>
          <w:color w:val="383838"/>
          <w:sz w:val="30"/>
          <w:szCs w:val="30"/>
          <w:shd w:val="clear" w:color="auto" w:fill="FFFFFF"/>
        </w:rPr>
      </w:pPr>
      <w:r>
        <w:rPr>
          <w:rFonts w:asciiTheme="minorEastAsia" w:hAnsiTheme="minorEastAsia" w:cstheme="minorEastAsia" w:hint="eastAsia"/>
          <w:b/>
          <w:bCs/>
          <w:sz w:val="30"/>
          <w:szCs w:val="30"/>
        </w:rPr>
        <w:t>五、部门总体支出绩效评价</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2020年我局根据年初工作规划及财政预算计划，积极履职、强化管理，较好的完成了年度工作目标。通过加强预算收支管理、不断建立健全内部管理制度、梳理内部管理流程，部门整体支出管理情况得到提升。我局2020年度部门整体支出绩效评价自评得分为99分。具体工作主要体现在以下几个方面：</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一是进一步规范财务管理，加强预算管理。同时，在财务开支把关方面认真执行相关文件并严格财务开支审批程序，加强对差旅费、会议费、接待费、公务用车运行经费等各项开支的管理。大力压缩一般性支出，提高财政资金使用效益。</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二是依法依规公开部门预决算。根据全县部门预决算公开工作统一安排部署，我部公开了2020年部门预算和“三公”经费预算，圆满完成了“三公”经费预算公开工作。</w:t>
      </w:r>
    </w:p>
    <w:p w:rsidR="002270D4" w:rsidRDefault="00F5767E">
      <w:pPr>
        <w:spacing w:line="600" w:lineRule="exact"/>
        <w:ind w:firstLineChars="200" w:firstLine="600"/>
        <w:jc w:val="left"/>
        <w:rPr>
          <w:rFonts w:asciiTheme="minorEastAsia" w:hAnsiTheme="minorEastAsia" w:cstheme="minorEastAsia"/>
          <w:bCs/>
          <w:color w:val="383838"/>
          <w:sz w:val="30"/>
          <w:szCs w:val="30"/>
          <w:shd w:val="clear" w:color="auto" w:fill="FFFFFF"/>
        </w:rPr>
      </w:pPr>
      <w:r>
        <w:rPr>
          <w:rFonts w:asciiTheme="minorEastAsia" w:hAnsiTheme="minorEastAsia" w:cstheme="minorEastAsia" w:hint="eastAsia"/>
          <w:bCs/>
          <w:color w:val="383838"/>
          <w:sz w:val="30"/>
          <w:szCs w:val="30"/>
          <w:shd w:val="clear" w:color="auto" w:fill="FFFFFF"/>
        </w:rPr>
        <w:t>三是加强资产管理。建立了资产管理制度，定期进行了资产盘点和资</w:t>
      </w:r>
      <w:r>
        <w:rPr>
          <w:rFonts w:asciiTheme="minorEastAsia" w:hAnsiTheme="minorEastAsia" w:cstheme="minorEastAsia" w:hint="eastAsia"/>
          <w:bCs/>
          <w:color w:val="383838"/>
          <w:sz w:val="30"/>
          <w:szCs w:val="30"/>
          <w:shd w:val="clear" w:color="auto" w:fill="FFFFFF"/>
        </w:rPr>
        <w:lastRenderedPageBreak/>
        <w:t>产清理，总体执行情况良好。</w:t>
      </w:r>
    </w:p>
    <w:p w:rsidR="002270D4" w:rsidRDefault="00F5767E" w:rsidP="00B30030">
      <w:pPr>
        <w:adjustRightInd w:val="0"/>
        <w:snapToGrid w:val="0"/>
        <w:spacing w:line="600" w:lineRule="exact"/>
        <w:ind w:firstLineChars="200" w:firstLine="602"/>
        <w:rPr>
          <w:rFonts w:asciiTheme="minorEastAsia" w:hAnsiTheme="minorEastAsia" w:cstheme="minorEastAsia"/>
          <w:b/>
          <w:sz w:val="30"/>
          <w:szCs w:val="30"/>
        </w:rPr>
      </w:pPr>
      <w:r>
        <w:rPr>
          <w:rFonts w:asciiTheme="minorEastAsia" w:hAnsiTheme="minorEastAsia" w:cstheme="minorEastAsia" w:hint="eastAsia"/>
          <w:b/>
          <w:sz w:val="30"/>
          <w:szCs w:val="30"/>
        </w:rPr>
        <w:t>六、今后努力方向</w:t>
      </w:r>
    </w:p>
    <w:p w:rsidR="002270D4" w:rsidRDefault="00F5767E">
      <w:pPr>
        <w:adjustRightInd w:val="0"/>
        <w:snapToGrid w:val="0"/>
        <w:spacing w:line="600" w:lineRule="exact"/>
        <w:ind w:firstLineChars="200" w:firstLine="600"/>
        <w:rPr>
          <w:rFonts w:asciiTheme="minorEastAsia" w:hAnsiTheme="minorEastAsia" w:cstheme="minorEastAsia"/>
          <w:color w:val="000000"/>
          <w:kern w:val="0"/>
          <w:sz w:val="30"/>
          <w:szCs w:val="30"/>
        </w:rPr>
      </w:pPr>
      <w:r>
        <w:rPr>
          <w:rFonts w:asciiTheme="minorEastAsia" w:hAnsiTheme="minorEastAsia" w:cstheme="minorEastAsia" w:hint="eastAsia"/>
          <w:color w:val="000000"/>
          <w:kern w:val="0"/>
          <w:sz w:val="30"/>
          <w:szCs w:val="30"/>
        </w:rPr>
        <w:t>1、细化预算编制工作，认真做好预算的编制。进一步加强单位内部机构各股室的预算管理意识，严格按照预算编制的相关制度和要求进行预算编制。</w:t>
      </w:r>
    </w:p>
    <w:p w:rsidR="002270D4" w:rsidRDefault="00F5767E">
      <w:pPr>
        <w:adjustRightInd w:val="0"/>
        <w:snapToGrid w:val="0"/>
        <w:spacing w:line="600" w:lineRule="exact"/>
        <w:ind w:firstLineChars="200" w:firstLine="600"/>
        <w:rPr>
          <w:rFonts w:asciiTheme="minorEastAsia" w:hAnsiTheme="minorEastAsia" w:cstheme="minorEastAsia"/>
          <w:color w:val="000000"/>
          <w:kern w:val="0"/>
          <w:sz w:val="30"/>
          <w:szCs w:val="30"/>
        </w:rPr>
      </w:pPr>
      <w:r>
        <w:rPr>
          <w:rFonts w:asciiTheme="minorEastAsia" w:hAnsiTheme="minorEastAsia" w:cstheme="minorEastAsia" w:hint="eastAsia"/>
          <w:color w:val="000000"/>
          <w:kern w:val="0"/>
          <w:sz w:val="30"/>
          <w:szCs w:val="30"/>
        </w:rPr>
        <w:t>2、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p>
    <w:p w:rsidR="002270D4" w:rsidRDefault="00F5767E">
      <w:pPr>
        <w:adjustRightInd w:val="0"/>
        <w:snapToGrid w:val="0"/>
        <w:spacing w:line="600" w:lineRule="exact"/>
        <w:ind w:firstLineChars="200" w:firstLine="600"/>
        <w:jc w:val="left"/>
        <w:rPr>
          <w:rFonts w:asciiTheme="minorEastAsia" w:hAnsiTheme="minorEastAsia" w:cstheme="minorEastAsia"/>
          <w:color w:val="000000"/>
          <w:kern w:val="0"/>
          <w:sz w:val="30"/>
          <w:szCs w:val="30"/>
        </w:rPr>
      </w:pPr>
      <w:r>
        <w:rPr>
          <w:rFonts w:asciiTheme="minorEastAsia" w:hAnsiTheme="minorEastAsia" w:cstheme="minorEastAsia" w:hint="eastAsia"/>
          <w:color w:val="000000"/>
          <w:kern w:val="0"/>
          <w:sz w:val="30"/>
          <w:szCs w:val="30"/>
        </w:rPr>
        <w:t>3、对相关人员加强培训，特别是针对《预算法》、《行政事业单位会计制度》等学习培训，规范部门预算收支核算，切实提高部门预算收支管理水平。</w:t>
      </w:r>
    </w:p>
    <w:p w:rsidR="002270D4" w:rsidRDefault="002270D4">
      <w:pPr>
        <w:pStyle w:val="a6"/>
        <w:spacing w:before="0" w:beforeAutospacing="0" w:after="0" w:afterAutospacing="0" w:line="33" w:lineRule="atLeast"/>
        <w:ind w:firstLine="420"/>
        <w:rPr>
          <w:rFonts w:asciiTheme="minorEastAsia" w:eastAsiaTheme="minorEastAsia" w:hAnsiTheme="minorEastAsia" w:cstheme="minorEastAsia"/>
          <w:bCs/>
          <w:color w:val="383838"/>
          <w:kern w:val="2"/>
          <w:sz w:val="30"/>
          <w:szCs w:val="30"/>
          <w:shd w:val="clear" w:color="auto" w:fill="FFFFFF"/>
        </w:rPr>
      </w:pPr>
    </w:p>
    <w:p w:rsidR="002270D4" w:rsidRDefault="002270D4">
      <w:pPr>
        <w:pStyle w:val="a6"/>
        <w:spacing w:before="0" w:beforeAutospacing="0" w:after="0" w:afterAutospacing="0" w:line="33" w:lineRule="atLeast"/>
        <w:jc w:val="both"/>
        <w:rPr>
          <w:rFonts w:asciiTheme="minorEastAsia" w:eastAsiaTheme="minorEastAsia" w:hAnsiTheme="minorEastAsia" w:cstheme="minorEastAsia"/>
          <w:bCs/>
          <w:color w:val="383838"/>
          <w:kern w:val="2"/>
          <w:sz w:val="30"/>
          <w:szCs w:val="30"/>
          <w:shd w:val="clear" w:color="auto" w:fill="FFFFFF"/>
        </w:rPr>
      </w:pPr>
    </w:p>
    <w:p w:rsidR="002270D4" w:rsidRDefault="00F5767E">
      <w:pPr>
        <w:ind w:firstLineChars="200" w:firstLine="600"/>
        <w:jc w:val="center"/>
        <w:rPr>
          <w:rFonts w:asciiTheme="minorEastAsia" w:hAnsiTheme="minorEastAsia" w:cs="黑体"/>
          <w:b/>
          <w:color w:val="000000"/>
          <w:kern w:val="0"/>
          <w:sz w:val="32"/>
          <w:szCs w:val="32"/>
        </w:rPr>
      </w:pPr>
      <w:r>
        <w:rPr>
          <w:rFonts w:asciiTheme="minorEastAsia" w:hAnsiTheme="minorEastAsia" w:cstheme="minorEastAsia" w:hint="eastAsia"/>
          <w:bCs/>
          <w:color w:val="383838"/>
          <w:sz w:val="30"/>
          <w:szCs w:val="30"/>
          <w:shd w:val="clear" w:color="auto" w:fill="FFFFFF"/>
        </w:rPr>
        <w:t xml:space="preserve">                              </w:t>
      </w:r>
    </w:p>
    <w:sectPr w:rsidR="002270D4">
      <w:pgSz w:w="11906" w:h="16838"/>
      <w:pgMar w:top="720" w:right="1306" w:bottom="720" w:left="11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767E" w:rsidRDefault="00F5767E" w:rsidP="00B30030">
      <w:r>
        <w:separator/>
      </w:r>
    </w:p>
  </w:endnote>
  <w:endnote w:type="continuationSeparator" w:id="0">
    <w:p w:rsidR="00F5767E" w:rsidRDefault="00F5767E" w:rsidP="00B30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767E" w:rsidRDefault="00F5767E" w:rsidP="00B30030">
      <w:r>
        <w:separator/>
      </w:r>
    </w:p>
  </w:footnote>
  <w:footnote w:type="continuationSeparator" w:id="0">
    <w:p w:rsidR="00F5767E" w:rsidRDefault="00F5767E" w:rsidP="00B300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FD938"/>
    <w:multiLevelType w:val="singleLevel"/>
    <w:tmpl w:val="234FD938"/>
    <w:lvl w:ilvl="0">
      <w:start w:val="2"/>
      <w:numFmt w:val="chineseCounting"/>
      <w:suff w:val="space"/>
      <w:lvlText w:val="第%1部分"/>
      <w:lvlJc w:val="left"/>
      <w:rPr>
        <w:rFonts w:hint="eastAsia"/>
      </w:rPr>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9B4D093"/>
    <w:multiLevelType w:val="singleLevel"/>
    <w:tmpl w:val="59B4D093"/>
    <w:lvl w:ilvl="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1657F"/>
    <w:rsid w:val="0002229B"/>
    <w:rsid w:val="000273BD"/>
    <w:rsid w:val="000415B7"/>
    <w:rsid w:val="0005601E"/>
    <w:rsid w:val="000658A3"/>
    <w:rsid w:val="00074155"/>
    <w:rsid w:val="0009252D"/>
    <w:rsid w:val="000A0C1B"/>
    <w:rsid w:val="000A3F69"/>
    <w:rsid w:val="00133910"/>
    <w:rsid w:val="00152C6D"/>
    <w:rsid w:val="00162D39"/>
    <w:rsid w:val="001A67DB"/>
    <w:rsid w:val="001C4524"/>
    <w:rsid w:val="001D51E5"/>
    <w:rsid w:val="001F0C3B"/>
    <w:rsid w:val="00214427"/>
    <w:rsid w:val="002270D4"/>
    <w:rsid w:val="00265724"/>
    <w:rsid w:val="0027426B"/>
    <w:rsid w:val="003479BD"/>
    <w:rsid w:val="003768D5"/>
    <w:rsid w:val="003C1B8A"/>
    <w:rsid w:val="003D30EC"/>
    <w:rsid w:val="003E0207"/>
    <w:rsid w:val="00411836"/>
    <w:rsid w:val="00416339"/>
    <w:rsid w:val="004506F9"/>
    <w:rsid w:val="004717A2"/>
    <w:rsid w:val="00491741"/>
    <w:rsid w:val="00500E5F"/>
    <w:rsid w:val="0051029B"/>
    <w:rsid w:val="005122EF"/>
    <w:rsid w:val="00517C33"/>
    <w:rsid w:val="00520C96"/>
    <w:rsid w:val="00523644"/>
    <w:rsid w:val="0054069E"/>
    <w:rsid w:val="005767CC"/>
    <w:rsid w:val="005874DE"/>
    <w:rsid w:val="00590D9F"/>
    <w:rsid w:val="00595D26"/>
    <w:rsid w:val="005A74E6"/>
    <w:rsid w:val="005D4D55"/>
    <w:rsid w:val="005E2CFB"/>
    <w:rsid w:val="0062378F"/>
    <w:rsid w:val="00651EEC"/>
    <w:rsid w:val="00653200"/>
    <w:rsid w:val="006A351B"/>
    <w:rsid w:val="006B0422"/>
    <w:rsid w:val="006C1B53"/>
    <w:rsid w:val="006C5B60"/>
    <w:rsid w:val="006D7730"/>
    <w:rsid w:val="006E5284"/>
    <w:rsid w:val="006E6BF0"/>
    <w:rsid w:val="006F3EB5"/>
    <w:rsid w:val="00702E34"/>
    <w:rsid w:val="00704395"/>
    <w:rsid w:val="00720F4B"/>
    <w:rsid w:val="00720FF1"/>
    <w:rsid w:val="007D4CFD"/>
    <w:rsid w:val="00812ED5"/>
    <w:rsid w:val="00814629"/>
    <w:rsid w:val="008277D9"/>
    <w:rsid w:val="00883735"/>
    <w:rsid w:val="00890812"/>
    <w:rsid w:val="00893E22"/>
    <w:rsid w:val="008A1333"/>
    <w:rsid w:val="008A3E8D"/>
    <w:rsid w:val="008C1348"/>
    <w:rsid w:val="008F53B1"/>
    <w:rsid w:val="009237C4"/>
    <w:rsid w:val="00950252"/>
    <w:rsid w:val="00952155"/>
    <w:rsid w:val="00967F5D"/>
    <w:rsid w:val="009A0F95"/>
    <w:rsid w:val="009B3ADF"/>
    <w:rsid w:val="009C3B52"/>
    <w:rsid w:val="00A42218"/>
    <w:rsid w:val="00A70249"/>
    <w:rsid w:val="00AB340E"/>
    <w:rsid w:val="00AD4D42"/>
    <w:rsid w:val="00B30030"/>
    <w:rsid w:val="00B33BEA"/>
    <w:rsid w:val="00B57C9F"/>
    <w:rsid w:val="00B757BE"/>
    <w:rsid w:val="00B845B3"/>
    <w:rsid w:val="00B85D8B"/>
    <w:rsid w:val="00BA78D0"/>
    <w:rsid w:val="00BE3674"/>
    <w:rsid w:val="00C3049A"/>
    <w:rsid w:val="00C30C2C"/>
    <w:rsid w:val="00C31B1E"/>
    <w:rsid w:val="00C77645"/>
    <w:rsid w:val="00CE04C3"/>
    <w:rsid w:val="00CE508A"/>
    <w:rsid w:val="00CE76A0"/>
    <w:rsid w:val="00CF162E"/>
    <w:rsid w:val="00D148C6"/>
    <w:rsid w:val="00D47949"/>
    <w:rsid w:val="00D9313E"/>
    <w:rsid w:val="00DC74D7"/>
    <w:rsid w:val="00DD06FF"/>
    <w:rsid w:val="00DD2DAC"/>
    <w:rsid w:val="00DD5FE9"/>
    <w:rsid w:val="00DF458A"/>
    <w:rsid w:val="00E00C7A"/>
    <w:rsid w:val="00E05244"/>
    <w:rsid w:val="00E55B68"/>
    <w:rsid w:val="00ED5AB5"/>
    <w:rsid w:val="00EF4C89"/>
    <w:rsid w:val="00F24C93"/>
    <w:rsid w:val="00F44AD6"/>
    <w:rsid w:val="00F5767E"/>
    <w:rsid w:val="00F74360"/>
    <w:rsid w:val="00F76D3D"/>
    <w:rsid w:val="00FA3693"/>
    <w:rsid w:val="00FB0CF2"/>
    <w:rsid w:val="00FB462F"/>
    <w:rsid w:val="00FE16FA"/>
    <w:rsid w:val="00FE328A"/>
    <w:rsid w:val="03F36CA1"/>
    <w:rsid w:val="0A733E75"/>
    <w:rsid w:val="0B375A62"/>
    <w:rsid w:val="0D3A05FE"/>
    <w:rsid w:val="0D6263DD"/>
    <w:rsid w:val="14D5327B"/>
    <w:rsid w:val="14DD70E8"/>
    <w:rsid w:val="14F47AC4"/>
    <w:rsid w:val="18AF2DFB"/>
    <w:rsid w:val="1E043F07"/>
    <w:rsid w:val="20364D81"/>
    <w:rsid w:val="27B8715C"/>
    <w:rsid w:val="2A2C24F5"/>
    <w:rsid w:val="2B834DD4"/>
    <w:rsid w:val="2BA279F0"/>
    <w:rsid w:val="308E42F0"/>
    <w:rsid w:val="34CA4955"/>
    <w:rsid w:val="362F47B9"/>
    <w:rsid w:val="394C0A85"/>
    <w:rsid w:val="3F6E0EDB"/>
    <w:rsid w:val="40EF7A97"/>
    <w:rsid w:val="434D3062"/>
    <w:rsid w:val="439363C0"/>
    <w:rsid w:val="4711504C"/>
    <w:rsid w:val="48532697"/>
    <w:rsid w:val="54DE11EE"/>
    <w:rsid w:val="5B3B5CC7"/>
    <w:rsid w:val="5B62160A"/>
    <w:rsid w:val="5E2D4082"/>
    <w:rsid w:val="64A53F6D"/>
    <w:rsid w:val="720109CB"/>
    <w:rsid w:val="73E1212C"/>
    <w:rsid w:val="740D6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D25647A7-61F4-42C1-8FE5-F7B39434D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pPr>
      <w:tabs>
        <w:tab w:val="center" w:pos="4153"/>
        <w:tab w:val="right" w:pos="8306"/>
      </w:tabs>
      <w:snapToGrid w:val="0"/>
      <w:jc w:val="left"/>
    </w:pPr>
    <w:rPr>
      <w:sz w:val="18"/>
      <w:szCs w:val="18"/>
    </w:rPr>
  </w:style>
  <w:style w:type="paragraph" w:styleId="a4">
    <w:name w:val="Balloon Text"/>
    <w:basedOn w:val="a"/>
    <w:link w:val="Char0"/>
    <w:uiPriority w:val="99"/>
    <w:semiHidden/>
    <w:unhideWhenUsed/>
    <w:qFormat/>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1"/>
    <w:link w:val="a5"/>
    <w:uiPriority w:val="99"/>
    <w:qFormat/>
    <w:rPr>
      <w:sz w:val="18"/>
      <w:szCs w:val="18"/>
    </w:rPr>
  </w:style>
  <w:style w:type="character" w:customStyle="1" w:styleId="Char">
    <w:name w:val="页脚 Char"/>
    <w:basedOn w:val="a1"/>
    <w:link w:val="a0"/>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34"/>
    <w:qFormat/>
    <w:pPr>
      <w:ind w:firstLineChars="200" w:firstLine="420"/>
    </w:pPr>
  </w:style>
  <w:style w:type="character" w:customStyle="1" w:styleId="Char0">
    <w:name w:val="批注框文本 Char"/>
    <w:basedOn w:val="a1"/>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1FF272-6ED4-4608-A3B0-B55245B8D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24</Pages>
  <Words>1469</Words>
  <Characters>8378</Characters>
  <Application>Microsoft Office Word</Application>
  <DocSecurity>0</DocSecurity>
  <Lines>69</Lines>
  <Paragraphs>19</Paragraphs>
  <ScaleCrop>false</ScaleCrop>
  <Company>Microsoft</Company>
  <LinksUpToDate>false</LinksUpToDate>
  <CharactersWithSpaces>9828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50</cp:revision>
  <cp:lastPrinted>2020-07-15T07:25:00Z</cp:lastPrinted>
  <dcterms:created xsi:type="dcterms:W3CDTF">2020-07-02T02:32:00Z</dcterms:created>
  <dcterms:modified xsi:type="dcterms:W3CDTF">2022-09-05T04:52:00Z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2052-11.1.0.11551</vt:lpwstr>
  </property>
  <property fmtid="{D5CDD505-2E9C-101B-9397-08002B2CF9AE}" pid="3" name="ICV">
    <vt:lpwstr>C20C8245585D4EC5A8D2B3C74EDF6FCC</vt:lpwstr>
  </property>
</Properties>
</file>