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26EF" w:rsidRDefault="00FB26EF">
      <w:pPr>
        <w:pStyle w:val="Default"/>
        <w:jc w:val="center"/>
        <w:rPr>
          <w:sz w:val="56"/>
          <w:szCs w:val="56"/>
        </w:rPr>
      </w:pPr>
    </w:p>
    <w:p w:rsidR="00FB26EF" w:rsidRDefault="00FB26EF">
      <w:pPr>
        <w:pStyle w:val="Default"/>
        <w:jc w:val="center"/>
        <w:rPr>
          <w:sz w:val="56"/>
          <w:szCs w:val="56"/>
        </w:rPr>
      </w:pPr>
    </w:p>
    <w:p w:rsidR="00FB26EF" w:rsidRDefault="00FB26EF">
      <w:pPr>
        <w:pStyle w:val="Default"/>
        <w:jc w:val="center"/>
        <w:rPr>
          <w:sz w:val="84"/>
          <w:szCs w:val="84"/>
        </w:rPr>
      </w:pPr>
    </w:p>
    <w:p w:rsidR="00FB26EF" w:rsidRDefault="00FB26EF">
      <w:pPr>
        <w:pStyle w:val="Default"/>
        <w:jc w:val="center"/>
        <w:rPr>
          <w:sz w:val="84"/>
          <w:szCs w:val="84"/>
        </w:rPr>
      </w:pPr>
    </w:p>
    <w:p w:rsidR="00FB26EF" w:rsidRDefault="00156AFF">
      <w:pPr>
        <w:pStyle w:val="Default"/>
        <w:jc w:val="center"/>
        <w:rPr>
          <w:sz w:val="84"/>
          <w:szCs w:val="84"/>
        </w:rPr>
      </w:pPr>
      <w:r>
        <w:rPr>
          <w:rFonts w:hint="eastAsia"/>
          <w:sz w:val="84"/>
          <w:szCs w:val="84"/>
        </w:rPr>
        <w:t>2020年度</w:t>
      </w:r>
    </w:p>
    <w:p w:rsidR="00FB26EF" w:rsidRDefault="00156AFF">
      <w:pPr>
        <w:pStyle w:val="Default"/>
        <w:jc w:val="center"/>
        <w:rPr>
          <w:sz w:val="84"/>
          <w:szCs w:val="84"/>
        </w:rPr>
      </w:pPr>
      <w:r>
        <w:rPr>
          <w:rFonts w:hint="eastAsia"/>
          <w:sz w:val="84"/>
          <w:szCs w:val="84"/>
        </w:rPr>
        <w:t>衡南县图书馆</w:t>
      </w:r>
    </w:p>
    <w:p w:rsidR="00FB26EF" w:rsidRDefault="00156AFF">
      <w:pPr>
        <w:pStyle w:val="Default"/>
        <w:jc w:val="center"/>
        <w:rPr>
          <w:sz w:val="84"/>
          <w:szCs w:val="84"/>
        </w:rPr>
      </w:pPr>
      <w:r>
        <w:rPr>
          <w:rFonts w:hint="eastAsia"/>
          <w:sz w:val="84"/>
          <w:szCs w:val="84"/>
        </w:rPr>
        <w:t>部门决算</w:t>
      </w:r>
    </w:p>
    <w:p w:rsidR="00FB26EF" w:rsidRDefault="00FB26EF">
      <w:pPr>
        <w:pStyle w:val="Default"/>
        <w:jc w:val="center"/>
        <w:rPr>
          <w:sz w:val="84"/>
          <w:szCs w:val="84"/>
        </w:rPr>
      </w:pPr>
    </w:p>
    <w:p w:rsidR="00FB26EF" w:rsidRDefault="00FB26EF">
      <w:pPr>
        <w:pStyle w:val="Default"/>
        <w:jc w:val="center"/>
        <w:rPr>
          <w:sz w:val="56"/>
          <w:szCs w:val="56"/>
        </w:rPr>
      </w:pPr>
    </w:p>
    <w:p w:rsidR="00FB26EF" w:rsidRDefault="00FB26EF">
      <w:pPr>
        <w:pStyle w:val="Default"/>
        <w:jc w:val="center"/>
        <w:rPr>
          <w:sz w:val="56"/>
          <w:szCs w:val="56"/>
        </w:rPr>
      </w:pPr>
    </w:p>
    <w:p w:rsidR="00FB26EF" w:rsidRDefault="00FB26EF">
      <w:pPr>
        <w:pStyle w:val="Default"/>
        <w:jc w:val="center"/>
        <w:rPr>
          <w:sz w:val="56"/>
          <w:szCs w:val="56"/>
        </w:rPr>
      </w:pPr>
    </w:p>
    <w:p w:rsidR="00FB26EF" w:rsidRDefault="00FB26EF">
      <w:pPr>
        <w:pStyle w:val="Default"/>
        <w:jc w:val="center"/>
        <w:rPr>
          <w:sz w:val="56"/>
          <w:szCs w:val="56"/>
        </w:rPr>
      </w:pPr>
    </w:p>
    <w:p w:rsidR="00FB26EF" w:rsidRDefault="00FB26EF">
      <w:pPr>
        <w:pStyle w:val="Default"/>
        <w:spacing w:line="540" w:lineRule="exact"/>
        <w:rPr>
          <w:sz w:val="56"/>
          <w:szCs w:val="56"/>
        </w:rPr>
      </w:pPr>
    </w:p>
    <w:p w:rsidR="00FB26EF" w:rsidRDefault="00FB26EF">
      <w:pPr>
        <w:pStyle w:val="Default"/>
        <w:spacing w:line="520" w:lineRule="exact"/>
        <w:jc w:val="center"/>
        <w:rPr>
          <w:sz w:val="56"/>
          <w:szCs w:val="56"/>
        </w:rPr>
      </w:pPr>
    </w:p>
    <w:p w:rsidR="00FB26EF" w:rsidRDefault="00156AFF">
      <w:pPr>
        <w:pStyle w:val="Default"/>
        <w:spacing w:line="520" w:lineRule="exact"/>
        <w:jc w:val="center"/>
        <w:rPr>
          <w:sz w:val="56"/>
          <w:szCs w:val="56"/>
        </w:rPr>
      </w:pPr>
      <w:r>
        <w:rPr>
          <w:rFonts w:hint="eastAsia"/>
          <w:sz w:val="56"/>
          <w:szCs w:val="56"/>
        </w:rPr>
        <w:t>目录</w:t>
      </w:r>
    </w:p>
    <w:p w:rsidR="00FB26EF" w:rsidRDefault="00156AFF">
      <w:pPr>
        <w:pStyle w:val="Default"/>
        <w:spacing w:line="520" w:lineRule="exact"/>
        <w:rPr>
          <w:rFonts w:ascii="仿宋_GB2312" w:hAnsi="仿宋_GB2312" w:cs="仿宋_GB2312"/>
          <w:b/>
          <w:sz w:val="28"/>
          <w:szCs w:val="28"/>
        </w:rPr>
      </w:pPr>
      <w:r>
        <w:rPr>
          <w:rFonts w:hint="eastAsia"/>
          <w:b/>
          <w:sz w:val="28"/>
          <w:szCs w:val="28"/>
        </w:rPr>
        <w:t>第一部分  衡南县图书馆单位概况</w:t>
      </w:r>
    </w:p>
    <w:p w:rsidR="00FB26EF" w:rsidRDefault="00156AFF">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FB26EF" w:rsidRDefault="00156AFF">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FB26EF" w:rsidRDefault="00156AFF">
      <w:pPr>
        <w:pStyle w:val="Default"/>
        <w:spacing w:line="520" w:lineRule="exact"/>
        <w:rPr>
          <w:rFonts w:hAnsi="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20年度部门决算表</w:t>
      </w:r>
    </w:p>
    <w:p w:rsidR="00FB26EF" w:rsidRDefault="00156AFF" w:rsidP="00D81ADA">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一、收入支出决算总表</w:t>
      </w:r>
    </w:p>
    <w:p w:rsidR="00FB26EF" w:rsidRDefault="00156AFF" w:rsidP="00D81ADA">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二、收入决算表</w:t>
      </w:r>
    </w:p>
    <w:p w:rsidR="00FB26EF" w:rsidRDefault="00156AFF" w:rsidP="00D81ADA">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三、支出决算表</w:t>
      </w:r>
    </w:p>
    <w:p w:rsidR="00FB26EF" w:rsidRDefault="00156AFF" w:rsidP="00D81ADA">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四、财政拨款收入支出决算总表</w:t>
      </w:r>
    </w:p>
    <w:p w:rsidR="00FB26EF" w:rsidRDefault="00156AFF" w:rsidP="00D81ADA">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五、一般公共预算财政拨款支出决算表</w:t>
      </w:r>
    </w:p>
    <w:p w:rsidR="00FB26EF" w:rsidRDefault="00156AFF" w:rsidP="00D81ADA">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六、一般公共预算财政拨款基本支出决算表</w:t>
      </w:r>
    </w:p>
    <w:p w:rsidR="00FB26EF" w:rsidRDefault="00156AFF" w:rsidP="00D81ADA">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七、一般公共预算财政拨款“三公”经费支出决算表</w:t>
      </w:r>
    </w:p>
    <w:p w:rsidR="00FB26EF" w:rsidRDefault="00156AFF" w:rsidP="00D81ADA">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八、政府性基金预算财政拨款收入支出决算表</w:t>
      </w:r>
    </w:p>
    <w:p w:rsidR="00FB26EF" w:rsidRDefault="00156AFF" w:rsidP="00D81ADA">
      <w:pPr>
        <w:pStyle w:val="Default"/>
        <w:snapToGrid w:val="0"/>
        <w:spacing w:line="360" w:lineRule="auto"/>
        <w:ind w:firstLineChars="200" w:firstLine="534"/>
        <w:rPr>
          <w:rFonts w:hAnsi="仿宋_GB2312"/>
          <w:b/>
          <w:sz w:val="28"/>
          <w:szCs w:val="28"/>
        </w:rPr>
      </w:pPr>
      <w:r>
        <w:rPr>
          <w:rFonts w:ascii="宋体" w:eastAsia="宋体" w:hAnsi="宋体" w:cs="宋体" w:hint="eastAsia"/>
          <w:w w:val="96"/>
          <w:sz w:val="28"/>
          <w:szCs w:val="28"/>
        </w:rPr>
        <w:t>九、国有资本经营预算财政拨款支出决算表</w:t>
      </w:r>
    </w:p>
    <w:p w:rsidR="00FB26EF" w:rsidRDefault="00156AFF">
      <w:pPr>
        <w:pStyle w:val="Default"/>
        <w:spacing w:line="52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20年度部门决算情况说明</w:t>
      </w:r>
    </w:p>
    <w:p w:rsidR="00FB26EF" w:rsidRDefault="00156AFF" w:rsidP="00D81ADA">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一、收入支出决算总体情况说明</w:t>
      </w:r>
    </w:p>
    <w:p w:rsidR="00FB26EF" w:rsidRDefault="00156AFF" w:rsidP="00D81ADA">
      <w:pPr>
        <w:adjustRightInd w:val="0"/>
        <w:snapToGrid w:val="0"/>
        <w:spacing w:line="360" w:lineRule="auto"/>
        <w:ind w:firstLineChars="200" w:firstLine="534"/>
        <w:jc w:val="left"/>
        <w:rPr>
          <w:rFonts w:ascii="宋体" w:eastAsia="宋体" w:hAnsi="宋体" w:cs="宋体"/>
          <w:w w:val="96"/>
          <w:sz w:val="28"/>
          <w:szCs w:val="28"/>
        </w:rPr>
      </w:pPr>
      <w:r>
        <w:rPr>
          <w:rFonts w:ascii="宋体" w:eastAsia="宋体" w:hAnsi="宋体" w:cs="宋体" w:hint="eastAsia"/>
          <w:w w:val="96"/>
          <w:sz w:val="28"/>
          <w:szCs w:val="28"/>
        </w:rPr>
        <w:t>二、收入决算情况说明</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三、支出决算情况说明</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四、财政拨款收入支出决算总体情况说明</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五、一般公共预算财政拨款支出决算情况说明</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六、一般公共预算财政拨款基本支出决算情况说明</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七、一般公共预算财政拨款三公经费支出决算情况说明</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八、政府性基金预算收入支出决算情况说明</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九、国有资本经营预算财政拨款支出决算情况</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十、关于机关运行经费支出说明</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lastRenderedPageBreak/>
        <w:t>十一、一般性支出情况说明</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十二、关于政府采购支出说明</w:t>
      </w:r>
    </w:p>
    <w:p w:rsidR="00FB26EF" w:rsidRDefault="00156AFF" w:rsidP="00D81ADA">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十三、关于国有资产占用情况说明</w:t>
      </w:r>
    </w:p>
    <w:p w:rsidR="00FB26EF" w:rsidRDefault="00156AFF" w:rsidP="00D81ADA">
      <w:pPr>
        <w:autoSpaceDE w:val="0"/>
        <w:autoSpaceDN w:val="0"/>
        <w:adjustRightInd w:val="0"/>
        <w:snapToGrid w:val="0"/>
        <w:spacing w:line="360" w:lineRule="auto"/>
        <w:ind w:firstLineChars="200" w:firstLine="534"/>
        <w:jc w:val="left"/>
        <w:rPr>
          <w:rFonts w:ascii="仿宋_GB2312" w:hAnsi="仿宋_GB2312" w:cs="仿宋_GB2312"/>
          <w:color w:val="000000"/>
          <w:kern w:val="0"/>
          <w:sz w:val="28"/>
          <w:szCs w:val="28"/>
        </w:rPr>
      </w:pPr>
      <w:r>
        <w:rPr>
          <w:rFonts w:ascii="宋体" w:eastAsia="宋体" w:hAnsi="宋体" w:cs="宋体" w:hint="eastAsia"/>
          <w:color w:val="000000"/>
          <w:w w:val="96"/>
          <w:kern w:val="0"/>
          <w:sz w:val="28"/>
          <w:szCs w:val="28"/>
        </w:rPr>
        <w:t>十四、关于2020年度预算绩效情况说明</w:t>
      </w:r>
    </w:p>
    <w:p w:rsidR="00FB26EF" w:rsidRDefault="00156AFF">
      <w:pPr>
        <w:autoSpaceDE w:val="0"/>
        <w:autoSpaceDN w:val="0"/>
        <w:adjustRightInd w:val="0"/>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第四部分名词解释</w:t>
      </w:r>
    </w:p>
    <w:p w:rsidR="00FB26EF" w:rsidRDefault="00156AFF">
      <w:pPr>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第五部分附件</w:t>
      </w: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rPr>
          <w:sz w:val="72"/>
          <w:szCs w:val="72"/>
        </w:rPr>
      </w:pPr>
    </w:p>
    <w:p w:rsidR="00FB26EF" w:rsidRDefault="00FB26EF">
      <w:pPr>
        <w:pStyle w:val="Default"/>
        <w:jc w:val="center"/>
        <w:rPr>
          <w:sz w:val="84"/>
          <w:szCs w:val="84"/>
        </w:rPr>
      </w:pPr>
    </w:p>
    <w:p w:rsidR="00FB26EF" w:rsidRDefault="00FB26EF">
      <w:pPr>
        <w:pStyle w:val="Default"/>
        <w:jc w:val="center"/>
        <w:rPr>
          <w:sz w:val="84"/>
          <w:szCs w:val="84"/>
        </w:rPr>
      </w:pPr>
    </w:p>
    <w:p w:rsidR="00FB26EF" w:rsidRDefault="00FB26EF">
      <w:pPr>
        <w:pStyle w:val="Default"/>
        <w:jc w:val="center"/>
        <w:rPr>
          <w:sz w:val="84"/>
          <w:szCs w:val="84"/>
        </w:rPr>
      </w:pPr>
    </w:p>
    <w:p w:rsidR="00FB26EF" w:rsidRDefault="00FB26EF">
      <w:pPr>
        <w:pStyle w:val="Default"/>
        <w:jc w:val="center"/>
        <w:rPr>
          <w:sz w:val="84"/>
          <w:szCs w:val="84"/>
        </w:rPr>
      </w:pPr>
    </w:p>
    <w:p w:rsidR="00FB26EF" w:rsidRDefault="00FB26EF">
      <w:pPr>
        <w:pStyle w:val="Default"/>
        <w:jc w:val="center"/>
        <w:rPr>
          <w:sz w:val="84"/>
          <w:szCs w:val="84"/>
        </w:rPr>
      </w:pPr>
    </w:p>
    <w:p w:rsidR="00FB26EF" w:rsidRDefault="00FB26EF">
      <w:pPr>
        <w:pStyle w:val="Default"/>
        <w:jc w:val="center"/>
        <w:rPr>
          <w:sz w:val="84"/>
          <w:szCs w:val="84"/>
        </w:rPr>
      </w:pPr>
    </w:p>
    <w:p w:rsidR="00FB26EF" w:rsidRDefault="00FB26EF">
      <w:pPr>
        <w:pStyle w:val="Default"/>
        <w:jc w:val="center"/>
        <w:rPr>
          <w:sz w:val="84"/>
          <w:szCs w:val="84"/>
        </w:rPr>
      </w:pPr>
    </w:p>
    <w:p w:rsidR="00FB26EF" w:rsidRDefault="00FB26EF">
      <w:pPr>
        <w:pStyle w:val="Default"/>
        <w:jc w:val="center"/>
        <w:rPr>
          <w:sz w:val="84"/>
          <w:szCs w:val="84"/>
        </w:rPr>
      </w:pPr>
    </w:p>
    <w:p w:rsidR="00FB26EF" w:rsidRDefault="00156AFF">
      <w:pPr>
        <w:pStyle w:val="Default"/>
        <w:jc w:val="center"/>
        <w:rPr>
          <w:sz w:val="84"/>
          <w:szCs w:val="84"/>
        </w:rPr>
      </w:pPr>
      <w:r>
        <w:rPr>
          <w:rFonts w:hint="eastAsia"/>
          <w:sz w:val="84"/>
          <w:szCs w:val="84"/>
        </w:rPr>
        <w:t>第一部分</w:t>
      </w:r>
      <w:r>
        <w:rPr>
          <w:sz w:val="84"/>
          <w:szCs w:val="84"/>
        </w:rPr>
        <w:t xml:space="preserve"> </w:t>
      </w:r>
    </w:p>
    <w:p w:rsidR="00FB26EF" w:rsidRDefault="00FB26EF">
      <w:pPr>
        <w:pStyle w:val="Default"/>
        <w:jc w:val="center"/>
        <w:rPr>
          <w:sz w:val="84"/>
          <w:szCs w:val="84"/>
        </w:rPr>
      </w:pPr>
    </w:p>
    <w:p w:rsidR="00FB26EF" w:rsidRDefault="00156AFF">
      <w:pPr>
        <w:pStyle w:val="Default"/>
        <w:jc w:val="center"/>
        <w:rPr>
          <w:sz w:val="84"/>
          <w:szCs w:val="84"/>
        </w:rPr>
      </w:pPr>
      <w:r>
        <w:rPr>
          <w:rFonts w:hint="eastAsia"/>
          <w:sz w:val="84"/>
          <w:szCs w:val="84"/>
        </w:rPr>
        <w:t>衡南县图书馆</w:t>
      </w:r>
    </w:p>
    <w:p w:rsidR="00FB26EF" w:rsidRDefault="00156AFF">
      <w:pPr>
        <w:pStyle w:val="Default"/>
        <w:jc w:val="center"/>
        <w:rPr>
          <w:sz w:val="84"/>
          <w:szCs w:val="84"/>
        </w:rPr>
      </w:pPr>
      <w:r>
        <w:rPr>
          <w:rFonts w:hint="eastAsia"/>
          <w:sz w:val="84"/>
          <w:szCs w:val="84"/>
        </w:rPr>
        <w:t>概况</w:t>
      </w: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pStyle w:val="a7"/>
        <w:ind w:firstLineChars="0" w:firstLine="0"/>
        <w:jc w:val="left"/>
        <w:rPr>
          <w:rFonts w:ascii="黑体" w:eastAsia="黑体" w:hAnsi="黑体"/>
          <w:sz w:val="32"/>
          <w:szCs w:val="32"/>
        </w:rPr>
      </w:pPr>
    </w:p>
    <w:p w:rsidR="00FB26EF" w:rsidRDefault="00FB26EF">
      <w:pPr>
        <w:pStyle w:val="a7"/>
        <w:ind w:firstLineChars="0" w:firstLine="0"/>
        <w:jc w:val="left"/>
        <w:rPr>
          <w:rFonts w:ascii="黑体" w:eastAsia="黑体" w:hAnsi="黑体"/>
          <w:sz w:val="32"/>
          <w:szCs w:val="32"/>
        </w:rPr>
      </w:pPr>
    </w:p>
    <w:p w:rsidR="00FB26EF" w:rsidRDefault="00156AFF">
      <w:pPr>
        <w:pStyle w:val="a7"/>
        <w:numPr>
          <w:ilvl w:val="0"/>
          <w:numId w:val="1"/>
        </w:numPr>
        <w:ind w:firstLineChars="0"/>
        <w:jc w:val="left"/>
        <w:rPr>
          <w:rFonts w:ascii="黑体" w:eastAsia="黑体" w:hAnsi="黑体"/>
          <w:sz w:val="32"/>
          <w:szCs w:val="32"/>
        </w:rPr>
      </w:pPr>
      <w:r>
        <w:rPr>
          <w:rFonts w:ascii="黑体" w:eastAsia="黑体" w:hAnsi="黑体"/>
          <w:sz w:val="32"/>
          <w:szCs w:val="32"/>
        </w:rPr>
        <w:lastRenderedPageBreak/>
        <w:t>部门职责</w:t>
      </w:r>
    </w:p>
    <w:p w:rsidR="00FB26EF" w:rsidRDefault="00156AFF">
      <w:pPr>
        <w:numPr>
          <w:ilvl w:val="0"/>
          <w:numId w:val="2"/>
        </w:numPr>
        <w:ind w:leftChars="270" w:left="567" w:firstLineChars="150" w:firstLine="480"/>
        <w:rPr>
          <w:rFonts w:ascii="宋体" w:hAnsi="宋体" w:cs="宋体"/>
          <w:color w:val="333333"/>
          <w:kern w:val="0"/>
          <w:sz w:val="32"/>
          <w:szCs w:val="32"/>
        </w:rPr>
      </w:pPr>
      <w:r>
        <w:rPr>
          <w:rFonts w:ascii="宋体" w:hAnsi="宋体" w:cs="宋体" w:hint="eastAsia"/>
          <w:color w:val="333333"/>
          <w:kern w:val="0"/>
          <w:sz w:val="32"/>
          <w:szCs w:val="32"/>
        </w:rPr>
        <w:t>坚持“为人民服务、为社会主义服务”的方向和“百花齐放、百家争鸣”的方针，运用各种文艺形式宣传党的路线、方针、政策和国家法律法规，普及科学文化知识。</w:t>
      </w:r>
    </w:p>
    <w:p w:rsidR="00FB26EF" w:rsidRDefault="00156AFF">
      <w:pPr>
        <w:numPr>
          <w:ilvl w:val="0"/>
          <w:numId w:val="2"/>
        </w:numPr>
        <w:ind w:leftChars="270" w:left="567" w:firstLineChars="150" w:firstLine="480"/>
        <w:rPr>
          <w:rFonts w:ascii="宋体" w:hAnsi="宋体" w:cs="宋体"/>
          <w:color w:val="333333"/>
          <w:kern w:val="0"/>
          <w:sz w:val="32"/>
          <w:szCs w:val="32"/>
        </w:rPr>
      </w:pPr>
      <w:r>
        <w:rPr>
          <w:rFonts w:ascii="宋体" w:hAnsi="宋体" w:cs="宋体" w:hint="eastAsia"/>
          <w:color w:val="333333"/>
          <w:kern w:val="0"/>
          <w:sz w:val="32"/>
          <w:szCs w:val="32"/>
        </w:rPr>
        <w:t>大力开展公共文化服务，打造公共文化服务的政府平台，让广大百姓群众共享文化成果，提升民族素质，凝聚民族力量。</w:t>
      </w:r>
    </w:p>
    <w:p w:rsidR="00FB26EF" w:rsidRDefault="00156AFF">
      <w:pPr>
        <w:numPr>
          <w:ilvl w:val="0"/>
          <w:numId w:val="2"/>
        </w:numPr>
        <w:ind w:leftChars="270" w:left="567" w:firstLineChars="150" w:firstLine="480"/>
        <w:rPr>
          <w:rFonts w:ascii="宋体" w:hAnsi="宋体" w:cs="宋体"/>
          <w:color w:val="333333"/>
          <w:kern w:val="0"/>
          <w:sz w:val="32"/>
          <w:szCs w:val="32"/>
        </w:rPr>
      </w:pPr>
      <w:r>
        <w:rPr>
          <w:rFonts w:ascii="宋体" w:hAnsi="宋体" w:cs="宋体" w:hint="eastAsia"/>
          <w:color w:val="333333"/>
          <w:kern w:val="0"/>
          <w:sz w:val="32"/>
          <w:szCs w:val="32"/>
        </w:rPr>
        <w:t>保护人类文化遗产。</w:t>
      </w:r>
    </w:p>
    <w:p w:rsidR="00FB26EF" w:rsidRDefault="00156AFF">
      <w:pPr>
        <w:numPr>
          <w:ilvl w:val="0"/>
          <w:numId w:val="2"/>
        </w:numPr>
        <w:ind w:leftChars="270" w:left="567" w:firstLineChars="150" w:firstLine="480"/>
        <w:rPr>
          <w:rFonts w:ascii="宋体" w:hAnsi="宋体" w:cs="宋体"/>
          <w:color w:val="333333"/>
          <w:kern w:val="0"/>
          <w:sz w:val="32"/>
          <w:szCs w:val="32"/>
        </w:rPr>
      </w:pPr>
      <w:r>
        <w:rPr>
          <w:rFonts w:ascii="宋体" w:hAnsi="宋体" w:cs="宋体" w:hint="eastAsia"/>
          <w:color w:val="333333"/>
          <w:kern w:val="0"/>
          <w:sz w:val="32"/>
          <w:szCs w:val="32"/>
        </w:rPr>
        <w:t>开展社会教育。</w:t>
      </w:r>
    </w:p>
    <w:p w:rsidR="00FB26EF" w:rsidRDefault="00156AFF">
      <w:pPr>
        <w:numPr>
          <w:ilvl w:val="0"/>
          <w:numId w:val="2"/>
        </w:numPr>
        <w:ind w:leftChars="270" w:left="567" w:firstLineChars="150" w:firstLine="480"/>
        <w:rPr>
          <w:rFonts w:ascii="宋体" w:hAnsi="宋体" w:cs="宋体"/>
          <w:color w:val="333333"/>
          <w:kern w:val="0"/>
          <w:sz w:val="32"/>
          <w:szCs w:val="32"/>
        </w:rPr>
      </w:pPr>
      <w:r>
        <w:rPr>
          <w:rFonts w:ascii="宋体" w:hAnsi="宋体" w:cs="宋体" w:hint="eastAsia"/>
          <w:color w:val="333333"/>
          <w:kern w:val="0"/>
          <w:sz w:val="32"/>
          <w:szCs w:val="32"/>
        </w:rPr>
        <w:t>传递科学情报。</w:t>
      </w:r>
    </w:p>
    <w:p w:rsidR="00FB26EF" w:rsidRDefault="00156AFF">
      <w:pPr>
        <w:numPr>
          <w:ilvl w:val="0"/>
          <w:numId w:val="2"/>
        </w:numPr>
        <w:ind w:leftChars="270" w:left="567" w:firstLineChars="150" w:firstLine="480"/>
        <w:rPr>
          <w:rFonts w:ascii="宋体" w:hAnsi="宋体" w:cs="宋体"/>
          <w:color w:val="333333"/>
          <w:kern w:val="0"/>
          <w:sz w:val="32"/>
          <w:szCs w:val="32"/>
        </w:rPr>
      </w:pPr>
      <w:r>
        <w:rPr>
          <w:rFonts w:ascii="宋体" w:hAnsi="宋体" w:cs="宋体" w:hint="eastAsia"/>
          <w:color w:val="333333"/>
          <w:kern w:val="0"/>
          <w:sz w:val="32"/>
          <w:szCs w:val="32"/>
        </w:rPr>
        <w:t>开展智力资源。</w:t>
      </w:r>
    </w:p>
    <w:p w:rsidR="00FB26EF" w:rsidRDefault="00156AFF">
      <w:pPr>
        <w:numPr>
          <w:ilvl w:val="0"/>
          <w:numId w:val="2"/>
        </w:numPr>
        <w:ind w:leftChars="270" w:left="567" w:firstLineChars="150" w:firstLine="480"/>
        <w:rPr>
          <w:rFonts w:ascii="宋体" w:hAnsi="宋体" w:cs="宋体"/>
          <w:color w:val="333333"/>
          <w:kern w:val="0"/>
          <w:sz w:val="32"/>
          <w:szCs w:val="32"/>
        </w:rPr>
      </w:pPr>
      <w:r>
        <w:rPr>
          <w:rFonts w:ascii="宋体" w:hAnsi="宋体" w:cs="宋体" w:hint="eastAsia"/>
          <w:color w:val="333333"/>
          <w:kern w:val="0"/>
          <w:sz w:val="32"/>
          <w:szCs w:val="32"/>
        </w:rPr>
        <w:t>提供文化娱乐。</w:t>
      </w:r>
    </w:p>
    <w:p w:rsidR="00FB26EF" w:rsidRDefault="00156AFF">
      <w:pPr>
        <w:numPr>
          <w:ilvl w:val="0"/>
          <w:numId w:val="2"/>
        </w:numPr>
        <w:ind w:leftChars="270" w:left="567" w:firstLineChars="150" w:firstLine="480"/>
        <w:rPr>
          <w:rFonts w:ascii="仿宋_GB2312" w:eastAsia="仿宋_GB2312" w:hAnsiTheme="minorEastAsia"/>
          <w:sz w:val="32"/>
          <w:szCs w:val="32"/>
        </w:rPr>
      </w:pPr>
      <w:r>
        <w:rPr>
          <w:rFonts w:ascii="宋体" w:hAnsi="宋体" w:cs="宋体" w:hint="eastAsia"/>
          <w:color w:val="333333"/>
          <w:kern w:val="0"/>
          <w:sz w:val="32"/>
          <w:szCs w:val="32"/>
        </w:rPr>
        <w:t>承办县委、县人民政府及县文化旅游广电体育局交办的其他事项。</w:t>
      </w:r>
    </w:p>
    <w:p w:rsidR="00FB26EF" w:rsidRDefault="00156AFF">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FB26EF" w:rsidRDefault="00156AFF">
      <w:pPr>
        <w:widowControl/>
        <w:spacing w:line="600" w:lineRule="exact"/>
        <w:rPr>
          <w:rFonts w:asciiTheme="minorEastAsia" w:hAnsiTheme="minorEastAsia" w:cstheme="minorEastAsia"/>
          <w:bCs/>
          <w:kern w:val="0"/>
          <w:sz w:val="32"/>
          <w:szCs w:val="32"/>
        </w:rPr>
      </w:pPr>
      <w:r>
        <w:rPr>
          <w:rFonts w:asciiTheme="minorEastAsia" w:hAnsiTheme="minorEastAsia" w:hint="eastAsia"/>
          <w:bCs/>
          <w:kern w:val="0"/>
          <w:sz w:val="32"/>
          <w:szCs w:val="32"/>
        </w:rPr>
        <w:t>（</w:t>
      </w:r>
      <w:r>
        <w:rPr>
          <w:rFonts w:asciiTheme="minorEastAsia" w:hAnsiTheme="minorEastAsia" w:cstheme="minorEastAsia" w:hint="eastAsia"/>
          <w:bCs/>
          <w:kern w:val="0"/>
          <w:sz w:val="32"/>
          <w:szCs w:val="32"/>
        </w:rPr>
        <w:t>一）内设机构设置。衡南县图书馆单位内设机构包括：</w:t>
      </w:r>
    </w:p>
    <w:p w:rsidR="00FB26EF" w:rsidRDefault="00156AFF" w:rsidP="00D81ADA">
      <w:pPr>
        <w:pStyle w:val="a6"/>
        <w:shd w:val="clear" w:color="auto" w:fill="FFFFFF"/>
        <w:adjustRightInd w:val="0"/>
        <w:snapToGrid w:val="0"/>
        <w:spacing w:beforeLines="50" w:before="156" w:beforeAutospacing="0" w:afterLines="50" w:after="156" w:afterAutospacing="0" w:line="360" w:lineRule="auto"/>
        <w:ind w:rightChars="200" w:right="420"/>
        <w:rPr>
          <w:rFonts w:asciiTheme="minorEastAsia" w:eastAsiaTheme="minorEastAsia" w:hAnsiTheme="minorEastAsia" w:cstheme="minorEastAsia"/>
          <w:color w:val="333333"/>
          <w:sz w:val="32"/>
          <w:szCs w:val="32"/>
        </w:rPr>
      </w:pPr>
      <w:r>
        <w:rPr>
          <w:rFonts w:asciiTheme="minorEastAsia" w:eastAsiaTheme="minorEastAsia" w:hAnsiTheme="minorEastAsia" w:cstheme="minorEastAsia" w:hint="eastAsia"/>
          <w:color w:val="333333"/>
          <w:sz w:val="32"/>
          <w:szCs w:val="32"/>
        </w:rPr>
        <w:t>办公室、采编室、外借室、综合阅览室、少儿阅览室、古籍与地方文献室、电子阅览室、</w:t>
      </w:r>
      <w:r>
        <w:rPr>
          <w:rFonts w:asciiTheme="minorEastAsia" w:eastAsiaTheme="minorEastAsia" w:hAnsiTheme="minorEastAsia" w:cstheme="minorEastAsia" w:hint="eastAsia"/>
          <w:color w:val="000000"/>
          <w:sz w:val="32"/>
          <w:szCs w:val="32"/>
        </w:rPr>
        <w:t>财务室、少儿图书馆、24小时自助图书馆共10个股</w:t>
      </w:r>
      <w:r>
        <w:rPr>
          <w:rFonts w:asciiTheme="minorEastAsia" w:eastAsiaTheme="minorEastAsia" w:hAnsiTheme="minorEastAsia" w:cstheme="minorEastAsia" w:hint="eastAsia"/>
          <w:color w:val="333333"/>
          <w:sz w:val="32"/>
          <w:szCs w:val="32"/>
        </w:rPr>
        <w:t>室。</w:t>
      </w:r>
    </w:p>
    <w:p w:rsidR="00FB26EF" w:rsidRDefault="00156AFF" w:rsidP="00D81ADA">
      <w:pPr>
        <w:pStyle w:val="a6"/>
        <w:shd w:val="clear" w:color="auto" w:fill="FFFFFF"/>
        <w:adjustRightInd w:val="0"/>
        <w:snapToGrid w:val="0"/>
        <w:spacing w:beforeLines="50" w:before="156" w:beforeAutospacing="0" w:afterLines="50" w:after="156" w:afterAutospacing="0" w:line="360" w:lineRule="auto"/>
        <w:ind w:rightChars="200" w:right="420"/>
        <w:rPr>
          <w:rFonts w:asciiTheme="minorEastAsia" w:eastAsiaTheme="minorEastAsia" w:hAnsiTheme="minorEastAsia" w:cstheme="minorEastAsia"/>
          <w:sz w:val="32"/>
          <w:szCs w:val="32"/>
        </w:rPr>
      </w:pPr>
      <w:r>
        <w:rPr>
          <w:rFonts w:asciiTheme="minorEastAsia" w:eastAsiaTheme="minorEastAsia" w:hAnsiTheme="minorEastAsia" w:cstheme="minorEastAsia" w:hint="eastAsia"/>
          <w:bCs/>
          <w:sz w:val="32"/>
          <w:szCs w:val="32"/>
        </w:rPr>
        <w:lastRenderedPageBreak/>
        <w:t>（二）决算单位构成。衡南县图书馆2020年部门决算汇总公开单位构成包括：衡南县图书馆单位本级。衡南县图书馆作为一级预算单位，无下属二级机构及其他。</w:t>
      </w: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156AFF">
      <w:pPr>
        <w:jc w:val="center"/>
        <w:rPr>
          <w:sz w:val="72"/>
          <w:szCs w:val="72"/>
        </w:rPr>
      </w:pPr>
      <w:r>
        <w:rPr>
          <w:rFonts w:hint="eastAsia"/>
          <w:sz w:val="72"/>
          <w:szCs w:val="72"/>
        </w:rPr>
        <w:t>第二部分</w:t>
      </w:r>
    </w:p>
    <w:p w:rsidR="00FB26EF" w:rsidRDefault="00FB26EF">
      <w:pPr>
        <w:jc w:val="center"/>
        <w:rPr>
          <w:sz w:val="72"/>
          <w:szCs w:val="72"/>
        </w:rPr>
      </w:pPr>
    </w:p>
    <w:p w:rsidR="00FB26EF" w:rsidRDefault="00156AFF">
      <w:pPr>
        <w:jc w:val="center"/>
        <w:rPr>
          <w:sz w:val="72"/>
          <w:szCs w:val="72"/>
        </w:rPr>
      </w:pPr>
      <w:r>
        <w:rPr>
          <w:rFonts w:hint="eastAsia"/>
          <w:sz w:val="72"/>
          <w:szCs w:val="72"/>
        </w:rPr>
        <w:t>部门决算表</w:t>
      </w:r>
    </w:p>
    <w:p w:rsidR="00FB26EF" w:rsidRDefault="00FB26EF">
      <w:pPr>
        <w:jc w:val="center"/>
        <w:rPr>
          <w:sz w:val="72"/>
          <w:szCs w:val="72"/>
        </w:rPr>
      </w:pPr>
    </w:p>
    <w:p w:rsidR="00FB26EF" w:rsidRDefault="00156AFF">
      <w:pPr>
        <w:jc w:val="center"/>
        <w:rPr>
          <w:sz w:val="44"/>
          <w:szCs w:val="44"/>
        </w:rPr>
      </w:pPr>
      <w:r>
        <w:rPr>
          <w:rFonts w:hint="eastAsia"/>
          <w:sz w:val="44"/>
          <w:szCs w:val="44"/>
        </w:rPr>
        <w:t>(</w:t>
      </w:r>
      <w:r>
        <w:rPr>
          <w:rFonts w:hint="eastAsia"/>
          <w:sz w:val="44"/>
          <w:szCs w:val="44"/>
        </w:rPr>
        <w:t>部门决算公示表附后</w:t>
      </w:r>
      <w:r>
        <w:rPr>
          <w:rFonts w:hint="eastAsia"/>
          <w:sz w:val="44"/>
          <w:szCs w:val="44"/>
        </w:rPr>
        <w:t>)</w:t>
      </w: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center"/>
        <w:rPr>
          <w:sz w:val="72"/>
          <w:szCs w:val="72"/>
        </w:rPr>
      </w:pPr>
    </w:p>
    <w:p w:rsidR="00FB26EF" w:rsidRDefault="00FB26EF">
      <w:pPr>
        <w:jc w:val="left"/>
        <w:rPr>
          <w:sz w:val="32"/>
          <w:szCs w:val="32"/>
        </w:rPr>
      </w:pPr>
    </w:p>
    <w:p w:rsidR="00FB26EF" w:rsidRDefault="00FB26EF">
      <w:pPr>
        <w:jc w:val="left"/>
        <w:rPr>
          <w:rFonts w:asciiTheme="minorEastAsia" w:hAnsiTheme="minorEastAsia"/>
          <w:sz w:val="32"/>
          <w:szCs w:val="32"/>
        </w:rPr>
        <w:sectPr w:rsidR="00FB26EF">
          <w:pgSz w:w="11906" w:h="16838"/>
          <w:pgMar w:top="1440" w:right="1800" w:bottom="1440" w:left="1800" w:header="851" w:footer="992" w:gutter="0"/>
          <w:cols w:space="425"/>
          <w:docGrid w:type="lines" w:linePitch="312"/>
        </w:sectPr>
      </w:pPr>
    </w:p>
    <w:p w:rsidR="00FB26EF" w:rsidRDefault="00FB26EF">
      <w:pPr>
        <w:pStyle w:val="Default"/>
        <w:jc w:val="both"/>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156AFF">
      <w:pPr>
        <w:pStyle w:val="Default"/>
        <w:jc w:val="center"/>
        <w:rPr>
          <w:sz w:val="72"/>
          <w:szCs w:val="72"/>
        </w:rPr>
      </w:pPr>
      <w:r>
        <w:rPr>
          <w:rFonts w:hint="eastAsia"/>
          <w:sz w:val="72"/>
          <w:szCs w:val="72"/>
        </w:rPr>
        <w:t>第三部分</w:t>
      </w:r>
    </w:p>
    <w:p w:rsidR="00FB26EF" w:rsidRDefault="00FB26EF">
      <w:pPr>
        <w:pStyle w:val="Default"/>
        <w:jc w:val="center"/>
        <w:rPr>
          <w:sz w:val="70"/>
          <w:szCs w:val="70"/>
        </w:rPr>
      </w:pPr>
    </w:p>
    <w:p w:rsidR="00FB26EF" w:rsidRDefault="00156AFF">
      <w:pPr>
        <w:pStyle w:val="Default"/>
        <w:jc w:val="center"/>
        <w:rPr>
          <w:sz w:val="70"/>
          <w:szCs w:val="70"/>
        </w:rPr>
      </w:pPr>
      <w:r>
        <w:rPr>
          <w:sz w:val="70"/>
          <w:szCs w:val="70"/>
        </w:rPr>
        <w:t>20</w:t>
      </w:r>
      <w:r>
        <w:rPr>
          <w:rFonts w:hint="eastAsia"/>
          <w:sz w:val="70"/>
          <w:szCs w:val="70"/>
        </w:rPr>
        <w:t>20年度部门决算情况说明</w:t>
      </w:r>
    </w:p>
    <w:p w:rsidR="00FB26EF" w:rsidRDefault="00FB26EF">
      <w:pPr>
        <w:pStyle w:val="Default"/>
        <w:jc w:val="center"/>
        <w:rPr>
          <w:sz w:val="70"/>
          <w:szCs w:val="70"/>
        </w:rPr>
      </w:pPr>
    </w:p>
    <w:p w:rsidR="00FB26EF" w:rsidRDefault="00FB26EF">
      <w:pPr>
        <w:pStyle w:val="Default"/>
        <w:jc w:val="center"/>
        <w:rPr>
          <w:sz w:val="70"/>
          <w:szCs w:val="70"/>
        </w:rPr>
      </w:pPr>
    </w:p>
    <w:p w:rsidR="00FB26EF" w:rsidRDefault="00FB26EF">
      <w:pPr>
        <w:pStyle w:val="Default"/>
        <w:jc w:val="center"/>
        <w:rPr>
          <w:sz w:val="70"/>
          <w:szCs w:val="70"/>
        </w:rPr>
      </w:pPr>
    </w:p>
    <w:p w:rsidR="00FB26EF" w:rsidRDefault="00FB26EF">
      <w:pPr>
        <w:pStyle w:val="Default"/>
        <w:jc w:val="center"/>
        <w:rPr>
          <w:sz w:val="70"/>
          <w:szCs w:val="70"/>
        </w:rPr>
      </w:pPr>
    </w:p>
    <w:p w:rsidR="00FB26EF" w:rsidRDefault="00FB26EF">
      <w:pPr>
        <w:pStyle w:val="Default"/>
        <w:jc w:val="center"/>
        <w:rPr>
          <w:sz w:val="70"/>
          <w:szCs w:val="70"/>
        </w:rPr>
      </w:pPr>
    </w:p>
    <w:p w:rsidR="00FB26EF" w:rsidRDefault="00FB26EF">
      <w:pPr>
        <w:pStyle w:val="Default"/>
        <w:jc w:val="both"/>
        <w:rPr>
          <w:sz w:val="70"/>
          <w:szCs w:val="70"/>
        </w:rPr>
      </w:pPr>
    </w:p>
    <w:p w:rsidR="00FB26EF" w:rsidRDefault="00FB26EF">
      <w:pPr>
        <w:pStyle w:val="Default"/>
        <w:jc w:val="both"/>
        <w:rPr>
          <w:sz w:val="70"/>
          <w:szCs w:val="70"/>
        </w:rPr>
      </w:pPr>
    </w:p>
    <w:p w:rsidR="00FB26EF" w:rsidRDefault="00FB26EF">
      <w:pPr>
        <w:pStyle w:val="Default"/>
        <w:rPr>
          <w:rFonts w:asciiTheme="minorEastAsia" w:eastAsiaTheme="minorEastAsia" w:hAnsiTheme="minorEastAsia"/>
          <w:sz w:val="32"/>
          <w:szCs w:val="32"/>
        </w:rPr>
      </w:pPr>
    </w:p>
    <w:p w:rsidR="00FB26EF" w:rsidRDefault="00156AFF" w:rsidP="00D81ADA">
      <w:pPr>
        <w:pStyle w:val="Default"/>
        <w:ind w:firstLineChars="200" w:firstLine="643"/>
        <w:rPr>
          <w:rFonts w:hAnsi="黑体"/>
          <w:b/>
          <w:sz w:val="32"/>
          <w:szCs w:val="32"/>
        </w:rPr>
      </w:pPr>
      <w:r>
        <w:rPr>
          <w:rFonts w:hAnsi="黑体" w:hint="eastAsia"/>
          <w:b/>
          <w:sz w:val="32"/>
          <w:szCs w:val="32"/>
        </w:rPr>
        <w:t>一、收入支出决算总体情况说明</w:t>
      </w:r>
    </w:p>
    <w:p w:rsidR="00FB26EF" w:rsidRDefault="00156AFF">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2020年度收、支总计</w:t>
      </w:r>
      <w:r w:rsidR="00BE601B">
        <w:rPr>
          <w:rFonts w:asciiTheme="minorEastAsia" w:eastAsiaTheme="minorEastAsia" w:hAnsiTheme="minorEastAsia"/>
          <w:sz w:val="32"/>
          <w:szCs w:val="32"/>
        </w:rPr>
        <w:t>237.89</w:t>
      </w:r>
      <w:r>
        <w:rPr>
          <w:rFonts w:asciiTheme="minorEastAsia" w:eastAsiaTheme="minorEastAsia" w:hAnsiTheme="minorEastAsia" w:hint="eastAsia"/>
          <w:sz w:val="32"/>
          <w:szCs w:val="32"/>
        </w:rPr>
        <w:t>万元。与2019年相比，减少62.68万元，减少11.64%，主要是因为项目经费减少。</w:t>
      </w:r>
    </w:p>
    <w:p w:rsidR="00FB26EF" w:rsidRDefault="00156AFF" w:rsidP="00D81ADA">
      <w:pPr>
        <w:pStyle w:val="Default"/>
        <w:ind w:firstLineChars="200" w:firstLine="643"/>
        <w:rPr>
          <w:rFonts w:hAnsi="黑体"/>
          <w:b/>
          <w:sz w:val="32"/>
          <w:szCs w:val="32"/>
        </w:rPr>
      </w:pPr>
      <w:r>
        <w:rPr>
          <w:rFonts w:hAnsi="黑体" w:hint="eastAsia"/>
          <w:b/>
          <w:sz w:val="32"/>
          <w:szCs w:val="32"/>
        </w:rPr>
        <w:t>二、收入决算情况说明</w:t>
      </w:r>
    </w:p>
    <w:p w:rsidR="00FB26EF" w:rsidRDefault="00156AFF">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本年收入合计237.89万元，其中：财政拨款收入237.89万元，占100%；上级补助收入0万元，占0%；事业收入0万元，占0%；经营收入0万元，占0%；附属单位上缴收入0万元，占0%；其他收入0万元，占0%。</w:t>
      </w:r>
      <w:r w:rsidR="00BE601B">
        <w:rPr>
          <w:rFonts w:asciiTheme="minorEastAsia" w:eastAsiaTheme="minorEastAsia" w:hAnsiTheme="minorEastAsia" w:hint="eastAsia"/>
          <w:sz w:val="32"/>
          <w:szCs w:val="32"/>
        </w:rPr>
        <w:t>与2019年相比，减少62.68万元，减少11.64%，主要是因为项目经费减少。</w:t>
      </w:r>
    </w:p>
    <w:p w:rsidR="00FB26EF" w:rsidRDefault="00156AFF" w:rsidP="00D81ADA">
      <w:pPr>
        <w:pStyle w:val="Default"/>
        <w:ind w:firstLineChars="200" w:firstLine="643"/>
        <w:rPr>
          <w:rFonts w:hAnsi="黑体"/>
          <w:b/>
          <w:sz w:val="32"/>
          <w:szCs w:val="32"/>
        </w:rPr>
      </w:pPr>
      <w:r>
        <w:rPr>
          <w:rFonts w:hAnsi="黑体" w:hint="eastAsia"/>
          <w:b/>
          <w:sz w:val="32"/>
          <w:szCs w:val="32"/>
        </w:rPr>
        <w:t>三、支出决算情况说明</w:t>
      </w:r>
    </w:p>
    <w:p w:rsidR="00FB26EF" w:rsidRDefault="00156AFF">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本年支出合计237.89万元，其中：基本支出175.89万元，占74%；项目支出62万元，占26%；上缴上级支出0万元，占0%；经营支出0万元，占0%；对附属单位补助支出0万元，占0%。</w:t>
      </w:r>
    </w:p>
    <w:p w:rsidR="00FB26EF" w:rsidRDefault="00156AFF" w:rsidP="00D81ADA">
      <w:pPr>
        <w:pStyle w:val="Default"/>
        <w:ind w:firstLineChars="200" w:firstLine="643"/>
        <w:rPr>
          <w:rFonts w:hAnsi="黑体"/>
          <w:b/>
          <w:sz w:val="32"/>
          <w:szCs w:val="32"/>
        </w:rPr>
      </w:pPr>
      <w:r>
        <w:rPr>
          <w:rFonts w:hAnsi="黑体" w:hint="eastAsia"/>
          <w:b/>
          <w:sz w:val="32"/>
          <w:szCs w:val="32"/>
        </w:rPr>
        <w:t>四、财政拨款收入支出决算总体情况说明</w:t>
      </w:r>
    </w:p>
    <w:p w:rsidR="00FB26EF" w:rsidRDefault="00156AFF">
      <w:pPr>
        <w:pStyle w:val="Default"/>
        <w:ind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2020年度财政拨款收、支总计</w:t>
      </w:r>
      <w:r w:rsidR="00BE601B">
        <w:rPr>
          <w:rFonts w:asciiTheme="minorEastAsia" w:eastAsiaTheme="minorEastAsia" w:hAnsiTheme="minorEastAsia"/>
          <w:sz w:val="32"/>
          <w:szCs w:val="32"/>
        </w:rPr>
        <w:t>237.98</w:t>
      </w:r>
      <w:r>
        <w:rPr>
          <w:rFonts w:asciiTheme="minorEastAsia" w:eastAsiaTheme="minorEastAsia" w:hAnsiTheme="minorEastAsia" w:hint="eastAsia"/>
          <w:sz w:val="32"/>
          <w:szCs w:val="32"/>
        </w:rPr>
        <w:t>万元，与2019年相比减少62.68万元,减少11.64%，主要是因为项目经费减少。</w:t>
      </w:r>
    </w:p>
    <w:p w:rsidR="00FB26EF" w:rsidRDefault="00156AFF" w:rsidP="00D81ADA">
      <w:pPr>
        <w:pStyle w:val="Default"/>
        <w:ind w:firstLineChars="200" w:firstLine="643"/>
        <w:rPr>
          <w:rFonts w:hAnsi="黑体"/>
          <w:b/>
          <w:sz w:val="32"/>
          <w:szCs w:val="32"/>
        </w:rPr>
      </w:pPr>
      <w:r>
        <w:rPr>
          <w:rFonts w:hAnsi="黑体" w:hint="eastAsia"/>
          <w:b/>
          <w:sz w:val="32"/>
          <w:szCs w:val="32"/>
        </w:rPr>
        <w:t>五、一般公共预算财政拨款支出决算情况说明</w:t>
      </w:r>
    </w:p>
    <w:p w:rsidR="00FB26EF" w:rsidRDefault="00156AFF" w:rsidP="00D81ADA">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FB26EF" w:rsidRDefault="00156AF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2020年度财政拨款支出237.89万元，占本年支出合计的100%，与2019年相比，财政拨款支出减少31.33万元，减少11.64%，主要是因为项目经费减少。</w:t>
      </w:r>
    </w:p>
    <w:p w:rsidR="00FB26EF" w:rsidRDefault="00156AFF" w:rsidP="00D81ADA">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FB26EF" w:rsidRDefault="00156AFF">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2020年度财政拨款支出237.89万元，主要用于以下方面：文化旅游体育与传媒支出214.71万元，占90.3%；社会保障和就业支出12.04万元，占5%，</w:t>
      </w:r>
      <w:r>
        <w:rPr>
          <w:rFonts w:asciiTheme="minorEastAsia" w:eastAsiaTheme="minorEastAsia" w:hAnsiTheme="minorEastAsia" w:hint="eastAsia"/>
          <w:sz w:val="32"/>
          <w:szCs w:val="32"/>
        </w:rPr>
        <w:lastRenderedPageBreak/>
        <w:t>卫生健康支出6.85万元，占2.9%；住房保障支出4.29万元，占1.8%。</w:t>
      </w:r>
    </w:p>
    <w:p w:rsidR="00FB26EF" w:rsidRDefault="00156AFF" w:rsidP="00D81ADA">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FB26EF" w:rsidRDefault="00156AF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2020年度财政拨款支出年初预算数为209.71万元，支出决算数为237.89万元，完成年初预算的113.44%，决算数大于预算数的主要原因是人员异动及政策性调整。其中：</w:t>
      </w:r>
    </w:p>
    <w:p w:rsidR="00FB26EF" w:rsidRDefault="00156AF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1、文化旅游体育与传媒支出</w:t>
      </w:r>
    </w:p>
    <w:p w:rsidR="00FB26EF" w:rsidRDefault="00156AF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年初预算为174.65万元，支出决算为214.71万元，完成年初预算的122.94%，决算数大于年初预算数的主要原因是人员异动及政策性调整。</w:t>
      </w:r>
    </w:p>
    <w:p w:rsidR="00FB26EF" w:rsidRDefault="00156AF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2、社会保障和就业支出。</w:t>
      </w:r>
    </w:p>
    <w:p w:rsidR="00FB26EF" w:rsidRDefault="00156AF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年初预算为23.92万元，支出决算为12.04万元，完成年初预算的50%，决算数小于年初预算数的主要原因是：2020年度基本养老保险和职业年金未结算。</w:t>
      </w:r>
    </w:p>
    <w:p w:rsidR="00FB26EF" w:rsidRDefault="00156AFF">
      <w:pPr>
        <w:pStyle w:val="Default"/>
        <w:numPr>
          <w:ilvl w:val="0"/>
          <w:numId w:val="3"/>
        </w:numPr>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卫生健康支出</w:t>
      </w:r>
    </w:p>
    <w:p w:rsidR="00FB26EF" w:rsidRDefault="00156AFF">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年初预算为6.85万元，支出决算为6.85万元，完成年初预算的100%，</w:t>
      </w:r>
    </w:p>
    <w:p w:rsidR="00FB26EF" w:rsidRDefault="00156AFF">
      <w:pPr>
        <w:pStyle w:val="Default"/>
        <w:numPr>
          <w:ilvl w:val="0"/>
          <w:numId w:val="3"/>
        </w:numPr>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住房保障支出</w:t>
      </w:r>
    </w:p>
    <w:p w:rsidR="00FB26EF" w:rsidRDefault="00156AFF">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年初预算为4.29万元，支出决算为4.29万元，完成年初预算的100%，</w:t>
      </w:r>
    </w:p>
    <w:p w:rsidR="00FB26EF" w:rsidRDefault="00156AFF" w:rsidP="00D81ADA">
      <w:pPr>
        <w:pStyle w:val="Default"/>
        <w:ind w:firstLineChars="200" w:firstLine="643"/>
        <w:rPr>
          <w:rFonts w:hAnsi="黑体"/>
          <w:b/>
          <w:sz w:val="32"/>
          <w:szCs w:val="32"/>
        </w:rPr>
      </w:pPr>
      <w:r>
        <w:rPr>
          <w:rFonts w:hAnsi="黑体" w:hint="eastAsia"/>
          <w:b/>
          <w:sz w:val="32"/>
          <w:szCs w:val="32"/>
        </w:rPr>
        <w:t>六、一般公共预算财政拨款基本支出决算情况说明</w:t>
      </w:r>
    </w:p>
    <w:p w:rsidR="00FB26EF" w:rsidRDefault="00156AFF">
      <w:pPr>
        <w:widowControl/>
        <w:shd w:val="clear" w:color="auto" w:fill="FFFFFF"/>
        <w:ind w:firstLineChars="200" w:firstLine="640"/>
        <w:jc w:val="left"/>
        <w:rPr>
          <w:rFonts w:asciiTheme="minorEastAsia" w:hAnsiTheme="minorEastAsia"/>
          <w:sz w:val="32"/>
          <w:szCs w:val="32"/>
        </w:rPr>
      </w:pPr>
      <w:r>
        <w:rPr>
          <w:rFonts w:asciiTheme="minorEastAsia" w:hAnsiTheme="minorEastAsia" w:hint="eastAsia"/>
          <w:sz w:val="32"/>
          <w:szCs w:val="32"/>
        </w:rPr>
        <w:t>2020年度财政拨款基本支出175.89万元，其中：人员经费155.56万元，占基本支出的88.44%,主要包括</w:t>
      </w:r>
      <w:r>
        <w:rPr>
          <w:rFonts w:ascii="宋体" w:hAnsi="宋体" w:cs="宋体" w:hint="eastAsia"/>
          <w:color w:val="333333"/>
          <w:kern w:val="0"/>
          <w:sz w:val="32"/>
          <w:szCs w:val="32"/>
        </w:rPr>
        <w:t>基本工资、津贴补贴、奖金、伙食补助费、绩效工资、机关事业单位基本养老保险缴费、职业年金缴费、职工基本医疗保险缴费、其他社会保障缴费、其他工资福利支出、抚恤金、医疗费、住房公积金、其他对个人和家庭的补助支出；</w:t>
      </w:r>
      <w:r>
        <w:rPr>
          <w:rFonts w:asciiTheme="minorEastAsia" w:hAnsiTheme="minorEastAsia" w:hint="eastAsia"/>
          <w:sz w:val="32"/>
          <w:szCs w:val="32"/>
        </w:rPr>
        <w:t>公用经费20.33万元,占基本支出的11.56%。主要是用于办公费、水费、电费、差旅费、其他交通</w:t>
      </w:r>
      <w:r>
        <w:rPr>
          <w:rFonts w:ascii="宋体" w:hAnsi="宋体" w:cs="宋体" w:hint="eastAsia"/>
          <w:color w:val="333333"/>
          <w:kern w:val="0"/>
          <w:sz w:val="32"/>
          <w:szCs w:val="32"/>
        </w:rPr>
        <w:t>费</w:t>
      </w:r>
      <w:r>
        <w:rPr>
          <w:rFonts w:asciiTheme="minorEastAsia" w:hAnsiTheme="minorEastAsia" w:hint="eastAsia"/>
          <w:sz w:val="32"/>
          <w:szCs w:val="32"/>
        </w:rPr>
        <w:t>用及其他商品和服务支出。</w:t>
      </w:r>
    </w:p>
    <w:p w:rsidR="00FB26EF" w:rsidRDefault="00156AFF" w:rsidP="00D81ADA">
      <w:pPr>
        <w:pStyle w:val="Default"/>
        <w:ind w:firstLineChars="200" w:firstLine="643"/>
        <w:rPr>
          <w:rFonts w:hAnsi="黑体"/>
          <w:b/>
          <w:sz w:val="32"/>
          <w:szCs w:val="32"/>
        </w:rPr>
      </w:pPr>
      <w:r>
        <w:rPr>
          <w:rFonts w:hAnsi="黑体" w:hint="eastAsia"/>
          <w:b/>
          <w:sz w:val="32"/>
          <w:szCs w:val="32"/>
        </w:rPr>
        <w:lastRenderedPageBreak/>
        <w:t>七、一般公共预算财政拨款三公经费支出决算情况说明</w:t>
      </w:r>
    </w:p>
    <w:p w:rsidR="00FB26EF" w:rsidRDefault="00156AFF" w:rsidP="00D81ADA">
      <w:pPr>
        <w:pStyle w:val="Default"/>
        <w:ind w:firstLineChars="200" w:firstLine="643"/>
        <w:rPr>
          <w:rFonts w:asciiTheme="minorEastAsia" w:eastAsiaTheme="minorEastAsia" w:hAnsiTheme="minorEastAsia"/>
          <w:sz w:val="32"/>
          <w:szCs w:val="32"/>
        </w:rPr>
      </w:pPr>
      <w:r>
        <w:rPr>
          <w:rFonts w:asciiTheme="minorEastAsia" w:eastAsiaTheme="minorEastAsia" w:hAnsiTheme="minorEastAsia" w:hint="eastAsia"/>
          <w:b/>
          <w:bCs/>
          <w:sz w:val="32"/>
          <w:szCs w:val="32"/>
        </w:rPr>
        <w:t>（一）“三公”经费财政拨款支出决算总体情况说明</w:t>
      </w:r>
    </w:p>
    <w:p w:rsidR="00233FEF" w:rsidRDefault="00156AFF">
      <w:pPr>
        <w:pStyle w:val="Default"/>
        <w:ind w:left="320" w:hangingChars="100" w:hanging="32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bCs/>
          <w:sz w:val="32"/>
          <w:szCs w:val="32"/>
        </w:rPr>
        <w:t>“三公经费”</w:t>
      </w:r>
      <w:r>
        <w:rPr>
          <w:rFonts w:asciiTheme="minorEastAsia" w:eastAsiaTheme="minorEastAsia" w:hAnsiTheme="minorEastAsia" w:hint="eastAsia"/>
          <w:sz w:val="32"/>
          <w:szCs w:val="32"/>
        </w:rPr>
        <w:t>年初预算为0万元，支出决算为0万元。</w:t>
      </w:r>
      <w:r w:rsidR="00233FEF">
        <w:rPr>
          <w:rFonts w:asciiTheme="minorEastAsia" w:eastAsiaTheme="minorEastAsia" w:hAnsiTheme="minorEastAsia" w:hint="eastAsia"/>
          <w:sz w:val="32"/>
          <w:szCs w:val="32"/>
        </w:rPr>
        <w:t>其中：</w:t>
      </w:r>
    </w:p>
    <w:p w:rsidR="00233FEF" w:rsidRDefault="00233FEF" w:rsidP="00233FEF">
      <w:pPr>
        <w:pStyle w:val="Default"/>
        <w:ind w:leftChars="152" w:left="319" w:firstLineChars="100" w:firstLine="320"/>
        <w:rPr>
          <w:rFonts w:asciiTheme="minorEastAsia" w:eastAsiaTheme="minorEastAsia" w:hAnsiTheme="minorEastAsia" w:cs="仿宋"/>
          <w:color w:val="auto"/>
          <w:sz w:val="32"/>
          <w:szCs w:val="32"/>
        </w:rPr>
      </w:pPr>
      <w:r>
        <w:rPr>
          <w:rFonts w:asciiTheme="minorEastAsia" w:eastAsiaTheme="minorEastAsia" w:hAnsiTheme="minorEastAsia" w:cs="仿宋" w:hint="eastAsia"/>
          <w:color w:val="auto"/>
          <w:sz w:val="32"/>
          <w:szCs w:val="32"/>
        </w:rPr>
        <w:t>因公出国（境）费支出</w:t>
      </w:r>
      <w:r>
        <w:rPr>
          <w:rFonts w:asciiTheme="minorEastAsia" w:eastAsiaTheme="minorEastAsia" w:hAnsiTheme="minorEastAsia" w:cstheme="minorEastAsia" w:hint="eastAsia"/>
          <w:sz w:val="32"/>
          <w:szCs w:val="32"/>
        </w:rPr>
        <w:t>预算0万元</w:t>
      </w:r>
      <w:r>
        <w:rPr>
          <w:rFonts w:asciiTheme="minorEastAsia" w:eastAsiaTheme="minorEastAsia" w:hAnsiTheme="minorEastAsia" w:cs="仿宋" w:hint="eastAsia"/>
          <w:color w:val="auto"/>
          <w:sz w:val="32"/>
          <w:szCs w:val="32"/>
        </w:rPr>
        <w:t>，支出决算数为0万元，无因公出国（境）。</w:t>
      </w:r>
    </w:p>
    <w:p w:rsidR="00233FEF" w:rsidRDefault="00233FEF" w:rsidP="00233FEF">
      <w:pPr>
        <w:pStyle w:val="Default"/>
        <w:ind w:leftChars="152" w:left="319" w:firstLineChars="100" w:firstLine="320"/>
        <w:rPr>
          <w:rFonts w:asciiTheme="minorEastAsia" w:eastAsiaTheme="minorEastAsia" w:hAnsiTheme="minorEastAsia"/>
          <w:sz w:val="32"/>
          <w:szCs w:val="32"/>
        </w:rPr>
      </w:pPr>
      <w:r>
        <w:rPr>
          <w:rFonts w:asciiTheme="minorEastAsia" w:eastAsiaTheme="minorEastAsia" w:hAnsiTheme="minorEastAsia" w:cstheme="minorEastAsia" w:hint="eastAsia"/>
          <w:sz w:val="32"/>
          <w:szCs w:val="32"/>
        </w:rPr>
        <w:t>公务接待费支出预算0万元，公务接待费支出决算0万元。</w:t>
      </w:r>
    </w:p>
    <w:p w:rsidR="00FB26EF" w:rsidRDefault="00156AFF" w:rsidP="00233FEF">
      <w:pPr>
        <w:pStyle w:val="Default"/>
        <w:ind w:leftChars="152" w:left="319"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t>公务用车</w:t>
      </w:r>
      <w:r w:rsidR="00233FEF">
        <w:rPr>
          <w:rFonts w:asciiTheme="minorEastAsia" w:eastAsiaTheme="minorEastAsia" w:hAnsiTheme="minorEastAsia" w:hint="eastAsia"/>
          <w:sz w:val="32"/>
          <w:szCs w:val="32"/>
        </w:rPr>
        <w:t>运行维护费支出预算0万元，支出决算为0万元</w:t>
      </w:r>
      <w:r>
        <w:rPr>
          <w:rFonts w:asciiTheme="minorEastAsia" w:eastAsiaTheme="minorEastAsia" w:hAnsiTheme="minorEastAsia" w:hint="eastAsia"/>
          <w:sz w:val="32"/>
          <w:szCs w:val="32"/>
        </w:rPr>
        <w:t>。</w:t>
      </w:r>
    </w:p>
    <w:p w:rsidR="00BE601B" w:rsidRDefault="00BE601B" w:rsidP="00233FEF">
      <w:pPr>
        <w:pStyle w:val="Default"/>
        <w:ind w:leftChars="152" w:left="319" w:firstLineChars="100" w:firstLine="320"/>
        <w:rPr>
          <w:rFonts w:asciiTheme="minorEastAsia" w:eastAsiaTheme="minorEastAsia" w:hAnsiTheme="minorEastAsia" w:cstheme="minorEastAsia" w:hint="eastAsia"/>
          <w:sz w:val="32"/>
          <w:szCs w:val="32"/>
        </w:rPr>
      </w:pPr>
      <w:r>
        <w:rPr>
          <w:rFonts w:asciiTheme="minorEastAsia" w:eastAsiaTheme="minorEastAsia" w:hAnsiTheme="minorEastAsia"/>
          <w:sz w:val="32"/>
          <w:szCs w:val="32"/>
        </w:rPr>
        <w:t>决算数与预算数一致是因为</w:t>
      </w:r>
      <w:r>
        <w:rPr>
          <w:rFonts w:asciiTheme="minorEastAsia" w:eastAsiaTheme="minorEastAsia" w:hAnsiTheme="minorEastAsia" w:hint="eastAsia"/>
          <w:sz w:val="32"/>
          <w:szCs w:val="32"/>
        </w:rPr>
        <w:t>本单位</w:t>
      </w:r>
      <w:r>
        <w:rPr>
          <w:rFonts w:asciiTheme="minorEastAsia" w:eastAsiaTheme="minorEastAsia" w:hAnsiTheme="minorEastAsia" w:cstheme="minorEastAsia" w:hint="eastAsia"/>
          <w:sz w:val="32"/>
          <w:szCs w:val="32"/>
        </w:rPr>
        <w:t>厉行节约的有关要求，牢固树立“过紧日子”思想</w:t>
      </w:r>
      <w:r>
        <w:rPr>
          <w:rFonts w:asciiTheme="minorEastAsia" w:eastAsiaTheme="minorEastAsia" w:hAnsiTheme="minorEastAsia" w:hint="eastAsia"/>
          <w:sz w:val="32"/>
          <w:szCs w:val="32"/>
        </w:rPr>
        <w:t>。</w:t>
      </w:r>
    </w:p>
    <w:p w:rsidR="00FB26EF" w:rsidRDefault="00156AFF" w:rsidP="00D81ADA">
      <w:pPr>
        <w:pStyle w:val="Default"/>
        <w:ind w:firstLineChars="200" w:firstLine="643"/>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（二）“三公”经费财政拨款支出决算具体情况说明</w:t>
      </w:r>
    </w:p>
    <w:p w:rsidR="00FB26EF" w:rsidRDefault="00156AFF">
      <w:pPr>
        <w:pStyle w:val="Default"/>
        <w:ind w:left="320" w:hangingChars="100" w:hanging="320"/>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 xml:space="preserve">     2020年度“三公”经费财政拨款支出决算中，因公出国（境）费支出决算0万元，占0%。公务接待费支出决算0万元，占0%。公务用车购置费及运行维护费支出决算0万元，占0%。其中：</w:t>
      </w:r>
    </w:p>
    <w:p w:rsidR="00FB26EF" w:rsidRDefault="00156AFF">
      <w:pPr>
        <w:pStyle w:val="Default"/>
        <w:ind w:firstLineChars="200" w:firstLine="640"/>
        <w:rPr>
          <w:rFonts w:asciiTheme="minorEastAsia" w:eastAsiaTheme="minorEastAsia" w:hAnsiTheme="minorEastAsia" w:cs="仿宋"/>
          <w:color w:val="auto"/>
          <w:sz w:val="32"/>
          <w:szCs w:val="32"/>
        </w:rPr>
      </w:pPr>
      <w:r>
        <w:rPr>
          <w:rFonts w:asciiTheme="minorEastAsia" w:eastAsiaTheme="minorEastAsia" w:hAnsiTheme="minorEastAsia" w:cs="仿宋" w:hint="eastAsia"/>
          <w:color w:val="auto"/>
          <w:sz w:val="32"/>
          <w:szCs w:val="32"/>
        </w:rPr>
        <w:t>1</w:t>
      </w:r>
      <w:r w:rsidR="00233FEF">
        <w:rPr>
          <w:rFonts w:asciiTheme="minorEastAsia" w:eastAsiaTheme="minorEastAsia" w:hAnsiTheme="minorEastAsia" w:cs="仿宋" w:hint="eastAsia"/>
          <w:color w:val="auto"/>
          <w:sz w:val="32"/>
          <w:szCs w:val="32"/>
        </w:rPr>
        <w:t>、</w:t>
      </w:r>
      <w:r>
        <w:rPr>
          <w:rFonts w:asciiTheme="minorEastAsia" w:eastAsiaTheme="minorEastAsia" w:hAnsiTheme="minorEastAsia" w:cs="仿宋" w:hint="eastAsia"/>
          <w:color w:val="auto"/>
          <w:sz w:val="32"/>
          <w:szCs w:val="32"/>
        </w:rPr>
        <w:t>因公出国（境）费支出</w:t>
      </w:r>
      <w:r>
        <w:rPr>
          <w:rFonts w:asciiTheme="minorEastAsia" w:eastAsiaTheme="minorEastAsia" w:hAnsiTheme="minorEastAsia" w:cstheme="minorEastAsia" w:hint="eastAsia"/>
          <w:sz w:val="32"/>
          <w:szCs w:val="32"/>
        </w:rPr>
        <w:t>决算0万元</w:t>
      </w:r>
      <w:r>
        <w:rPr>
          <w:rFonts w:asciiTheme="minorEastAsia" w:eastAsiaTheme="minorEastAsia" w:hAnsiTheme="minorEastAsia" w:cs="仿宋" w:hint="eastAsia"/>
          <w:color w:val="auto"/>
          <w:sz w:val="32"/>
          <w:szCs w:val="32"/>
        </w:rPr>
        <w:t>，全年安排因公出国（境）团组0个，累计0人次。</w:t>
      </w:r>
    </w:p>
    <w:p w:rsidR="00FB26EF" w:rsidRDefault="00156AFF">
      <w:pPr>
        <w:pStyle w:val="Default"/>
        <w:ind w:leftChars="152" w:left="319" w:firstLineChars="100" w:firstLine="320"/>
        <w:rPr>
          <w:rFonts w:asciiTheme="minorEastAsia" w:eastAsiaTheme="minorEastAsia" w:hAnsiTheme="minorEastAsia" w:cs="仿宋"/>
          <w:color w:val="auto"/>
          <w:sz w:val="32"/>
          <w:szCs w:val="32"/>
        </w:rPr>
      </w:pPr>
      <w:r>
        <w:rPr>
          <w:rFonts w:asciiTheme="minorEastAsia" w:eastAsiaTheme="minorEastAsia" w:hAnsiTheme="minorEastAsia" w:cs="仿宋" w:hint="eastAsia"/>
          <w:color w:val="auto"/>
          <w:sz w:val="32"/>
          <w:szCs w:val="32"/>
        </w:rPr>
        <w:t>2、</w:t>
      </w:r>
      <w:r>
        <w:rPr>
          <w:rFonts w:asciiTheme="minorEastAsia" w:eastAsiaTheme="minorEastAsia" w:hAnsiTheme="minorEastAsia" w:cstheme="minorEastAsia" w:hint="eastAsia"/>
          <w:sz w:val="32"/>
          <w:szCs w:val="32"/>
        </w:rPr>
        <w:t>公务接待费支出决算0万元，</w:t>
      </w:r>
      <w:r>
        <w:rPr>
          <w:rFonts w:asciiTheme="minorEastAsia" w:eastAsiaTheme="minorEastAsia" w:hAnsiTheme="minorEastAsia" w:cs="仿宋" w:hint="eastAsia"/>
          <w:color w:val="auto"/>
          <w:sz w:val="32"/>
          <w:szCs w:val="32"/>
        </w:rPr>
        <w:t>国内公务接待批次0（个） 统计数0批，国内公务接待人次0（人）统计数0人。</w:t>
      </w:r>
    </w:p>
    <w:p w:rsidR="00FB26EF" w:rsidRDefault="00156AFF">
      <w:pPr>
        <w:pStyle w:val="Default"/>
        <w:ind w:leftChars="100" w:left="210" w:firstLineChars="150" w:firstLine="480"/>
        <w:rPr>
          <w:rFonts w:asciiTheme="minorEastAsia" w:eastAsiaTheme="minorEastAsia" w:hAnsiTheme="minorEastAsia" w:cstheme="minorEastAsia"/>
          <w:sz w:val="32"/>
          <w:szCs w:val="32"/>
        </w:rPr>
      </w:pPr>
      <w:r>
        <w:rPr>
          <w:rFonts w:asciiTheme="minorEastAsia" w:eastAsiaTheme="minorEastAsia" w:hAnsiTheme="minorEastAsia" w:cs="仿宋" w:hint="eastAsia"/>
          <w:color w:val="auto"/>
          <w:sz w:val="32"/>
          <w:szCs w:val="32"/>
        </w:rPr>
        <w:t>3、</w:t>
      </w:r>
      <w:r>
        <w:rPr>
          <w:rFonts w:asciiTheme="minorEastAsia" w:eastAsiaTheme="minorEastAsia" w:hAnsiTheme="minorEastAsia" w:cstheme="minorEastAsia" w:hint="eastAsia"/>
          <w:sz w:val="32"/>
          <w:szCs w:val="32"/>
        </w:rPr>
        <w:t>公务用车购置费及运行维护费支出决算0万元，截至2020年12月31日，本单位共有车辆0辆，当年新增公务用车为0辆。</w:t>
      </w:r>
    </w:p>
    <w:p w:rsidR="00FB26EF" w:rsidRDefault="00156AFF" w:rsidP="00D81ADA">
      <w:pPr>
        <w:pStyle w:val="Default"/>
        <w:ind w:firstLineChars="200" w:firstLine="643"/>
        <w:rPr>
          <w:rFonts w:hAnsi="黑体"/>
          <w:b/>
          <w:sz w:val="32"/>
          <w:szCs w:val="32"/>
        </w:rPr>
      </w:pPr>
      <w:r>
        <w:rPr>
          <w:rFonts w:hAnsi="黑体" w:hint="eastAsia"/>
          <w:b/>
          <w:sz w:val="32"/>
          <w:szCs w:val="32"/>
        </w:rPr>
        <w:t>八、政府性基金预算收入支出决算情况</w:t>
      </w:r>
    </w:p>
    <w:p w:rsidR="00FB26EF" w:rsidRDefault="00156AFF">
      <w:pPr>
        <w:pStyle w:val="Default"/>
        <w:rPr>
          <w:rFonts w:asciiTheme="minorEastAsia" w:eastAsiaTheme="minorEastAsia" w:hAnsiTheme="minorEastAsia" w:cstheme="minorEastAsia"/>
          <w:bCs/>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cstheme="minorEastAsia" w:hint="eastAsia"/>
          <w:bCs/>
          <w:sz w:val="32"/>
          <w:szCs w:val="32"/>
        </w:rPr>
        <w:t>本部门2020年无政府性基金收支。</w:t>
      </w:r>
    </w:p>
    <w:p w:rsidR="00FB26EF" w:rsidRPr="00D81ADA" w:rsidRDefault="00156AFF" w:rsidP="00D81ADA">
      <w:pPr>
        <w:pStyle w:val="Default"/>
        <w:snapToGrid w:val="0"/>
        <w:spacing w:line="360" w:lineRule="auto"/>
        <w:ind w:firstLineChars="200" w:firstLine="643"/>
        <w:rPr>
          <w:rFonts w:hAnsi="黑体"/>
          <w:b/>
          <w:sz w:val="32"/>
          <w:szCs w:val="32"/>
        </w:rPr>
      </w:pPr>
      <w:r w:rsidRPr="00D81ADA">
        <w:rPr>
          <w:rFonts w:hAnsi="黑体" w:hint="eastAsia"/>
          <w:b/>
          <w:sz w:val="32"/>
          <w:szCs w:val="32"/>
        </w:rPr>
        <w:t>九、国有资本经营预算财政拨款支出决算情况</w:t>
      </w:r>
    </w:p>
    <w:p w:rsidR="00FB26EF" w:rsidRDefault="00156AFF" w:rsidP="00D81ADA">
      <w:pPr>
        <w:pStyle w:val="Default"/>
        <w:ind w:firstLineChars="200" w:firstLine="534"/>
        <w:rPr>
          <w:rFonts w:asciiTheme="minorEastAsia" w:eastAsiaTheme="minorEastAsia" w:hAnsiTheme="minorEastAsia" w:cstheme="minorEastAsia"/>
          <w:bCs/>
          <w:sz w:val="32"/>
          <w:szCs w:val="32"/>
        </w:rPr>
      </w:pPr>
      <w:r>
        <w:rPr>
          <w:rFonts w:ascii="宋体" w:eastAsia="宋体" w:hAnsi="宋体" w:cs="宋体" w:hint="eastAsia"/>
          <w:w w:val="96"/>
          <w:sz w:val="28"/>
          <w:szCs w:val="28"/>
        </w:rPr>
        <w:t>本单位2020年没有国有资本经营预算财政拨款支出。</w:t>
      </w:r>
    </w:p>
    <w:p w:rsidR="00FB26EF" w:rsidRPr="00D81ADA" w:rsidRDefault="00156AFF" w:rsidP="00D81ADA">
      <w:pPr>
        <w:pStyle w:val="Default"/>
        <w:snapToGrid w:val="0"/>
        <w:spacing w:line="360" w:lineRule="auto"/>
        <w:ind w:firstLineChars="200" w:firstLine="643"/>
        <w:rPr>
          <w:rFonts w:hAnsi="黑体"/>
          <w:b/>
          <w:sz w:val="32"/>
          <w:szCs w:val="32"/>
        </w:rPr>
      </w:pPr>
      <w:r>
        <w:rPr>
          <w:rFonts w:hAnsi="黑体" w:hint="eastAsia"/>
          <w:b/>
          <w:sz w:val="32"/>
          <w:szCs w:val="32"/>
        </w:rPr>
        <w:t>十、</w:t>
      </w:r>
      <w:r w:rsidRPr="00D81ADA">
        <w:rPr>
          <w:rFonts w:hAnsi="黑体" w:hint="eastAsia"/>
          <w:b/>
          <w:sz w:val="32"/>
          <w:szCs w:val="32"/>
        </w:rPr>
        <w:t>机关运行经费支出情况</w:t>
      </w:r>
    </w:p>
    <w:p w:rsidR="00FB26EF" w:rsidRDefault="00156AFF" w:rsidP="00233FEF">
      <w:pPr>
        <w:spacing w:line="600" w:lineRule="exact"/>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本部门2020 年度机关运行经费支出20.33万元，比年初预算数增加</w:t>
      </w:r>
      <w:r>
        <w:rPr>
          <w:rFonts w:asciiTheme="minorEastAsia" w:hAnsiTheme="minorEastAsia" w:cs="黑体" w:hint="eastAsia"/>
          <w:color w:val="000000"/>
          <w:kern w:val="0"/>
          <w:sz w:val="32"/>
          <w:szCs w:val="32"/>
        </w:rPr>
        <w:lastRenderedPageBreak/>
        <w:t>10.13万元，增加12.3%。主要原因是：衡南县新时代文明实践中心的成立，少儿图书馆的修缮和设备购置。我馆机关运行经费主要用于办公费、</w:t>
      </w:r>
      <w:r>
        <w:rPr>
          <w:rFonts w:asciiTheme="minorEastAsia" w:hAnsiTheme="minorEastAsia" w:hint="eastAsia"/>
          <w:sz w:val="32"/>
          <w:szCs w:val="32"/>
        </w:rPr>
        <w:t>水费、电费、差旅费、维修（护）费、图书购置费及免费开放、网络维护费、送书下乡、全民阅读活动、少儿图书馆的修缮和设备购置。</w:t>
      </w:r>
    </w:p>
    <w:p w:rsidR="00FB26EF" w:rsidRPr="00D81ADA" w:rsidRDefault="00156AFF" w:rsidP="00233FEF">
      <w:pPr>
        <w:pStyle w:val="Default"/>
        <w:snapToGrid w:val="0"/>
        <w:spacing w:line="600" w:lineRule="exact"/>
        <w:ind w:firstLineChars="200" w:firstLine="643"/>
        <w:rPr>
          <w:rFonts w:hAnsi="黑体"/>
          <w:b/>
          <w:sz w:val="32"/>
          <w:szCs w:val="32"/>
        </w:rPr>
      </w:pPr>
      <w:r w:rsidRPr="00D81ADA">
        <w:rPr>
          <w:rFonts w:hAnsi="黑体" w:hint="eastAsia"/>
          <w:b/>
          <w:sz w:val="32"/>
          <w:szCs w:val="32"/>
        </w:rPr>
        <w:t>十一、一般性支出情况</w:t>
      </w:r>
    </w:p>
    <w:p w:rsidR="00FB26EF" w:rsidRDefault="00156AFF" w:rsidP="00233FEF">
      <w:pPr>
        <w:spacing w:line="600" w:lineRule="exact"/>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图书馆一般性支出主要用于免费服务市民及学生。送书下乡，开展全民阅读活动、少儿红读活动。</w:t>
      </w:r>
    </w:p>
    <w:p w:rsidR="00FB26EF" w:rsidRPr="00D81ADA" w:rsidRDefault="00156AFF" w:rsidP="00233FEF">
      <w:pPr>
        <w:pStyle w:val="Default"/>
        <w:snapToGrid w:val="0"/>
        <w:spacing w:line="600" w:lineRule="exact"/>
        <w:ind w:firstLineChars="200" w:firstLine="643"/>
        <w:rPr>
          <w:rFonts w:hAnsi="黑体"/>
          <w:b/>
          <w:sz w:val="32"/>
          <w:szCs w:val="32"/>
        </w:rPr>
      </w:pPr>
      <w:r w:rsidRPr="00D81ADA">
        <w:rPr>
          <w:rFonts w:hAnsi="黑体" w:hint="eastAsia"/>
          <w:b/>
          <w:sz w:val="32"/>
          <w:szCs w:val="32"/>
        </w:rPr>
        <w:t>十二、政府采购支出情况</w:t>
      </w:r>
    </w:p>
    <w:p w:rsidR="00FB26EF" w:rsidRDefault="00156AFF" w:rsidP="00233FEF">
      <w:pPr>
        <w:spacing w:line="600" w:lineRule="exact"/>
        <w:ind w:firstLineChars="200" w:firstLine="640"/>
        <w:rPr>
          <w:rFonts w:asciiTheme="minorEastAsia" w:hAnsiTheme="minorEastAsia" w:cs="黑体"/>
          <w:i/>
          <w:color w:val="FF0000"/>
          <w:kern w:val="0"/>
          <w:sz w:val="32"/>
          <w:szCs w:val="32"/>
        </w:rPr>
      </w:pPr>
      <w:r>
        <w:rPr>
          <w:rFonts w:asciiTheme="minorEastAsia" w:hAnsiTheme="minorEastAsia" w:cs="黑体" w:hint="eastAsia"/>
          <w:color w:val="000000"/>
          <w:kern w:val="0"/>
          <w:sz w:val="32"/>
          <w:szCs w:val="32"/>
        </w:rPr>
        <w:t>本部门2020年度政府采购支出总额0万元。</w:t>
      </w:r>
    </w:p>
    <w:p w:rsidR="00FB26EF" w:rsidRPr="00D81ADA" w:rsidRDefault="00156AFF" w:rsidP="00233FEF">
      <w:pPr>
        <w:pStyle w:val="Default"/>
        <w:snapToGrid w:val="0"/>
        <w:spacing w:line="600" w:lineRule="exact"/>
        <w:ind w:firstLineChars="200" w:firstLine="643"/>
        <w:rPr>
          <w:rFonts w:hAnsi="黑体"/>
          <w:b/>
          <w:sz w:val="32"/>
          <w:szCs w:val="32"/>
        </w:rPr>
      </w:pPr>
      <w:r w:rsidRPr="00D81ADA">
        <w:rPr>
          <w:rFonts w:hAnsi="黑体" w:hint="eastAsia"/>
          <w:b/>
          <w:sz w:val="32"/>
          <w:szCs w:val="32"/>
        </w:rPr>
        <w:t>十三、国有资产占用情况</w:t>
      </w:r>
    </w:p>
    <w:p w:rsidR="00FB26EF" w:rsidRDefault="00156AFF" w:rsidP="00233FEF">
      <w:pPr>
        <w:spacing w:line="600" w:lineRule="exact"/>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截至2020年12月31日，本单位共有车辆0辆，其中，领导干部用车0辆、机要通信用车0辆、应急保障用车0辆、执法执勤用车0辆、特种专业技术用车0辆、其他用车0</w:t>
      </w:r>
      <w:r w:rsidR="00BE601B">
        <w:rPr>
          <w:rFonts w:asciiTheme="minorEastAsia" w:hAnsiTheme="minorEastAsia" w:cs="黑体" w:hint="eastAsia"/>
          <w:color w:val="000000"/>
          <w:kern w:val="0"/>
          <w:sz w:val="32"/>
          <w:szCs w:val="32"/>
        </w:rPr>
        <w:t>辆</w:t>
      </w:r>
      <w:r>
        <w:rPr>
          <w:rFonts w:asciiTheme="minorEastAsia" w:hAnsiTheme="minorEastAsia" w:cs="黑体" w:hint="eastAsia"/>
          <w:color w:val="000000"/>
          <w:kern w:val="0"/>
          <w:sz w:val="32"/>
          <w:szCs w:val="32"/>
        </w:rPr>
        <w:t>；单位价值50万元以上通用设备0台（套）；单位价值100万元以上专用设备0台（套）。</w:t>
      </w:r>
    </w:p>
    <w:p w:rsidR="00FB26EF" w:rsidRDefault="00156AFF" w:rsidP="00233FEF">
      <w:pPr>
        <w:pStyle w:val="Default"/>
        <w:spacing w:line="600" w:lineRule="exact"/>
        <w:ind w:firstLineChars="200" w:firstLine="643"/>
        <w:rPr>
          <w:rFonts w:hAnsi="黑体"/>
          <w:b/>
          <w:sz w:val="32"/>
          <w:szCs w:val="32"/>
        </w:rPr>
      </w:pPr>
      <w:r>
        <w:rPr>
          <w:rFonts w:hAnsi="黑体" w:hint="eastAsia"/>
          <w:b/>
          <w:sz w:val="32"/>
          <w:szCs w:val="32"/>
        </w:rPr>
        <w:t>十四、关于2020年度预算绩效情况说明</w:t>
      </w:r>
    </w:p>
    <w:p w:rsidR="00FB26EF" w:rsidRDefault="00156AFF" w:rsidP="00233FEF">
      <w:pPr>
        <w:pStyle w:val="Default"/>
        <w:numPr>
          <w:ilvl w:val="0"/>
          <w:numId w:val="4"/>
        </w:numPr>
        <w:spacing w:line="600" w:lineRule="exact"/>
        <w:ind w:firstLineChars="200" w:firstLine="640"/>
        <w:rPr>
          <w:rFonts w:asciiTheme="minorEastAsia" w:eastAsiaTheme="minorEastAsia" w:hAnsiTheme="minorEastAsia" w:cstheme="minorEastAsia"/>
          <w:bCs/>
          <w:sz w:val="32"/>
          <w:szCs w:val="32"/>
        </w:rPr>
      </w:pPr>
      <w:r>
        <w:rPr>
          <w:rFonts w:asciiTheme="minorEastAsia" w:eastAsiaTheme="minorEastAsia" w:hAnsiTheme="minorEastAsia" w:cstheme="minorEastAsia" w:hint="eastAsia"/>
          <w:bCs/>
          <w:sz w:val="32"/>
          <w:szCs w:val="32"/>
        </w:rPr>
        <w:t>预算绩效管理工作开展情况</w:t>
      </w:r>
    </w:p>
    <w:p w:rsidR="00FB26EF" w:rsidRDefault="00156AFF" w:rsidP="00233FEF">
      <w:pPr>
        <w:pStyle w:val="Default"/>
        <w:spacing w:line="600" w:lineRule="exact"/>
        <w:ind w:firstLine="640"/>
        <w:rPr>
          <w:rFonts w:asciiTheme="minorEastAsia" w:eastAsiaTheme="minorEastAsia" w:hAnsiTheme="minorEastAsia" w:cstheme="minorEastAsia"/>
          <w:bCs/>
          <w:sz w:val="32"/>
          <w:szCs w:val="32"/>
        </w:rPr>
      </w:pPr>
      <w:r>
        <w:rPr>
          <w:rFonts w:asciiTheme="minorEastAsia" w:eastAsiaTheme="minorEastAsia" w:hAnsiTheme="minorEastAsia" w:cstheme="minorEastAsia" w:hint="eastAsia"/>
          <w:bCs/>
          <w:sz w:val="32"/>
          <w:szCs w:val="32"/>
        </w:rPr>
        <w:t>根据预算绩效管理的要求，我馆组织对2020年度一般公共预算部门整体支出使用情况开展了绩效自评，共涉及资金237.89万元。从评价情况来看，各项资金符合相关管理规定，程序规范有序，绩效目标设置合理，通过项目实施，较好的完成了年初设定的各项工作目标。</w:t>
      </w:r>
    </w:p>
    <w:p w:rsidR="00FB26EF" w:rsidRDefault="00156AFF" w:rsidP="00233FEF">
      <w:pPr>
        <w:pStyle w:val="Default"/>
        <w:numPr>
          <w:ilvl w:val="0"/>
          <w:numId w:val="5"/>
        </w:numPr>
        <w:spacing w:line="600" w:lineRule="exact"/>
        <w:ind w:firstLine="640"/>
        <w:rPr>
          <w:rFonts w:asciiTheme="minorEastAsia" w:eastAsiaTheme="minorEastAsia" w:hAnsiTheme="minorEastAsia" w:cstheme="minorEastAsia"/>
          <w:bCs/>
          <w:sz w:val="32"/>
          <w:szCs w:val="32"/>
        </w:rPr>
      </w:pPr>
      <w:r>
        <w:rPr>
          <w:rFonts w:asciiTheme="minorEastAsia" w:eastAsiaTheme="minorEastAsia" w:hAnsiTheme="minorEastAsia" w:cstheme="minorEastAsia" w:hint="eastAsia"/>
          <w:bCs/>
          <w:sz w:val="32"/>
          <w:szCs w:val="32"/>
        </w:rPr>
        <w:t>绩效自评结果</w:t>
      </w:r>
    </w:p>
    <w:p w:rsidR="00FB26EF" w:rsidRDefault="00156AFF" w:rsidP="00233FEF">
      <w:pPr>
        <w:pStyle w:val="Default"/>
        <w:spacing w:line="600" w:lineRule="exact"/>
        <w:ind w:firstLineChars="200" w:firstLine="640"/>
        <w:rPr>
          <w:rFonts w:asciiTheme="minorEastAsia" w:eastAsiaTheme="minorEastAsia" w:hAnsiTheme="minorEastAsia" w:cstheme="minorEastAsia"/>
          <w:bCs/>
          <w:sz w:val="32"/>
          <w:szCs w:val="32"/>
        </w:rPr>
      </w:pPr>
      <w:r>
        <w:rPr>
          <w:rFonts w:asciiTheme="minorEastAsia" w:eastAsiaTheme="minorEastAsia" w:hAnsiTheme="minorEastAsia" w:cstheme="minorEastAsia" w:hint="eastAsia"/>
          <w:bCs/>
          <w:sz w:val="32"/>
          <w:szCs w:val="32"/>
        </w:rPr>
        <w:t>部门整体绩效自评综述：根据年初设定的绩效目标，部门整体绩效自评得分为94分，全年预算数209.71万元，实际执行数237.89万元，预算执行率113.44%。</w:t>
      </w:r>
      <w:r>
        <w:rPr>
          <w:rFonts w:asciiTheme="minorEastAsia" w:eastAsiaTheme="minorEastAsia" w:hAnsiTheme="minorEastAsia" w:cstheme="minorEastAsia" w:hint="eastAsia"/>
          <w:sz w:val="32"/>
          <w:szCs w:val="32"/>
        </w:rPr>
        <w:t>2020年，我馆严格贯彻落实省委、省政府关于厉行节约的有关要求，牢固树立“过紧日子”思想，坚持精打细算、勤俭节约，优化支出结构，</w:t>
      </w:r>
      <w:r>
        <w:rPr>
          <w:rFonts w:asciiTheme="minorEastAsia" w:eastAsiaTheme="minorEastAsia" w:hAnsiTheme="minorEastAsia" w:cstheme="minorEastAsia" w:hint="eastAsia"/>
          <w:sz w:val="32"/>
          <w:szCs w:val="32"/>
        </w:rPr>
        <w:lastRenderedPageBreak/>
        <w:t>大力压减一般性支出，保障重点支出，严格审核把关，加强“三公”经费管理，优化资产配置，完善内控制度，切实严肃财经纪律，圆满完成了全年各项工作任务。</w:t>
      </w:r>
    </w:p>
    <w:p w:rsidR="00FB26EF" w:rsidRDefault="00FB26EF">
      <w:pPr>
        <w:rPr>
          <w:rFonts w:asciiTheme="minorEastAsia" w:hAnsiTheme="minorEastAsia" w:cs="黑体"/>
          <w:color w:val="000000"/>
          <w:kern w:val="0"/>
          <w:sz w:val="32"/>
          <w:szCs w:val="32"/>
        </w:rPr>
      </w:pPr>
    </w:p>
    <w:p w:rsidR="00FB26EF" w:rsidRDefault="00FB26EF" w:rsidP="00D81ADA">
      <w:pPr>
        <w:widowControl/>
        <w:jc w:val="left"/>
        <w:rPr>
          <w:sz w:val="72"/>
          <w:szCs w:val="72"/>
        </w:rPr>
      </w:pPr>
    </w:p>
    <w:p w:rsidR="00D81ADA" w:rsidRDefault="00D81ADA">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sz w:val="72"/>
          <w:szCs w:val="72"/>
        </w:rPr>
      </w:pPr>
    </w:p>
    <w:p w:rsidR="00BE601B" w:rsidRDefault="00BE601B">
      <w:pPr>
        <w:pStyle w:val="Default"/>
        <w:jc w:val="center"/>
        <w:rPr>
          <w:rFonts w:hint="eastAsia"/>
          <w:sz w:val="72"/>
          <w:szCs w:val="72"/>
        </w:rPr>
      </w:pPr>
      <w:bookmarkStart w:id="0" w:name="_GoBack"/>
      <w:bookmarkEnd w:id="0"/>
    </w:p>
    <w:p w:rsidR="00D81ADA" w:rsidRDefault="00D81ADA">
      <w:pPr>
        <w:pStyle w:val="Default"/>
        <w:jc w:val="center"/>
        <w:rPr>
          <w:sz w:val="72"/>
          <w:szCs w:val="72"/>
        </w:rPr>
      </w:pPr>
    </w:p>
    <w:p w:rsidR="00D81ADA" w:rsidRDefault="00D81ADA">
      <w:pPr>
        <w:pStyle w:val="Default"/>
        <w:jc w:val="center"/>
        <w:rPr>
          <w:sz w:val="72"/>
          <w:szCs w:val="72"/>
        </w:rPr>
      </w:pPr>
    </w:p>
    <w:p w:rsidR="00D81ADA" w:rsidRDefault="00D81ADA">
      <w:pPr>
        <w:pStyle w:val="Default"/>
        <w:jc w:val="center"/>
        <w:rPr>
          <w:sz w:val="72"/>
          <w:szCs w:val="72"/>
        </w:rPr>
      </w:pPr>
    </w:p>
    <w:p w:rsidR="00FB26EF" w:rsidRDefault="00156AFF">
      <w:pPr>
        <w:pStyle w:val="Default"/>
        <w:jc w:val="center"/>
        <w:rPr>
          <w:sz w:val="72"/>
          <w:szCs w:val="72"/>
        </w:rPr>
      </w:pPr>
      <w:r>
        <w:rPr>
          <w:rFonts w:hint="eastAsia"/>
          <w:sz w:val="72"/>
          <w:szCs w:val="72"/>
        </w:rPr>
        <w:t>第四部分</w:t>
      </w:r>
    </w:p>
    <w:p w:rsidR="00FB26EF" w:rsidRDefault="00FB26EF">
      <w:pPr>
        <w:jc w:val="center"/>
        <w:rPr>
          <w:rFonts w:ascii="黑体" w:eastAsia="黑体" w:cs="黑体"/>
          <w:color w:val="000000"/>
          <w:kern w:val="0"/>
          <w:sz w:val="70"/>
          <w:szCs w:val="70"/>
        </w:rPr>
      </w:pPr>
    </w:p>
    <w:p w:rsidR="00FB26EF" w:rsidRDefault="00156AFF">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FB26EF" w:rsidRDefault="00156AFF">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FB26EF" w:rsidRDefault="00156AFF" w:rsidP="00D81ADA">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lastRenderedPageBreak/>
        <w:t>一、财政拨款收入：</w:t>
      </w:r>
      <w:r>
        <w:rPr>
          <w:rFonts w:ascii="宋体" w:eastAsia="宋体" w:hAnsi="宋体" w:cs="宋体" w:hint="eastAsia"/>
          <w:w w:val="96"/>
          <w:kern w:val="0"/>
          <w:sz w:val="32"/>
          <w:szCs w:val="32"/>
        </w:rPr>
        <w:t>指财政部门核拨给单位的财政预算资金。</w:t>
      </w:r>
    </w:p>
    <w:p w:rsidR="00FB26EF" w:rsidRDefault="00156AFF" w:rsidP="00D81ADA">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二、事业收入：</w:t>
      </w:r>
      <w:r>
        <w:rPr>
          <w:rFonts w:ascii="宋体" w:eastAsia="宋体" w:hAnsi="宋体" w:cs="宋体" w:hint="eastAsia"/>
          <w:w w:val="96"/>
          <w:kern w:val="0"/>
          <w:sz w:val="32"/>
          <w:szCs w:val="32"/>
        </w:rPr>
        <w:t>指事业单位开展专业业务活动及辅助活动所取得的收入。</w:t>
      </w:r>
    </w:p>
    <w:p w:rsidR="00FB26EF" w:rsidRDefault="00156AFF" w:rsidP="00D81ADA">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三、附属单位上缴收入：</w:t>
      </w:r>
      <w:r>
        <w:rPr>
          <w:rFonts w:ascii="宋体" w:eastAsia="宋体" w:hAnsi="宋体" w:cs="宋体" w:hint="eastAsia"/>
          <w:w w:val="96"/>
          <w:kern w:val="0"/>
          <w:sz w:val="32"/>
          <w:szCs w:val="32"/>
        </w:rPr>
        <w:t>指事业单位附属独立核算单位按有关规定上缴的收入。</w:t>
      </w:r>
    </w:p>
    <w:p w:rsidR="00FB26EF" w:rsidRDefault="00156AFF" w:rsidP="00D81ADA">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四、其他收入：</w:t>
      </w:r>
      <w:r>
        <w:rPr>
          <w:rFonts w:ascii="宋体" w:eastAsia="宋体" w:hAnsi="宋体" w:cs="宋体" w:hint="eastAsia"/>
          <w:w w:val="96"/>
          <w:kern w:val="0"/>
          <w:sz w:val="32"/>
          <w:szCs w:val="32"/>
        </w:rPr>
        <w:t>指单位取得的除上述“财政拨款收入”、“事业收入”、“附属单位上缴收入”等以外的收入。</w:t>
      </w:r>
    </w:p>
    <w:p w:rsidR="00FB26EF" w:rsidRDefault="00156AFF" w:rsidP="00D81ADA">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五、年初结转和结余：</w:t>
      </w:r>
      <w:r>
        <w:rPr>
          <w:rFonts w:ascii="宋体" w:eastAsia="宋体" w:hAnsi="宋体" w:cs="宋体" w:hint="eastAsia"/>
          <w:w w:val="96"/>
          <w:kern w:val="0"/>
          <w:sz w:val="32"/>
          <w:szCs w:val="32"/>
        </w:rPr>
        <w:t>指以前年度尚未完成、结转到本年仍按有关规定继续使用的资金。</w:t>
      </w:r>
    </w:p>
    <w:p w:rsidR="00FB26EF" w:rsidRDefault="00156AFF" w:rsidP="00D81ADA">
      <w:pPr>
        <w:widowControl/>
        <w:tabs>
          <w:tab w:val="left" w:pos="2635"/>
        </w:tabs>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六、用事业基金弥补收支差额：</w:t>
      </w:r>
      <w:r>
        <w:rPr>
          <w:rFonts w:ascii="宋体" w:eastAsia="宋体" w:hAnsi="宋体" w:cs="宋体" w:hint="eastAsia"/>
          <w:w w:val="96"/>
          <w:kern w:val="0"/>
          <w:sz w:val="32"/>
          <w:szCs w:val="32"/>
        </w:rPr>
        <w:t>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p>
    <w:p w:rsidR="00FB26EF" w:rsidRDefault="00156AFF" w:rsidP="00D81ADA">
      <w:pPr>
        <w:widowControl/>
        <w:adjustRightInd w:val="0"/>
        <w:snapToGrid w:val="0"/>
        <w:spacing w:line="360" w:lineRule="auto"/>
        <w:ind w:firstLineChars="200" w:firstLine="618"/>
        <w:rPr>
          <w:rFonts w:ascii="宋体" w:eastAsia="宋体" w:hAnsi="宋体" w:cs="宋体"/>
          <w:bCs/>
          <w:w w:val="96"/>
          <w:kern w:val="0"/>
          <w:sz w:val="32"/>
          <w:szCs w:val="32"/>
        </w:rPr>
      </w:pPr>
      <w:r>
        <w:rPr>
          <w:rFonts w:ascii="宋体" w:eastAsia="宋体" w:hAnsi="宋体" w:cs="宋体" w:hint="eastAsia"/>
          <w:b/>
          <w:w w:val="96"/>
          <w:kern w:val="0"/>
          <w:sz w:val="32"/>
          <w:szCs w:val="32"/>
        </w:rPr>
        <w:t>七、卫生健康支出（类）行政事业单位医疗（款）其他行政事业单位医疗支出（项）：</w:t>
      </w:r>
      <w:r>
        <w:rPr>
          <w:rFonts w:ascii="宋体" w:eastAsia="宋体" w:hAnsi="宋体" w:cs="宋体" w:hint="eastAsia"/>
          <w:bCs/>
          <w:w w:val="96"/>
          <w:kern w:val="0"/>
          <w:sz w:val="32"/>
          <w:szCs w:val="32"/>
        </w:rPr>
        <w:t>指单位医疗保障经费。</w:t>
      </w:r>
    </w:p>
    <w:p w:rsidR="00FB26EF" w:rsidRDefault="00156AFF" w:rsidP="00D81ADA">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八、住房保障支出（类）住房改革支出（款）住房公积金（项）：</w:t>
      </w:r>
      <w:r>
        <w:rPr>
          <w:rFonts w:ascii="宋体" w:eastAsia="宋体" w:hAnsi="宋体" w:cs="宋体" w:hint="eastAsia"/>
          <w:w w:val="96"/>
          <w:kern w:val="0"/>
          <w:sz w:val="32"/>
          <w:szCs w:val="32"/>
        </w:rPr>
        <w:t>指住房公积金。</w:t>
      </w:r>
    </w:p>
    <w:p w:rsidR="00FB26EF" w:rsidRDefault="00156AFF" w:rsidP="00D81ADA">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九、结余分配：</w:t>
      </w:r>
      <w:r>
        <w:rPr>
          <w:rFonts w:ascii="宋体" w:eastAsia="宋体" w:hAnsi="宋体" w:cs="宋体" w:hint="eastAsia"/>
          <w:w w:val="96"/>
          <w:kern w:val="0"/>
          <w:sz w:val="32"/>
          <w:szCs w:val="32"/>
        </w:rPr>
        <w:t>指事业单位按规定提取的职工福利基金、事业基金和缴纳的所得税，以及建设单位按规定应交回的基本建设竣工项目结余资金。</w:t>
      </w:r>
    </w:p>
    <w:p w:rsidR="00FB26EF" w:rsidRDefault="00156AFF" w:rsidP="00D81ADA">
      <w:pPr>
        <w:widowControl/>
        <w:autoSpaceDE w:val="0"/>
        <w:autoSpaceDN w:val="0"/>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十、年末结转和结余：</w:t>
      </w:r>
      <w:r>
        <w:rPr>
          <w:rFonts w:ascii="宋体" w:eastAsia="宋体" w:hAnsi="宋体" w:cs="宋体" w:hint="eastAsia"/>
          <w:w w:val="96"/>
          <w:kern w:val="0"/>
          <w:sz w:val="32"/>
          <w:szCs w:val="32"/>
        </w:rPr>
        <w:t>指本年度或以前年度预算安排、因客观条件发生变化无法按原计划实施，需延迟到以后年度按有关规定继续使用的资金。</w:t>
      </w:r>
    </w:p>
    <w:p w:rsidR="00FB26EF" w:rsidRDefault="00156AFF" w:rsidP="00D81ADA">
      <w:pPr>
        <w:widowControl/>
        <w:autoSpaceDE w:val="0"/>
        <w:autoSpaceDN w:val="0"/>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十一、基本支出：</w:t>
      </w:r>
      <w:r>
        <w:rPr>
          <w:rFonts w:ascii="宋体" w:eastAsia="宋体" w:hAnsi="宋体" w:cs="宋体" w:hint="eastAsia"/>
          <w:w w:val="96"/>
          <w:kern w:val="0"/>
          <w:sz w:val="32"/>
          <w:szCs w:val="32"/>
        </w:rPr>
        <w:t>指为保障机构正常运转、完成日常工作任务而发生的人员支出和公用支出。</w:t>
      </w:r>
    </w:p>
    <w:p w:rsidR="00FB26EF" w:rsidRDefault="00156AFF" w:rsidP="00D81ADA">
      <w:pPr>
        <w:widowControl/>
        <w:autoSpaceDE w:val="0"/>
        <w:autoSpaceDN w:val="0"/>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十二、项目支出：</w:t>
      </w:r>
      <w:r>
        <w:rPr>
          <w:rFonts w:ascii="宋体" w:eastAsia="宋体" w:hAnsi="宋体" w:cs="宋体" w:hint="eastAsia"/>
          <w:w w:val="96"/>
          <w:kern w:val="0"/>
          <w:sz w:val="32"/>
          <w:szCs w:val="32"/>
        </w:rPr>
        <w:t>指在基本支出之外，为完成特定行政任务和事业发展目标所发生的支出。</w:t>
      </w:r>
    </w:p>
    <w:p w:rsidR="00FB26EF" w:rsidRDefault="00156AFF" w:rsidP="00D81ADA">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lastRenderedPageBreak/>
        <w:t>十三、“三公”经费：</w:t>
      </w:r>
      <w:r>
        <w:rPr>
          <w:rFonts w:ascii="宋体" w:eastAsia="宋体" w:hAnsi="宋体" w:cs="宋体" w:hint="eastAsia"/>
          <w:w w:val="96"/>
          <w:kern w:val="0"/>
          <w:sz w:val="32"/>
          <w:szCs w:val="32"/>
        </w:rPr>
        <w:t>指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FB26EF" w:rsidRDefault="00156AFF" w:rsidP="00D81ADA">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十四、机关运行经费：</w:t>
      </w:r>
      <w:r>
        <w:rPr>
          <w:rFonts w:ascii="宋体" w:eastAsia="宋体" w:hAnsi="宋体" w:cs="宋体" w:hint="eastAsia"/>
          <w:w w:val="96"/>
          <w:kern w:val="0"/>
          <w:sz w:val="32"/>
          <w:szCs w:val="32"/>
        </w:rPr>
        <w: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FB26EF" w:rsidRDefault="00156AFF" w:rsidP="00D81ADA">
      <w:pPr>
        <w:widowControl/>
        <w:adjustRightInd w:val="0"/>
        <w:snapToGrid w:val="0"/>
        <w:spacing w:line="360" w:lineRule="auto"/>
        <w:ind w:firstLineChars="200" w:firstLine="610"/>
        <w:jc w:val="left"/>
        <w:rPr>
          <w:rFonts w:ascii="宋体" w:eastAsia="宋体" w:hAnsi="宋体" w:cs="宋体"/>
          <w:color w:val="FF0000"/>
          <w:w w:val="96"/>
          <w:sz w:val="32"/>
          <w:szCs w:val="32"/>
          <w:shd w:val="clear" w:color="auto" w:fill="FFFFFF"/>
        </w:rPr>
      </w:pPr>
      <w:r>
        <w:rPr>
          <w:rFonts w:ascii="宋体" w:eastAsia="宋体" w:hAnsi="宋体" w:cs="宋体" w:hint="eastAsia"/>
          <w:color w:val="FF0000"/>
          <w:w w:val="96"/>
          <w:sz w:val="32"/>
          <w:szCs w:val="32"/>
          <w:shd w:val="clear" w:color="auto" w:fill="FFFFFF"/>
        </w:rPr>
        <w:t xml:space="preserve"> </w:t>
      </w:r>
    </w:p>
    <w:p w:rsidR="00FB26EF" w:rsidRDefault="00FB26EF" w:rsidP="00D81ADA">
      <w:pPr>
        <w:widowControl/>
        <w:adjustRightInd w:val="0"/>
        <w:snapToGrid w:val="0"/>
        <w:spacing w:line="360" w:lineRule="auto"/>
        <w:ind w:firstLineChars="200" w:firstLine="610"/>
        <w:jc w:val="left"/>
        <w:rPr>
          <w:rFonts w:ascii="宋体" w:eastAsia="宋体" w:hAnsi="宋体" w:cs="宋体"/>
          <w:color w:val="FF0000"/>
          <w:w w:val="96"/>
          <w:sz w:val="32"/>
          <w:szCs w:val="32"/>
          <w:shd w:val="clear" w:color="auto" w:fill="FFFFFF"/>
        </w:rPr>
      </w:pPr>
    </w:p>
    <w:p w:rsidR="00FB26EF" w:rsidRDefault="00FB26EF">
      <w:pPr>
        <w:ind w:firstLineChars="200" w:firstLine="640"/>
        <w:jc w:val="left"/>
        <w:rPr>
          <w:rFonts w:asciiTheme="minorEastAsia" w:hAnsiTheme="minorEastAsia" w:cs="黑体"/>
          <w:color w:val="000000"/>
          <w:kern w:val="0"/>
          <w:sz w:val="32"/>
          <w:szCs w:val="3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FB26EF">
      <w:pPr>
        <w:pStyle w:val="Default"/>
        <w:jc w:val="center"/>
        <w:rPr>
          <w:sz w:val="72"/>
          <w:szCs w:val="72"/>
        </w:rPr>
      </w:pPr>
    </w:p>
    <w:p w:rsidR="00FB26EF" w:rsidRDefault="00156AFF">
      <w:pPr>
        <w:pStyle w:val="Default"/>
        <w:jc w:val="center"/>
        <w:rPr>
          <w:sz w:val="72"/>
          <w:szCs w:val="72"/>
        </w:rPr>
      </w:pPr>
      <w:r>
        <w:rPr>
          <w:rFonts w:hint="eastAsia"/>
          <w:sz w:val="72"/>
          <w:szCs w:val="72"/>
        </w:rPr>
        <w:t>第五部分</w:t>
      </w:r>
    </w:p>
    <w:p w:rsidR="00FB26EF" w:rsidRDefault="00FB26EF">
      <w:pPr>
        <w:jc w:val="center"/>
        <w:rPr>
          <w:rFonts w:ascii="黑体" w:eastAsia="黑体" w:cs="黑体"/>
          <w:color w:val="000000"/>
          <w:kern w:val="0"/>
          <w:sz w:val="70"/>
          <w:szCs w:val="70"/>
        </w:rPr>
      </w:pPr>
    </w:p>
    <w:p w:rsidR="00FB26EF" w:rsidRDefault="00156AFF">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FB26EF" w:rsidRDefault="00156AFF">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FB26EF" w:rsidRDefault="00156AFF" w:rsidP="00D81ADA">
      <w:pPr>
        <w:ind w:firstLineChars="200" w:firstLine="643"/>
        <w:jc w:val="cente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lastRenderedPageBreak/>
        <w:t>2020年度部门整体支出绩效评价报告</w:t>
      </w:r>
    </w:p>
    <w:p w:rsidR="00FB26EF" w:rsidRDefault="00156AFF">
      <w:pPr>
        <w:pStyle w:val="a6"/>
        <w:ind w:firstLineChars="200" w:firstLine="560"/>
        <w:rPr>
          <w:rFonts w:cs="Times New Roman"/>
          <w:sz w:val="28"/>
          <w:szCs w:val="28"/>
        </w:rPr>
      </w:pPr>
      <w:r>
        <w:rPr>
          <w:rFonts w:hint="eastAsia"/>
          <w:sz w:val="28"/>
          <w:szCs w:val="28"/>
        </w:rPr>
        <w:t>为加强我馆财政资金管理，强化支出责任，提高财政资金的使用效益，建立科学、合理的财政支出绩效评价管理体系，提高本单位财政资金的使用效益，根据《湖南省人民政府关于全面推进预算绩效管理的意见》、《衡南县财政局关于开展2020年度财政资金绩效自评工作的通知》等文件的要求，我单位积极组织力量对本单位的部门预算整体支出进行了绩效评价，本次评价遵循了</w:t>
      </w:r>
      <w:r>
        <w:rPr>
          <w:sz w:val="28"/>
          <w:szCs w:val="28"/>
        </w:rPr>
        <w:t>“</w:t>
      </w:r>
      <w:r>
        <w:rPr>
          <w:rFonts w:hint="eastAsia"/>
          <w:sz w:val="28"/>
          <w:szCs w:val="28"/>
        </w:rPr>
        <w:t>科学规范、公正公开、分类管理、绩效相关</w:t>
      </w:r>
      <w:r>
        <w:rPr>
          <w:sz w:val="28"/>
          <w:szCs w:val="28"/>
        </w:rPr>
        <w:t>”</w:t>
      </w:r>
      <w:r>
        <w:rPr>
          <w:rFonts w:hint="eastAsia"/>
          <w:sz w:val="28"/>
          <w:szCs w:val="28"/>
        </w:rPr>
        <w:t>的原则，运用较科学、合理的绩效评价指标、评价标准和评价方法，对本单位2020年度部门整体支出的绩效情况进行了客观、公正的评价。现将情况汇报如下：</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一、基本情况</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我馆现有干部职工17人，其中：在职全额编制17人，退休人员9人。另有临时工1人（卫生工1人）。</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（一）机构设置情况</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内设机构10个：</w:t>
      </w:r>
    </w:p>
    <w:p w:rsidR="00FB26EF" w:rsidRDefault="00156AFF" w:rsidP="00D81ADA">
      <w:pPr>
        <w:pStyle w:val="a6"/>
        <w:shd w:val="clear" w:color="auto" w:fill="FFFFFF"/>
        <w:adjustRightInd w:val="0"/>
        <w:snapToGrid w:val="0"/>
        <w:spacing w:beforeLines="50" w:before="156" w:beforeAutospacing="0" w:afterLines="50" w:after="156" w:afterAutospacing="0" w:line="360" w:lineRule="auto"/>
        <w:ind w:leftChars="200" w:left="420" w:rightChars="200" w:right="420" w:firstLineChars="200" w:firstLine="560"/>
        <w:rPr>
          <w:rFonts w:asciiTheme="minorEastAsia" w:hAnsiTheme="minorEastAsia"/>
          <w:bCs/>
          <w:sz w:val="32"/>
          <w:szCs w:val="32"/>
        </w:rPr>
      </w:pPr>
      <w:r>
        <w:rPr>
          <w:rFonts w:asciiTheme="minorEastAsia" w:eastAsiaTheme="minorEastAsia" w:hAnsiTheme="minorEastAsia" w:cstheme="minorEastAsia" w:hint="eastAsia"/>
          <w:sz w:val="28"/>
          <w:szCs w:val="28"/>
        </w:rPr>
        <w:t xml:space="preserve"> </w:t>
      </w:r>
      <w:r>
        <w:rPr>
          <w:rFonts w:hint="eastAsia"/>
          <w:color w:val="333333"/>
          <w:sz w:val="28"/>
          <w:szCs w:val="28"/>
        </w:rPr>
        <w:t>办公室、采编室、外借室、综合阅览室、少儿阅览室、古籍与地方文献室、电子阅览室、</w:t>
      </w:r>
      <w:r>
        <w:rPr>
          <w:rFonts w:hint="eastAsia"/>
          <w:color w:val="000000"/>
          <w:sz w:val="28"/>
          <w:szCs w:val="28"/>
        </w:rPr>
        <w:t>财务室、少儿图书馆、24小时自助图书馆共10个股</w:t>
      </w:r>
      <w:r>
        <w:rPr>
          <w:rFonts w:hint="eastAsia"/>
          <w:color w:val="333333"/>
          <w:sz w:val="28"/>
          <w:szCs w:val="28"/>
        </w:rPr>
        <w:t>室。</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（二）主要职能</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1.坚持“为人民服务、为社会主义服务”的方向和“百花齐放、百家争鸣”的方针，运用各种文艺形式宣传党的路线、方针、政策和国家法律法规，普及科学文化知识。</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2.大力开展公共文化服务，打造公共文化服务的政府平台，让广大百姓群众共享文化成果，提升民族素质，凝聚民族力量。</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3.保存人类文化遗产。</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4.开展社会教育。</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5.传递科学情报。</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6.开展智力资源</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7.提供文化娱乐。</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二、部门整体支出管理及使用情况</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（一）基本支出管理情况</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我馆2020年基本支出共计175.89万元，其中：工资福利支出154.88万元，日常公用经费支出20.33万元，对个人和家庭补助支出0.68万，是保障单位机构正常运转，完成日常工作任务而发生的各项支出。</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（二）“三公经费”的支出使用和管理情况  </w:t>
      </w:r>
    </w:p>
    <w:p w:rsidR="00FB26EF" w:rsidRDefault="00156AFF">
      <w:pPr>
        <w:pStyle w:val="Default"/>
        <w:ind w:left="280" w:hangingChars="100" w:hanging="2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“三公经费”年初预算为0万元，支出决算为0万元。无公务用车开支。</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（三）项目支出管理情况</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 xml:space="preserve">  2020年我馆项目支出共计62万元，其中:图书购置经费30万元；免费开放经费15万元；文化信息资源共享经费5万元。公共电子阅览室2万元，图书馆总分馆建设5万元，少儿图书馆5万元，为我馆开展公共文化服务活动，实行免费开放和文化信息资源共享工程提供了有力的保障。推动总分馆建设、数字图书馆建设稳步前进。</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三、部门整体支出绩效情况</w:t>
      </w:r>
    </w:p>
    <w:p w:rsidR="00FB26EF" w:rsidRDefault="00156AFF">
      <w:pPr>
        <w:spacing w:line="580" w:lineRule="exact"/>
        <w:ind w:leftChars="100" w:left="210"/>
        <w:rPr>
          <w:rFonts w:asciiTheme="minorEastAsia" w:hAnsiTheme="minorEastAsia" w:cstheme="minorEastAsia"/>
          <w:sz w:val="28"/>
          <w:szCs w:val="28"/>
        </w:rPr>
      </w:pPr>
      <w:r>
        <w:rPr>
          <w:rFonts w:asciiTheme="minorEastAsia" w:hAnsiTheme="minorEastAsia" w:cstheme="minorEastAsia" w:hint="eastAsia"/>
          <w:sz w:val="28"/>
          <w:szCs w:val="28"/>
        </w:rPr>
        <w:t xml:space="preserve">     2020年，我馆根据年初工作规划，围绕县委、县政府中心工作，配合上级工作任务，积极较好的完成了年度工作目标。通过加强预算收支的管理，不断建立健全内部管理制度，理顺内部管理流程，部门整体支出管理情况得到了提升。</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color w:val="000000"/>
          <w:sz w:val="28"/>
          <w:szCs w:val="28"/>
          <w:shd w:val="clear" w:color="auto" w:fill="FFFFFF"/>
        </w:rPr>
        <w:t>2020年，图书馆上下团结一心，艰苦创业，不断创新，在免费开放、4.23读书节、文化信息资源共享、古籍的收藏与保护、品牌项目“清泉讲坛”等方面取得卓越成绩。</w:t>
      </w:r>
    </w:p>
    <w:p w:rsidR="00FB26EF" w:rsidRDefault="00156AFF">
      <w:pPr>
        <w:pStyle w:val="a6"/>
        <w:ind w:leftChars="50" w:left="245" w:hangingChars="50" w:hanging="140"/>
        <w:rPr>
          <w:rFonts w:asciiTheme="minorEastAsia" w:hAnsiTheme="minorEastAsia" w:cstheme="minorEastAsia"/>
          <w:sz w:val="28"/>
          <w:szCs w:val="28"/>
        </w:rPr>
      </w:pPr>
      <w:r>
        <w:rPr>
          <w:rFonts w:asciiTheme="minorEastAsia" w:hAnsiTheme="minorEastAsia" w:cstheme="minorEastAsia" w:hint="eastAsia"/>
          <w:sz w:val="28"/>
          <w:szCs w:val="28"/>
        </w:rPr>
        <w:t xml:space="preserve">    内部管理上全馆干部职工积极履职，强化管理，较好的完成了年度工作目标。通过加强预算收支的管理，不断建立健全内部管理制度，理顺内部管理流程，部门整体支出管理情况得到了提升。</w:t>
      </w:r>
    </w:p>
    <w:p w:rsidR="00FB26EF" w:rsidRDefault="00156AFF">
      <w:pPr>
        <w:pStyle w:val="a6"/>
        <w:ind w:firstLine="560"/>
        <w:rPr>
          <w:rFonts w:cs="Times New Roman"/>
          <w:sz w:val="28"/>
          <w:szCs w:val="28"/>
        </w:rPr>
      </w:pPr>
      <w:r>
        <w:rPr>
          <w:rFonts w:hint="eastAsia"/>
          <w:b/>
          <w:bCs/>
          <w:sz w:val="28"/>
          <w:szCs w:val="28"/>
        </w:rPr>
        <w:lastRenderedPageBreak/>
        <w:t>四、部门整体支出绩效评价情况</w:t>
      </w:r>
    </w:p>
    <w:p w:rsidR="00FB26EF" w:rsidRDefault="00156AFF">
      <w:pPr>
        <w:pStyle w:val="a6"/>
        <w:rPr>
          <w:sz w:val="28"/>
          <w:szCs w:val="28"/>
        </w:rPr>
      </w:pPr>
      <w:r>
        <w:rPr>
          <w:rFonts w:hint="eastAsia"/>
          <w:sz w:val="28"/>
          <w:szCs w:val="28"/>
        </w:rPr>
        <w:t xml:space="preserve">　　</w:t>
      </w:r>
      <w:r>
        <w:rPr>
          <w:sz w:val="28"/>
          <w:szCs w:val="28"/>
        </w:rPr>
        <w:t>1.</w:t>
      </w:r>
      <w:r>
        <w:rPr>
          <w:rFonts w:hint="eastAsia"/>
          <w:sz w:val="28"/>
          <w:szCs w:val="28"/>
        </w:rPr>
        <w:t>预算配置情况</w:t>
      </w:r>
    </w:p>
    <w:p w:rsidR="00FB26EF" w:rsidRDefault="00156AFF">
      <w:pPr>
        <w:pStyle w:val="a6"/>
        <w:rPr>
          <w:sz w:val="28"/>
          <w:szCs w:val="28"/>
        </w:rPr>
      </w:pPr>
      <w:r>
        <w:rPr>
          <w:rFonts w:hint="eastAsia"/>
          <w:sz w:val="28"/>
          <w:szCs w:val="28"/>
        </w:rPr>
        <w:t xml:space="preserve">　　</w:t>
      </w:r>
      <w:r>
        <w:rPr>
          <w:sz w:val="28"/>
          <w:szCs w:val="28"/>
        </w:rPr>
        <w:t>(1)</w:t>
      </w:r>
      <w:r>
        <w:rPr>
          <w:rFonts w:hint="eastAsia"/>
          <w:sz w:val="28"/>
          <w:szCs w:val="28"/>
        </w:rPr>
        <w:t>在职人员控制率</w:t>
      </w:r>
      <w:r>
        <w:rPr>
          <w:sz w:val="28"/>
          <w:szCs w:val="28"/>
        </w:rPr>
        <w:t>(2</w:t>
      </w:r>
      <w:r>
        <w:rPr>
          <w:rFonts w:hint="eastAsia"/>
          <w:sz w:val="28"/>
          <w:szCs w:val="28"/>
        </w:rPr>
        <w:t>分</w:t>
      </w:r>
      <w:r>
        <w:rPr>
          <w:sz w:val="28"/>
          <w:szCs w:val="28"/>
        </w:rPr>
        <w:t>)</w:t>
      </w:r>
      <w:r>
        <w:rPr>
          <w:rFonts w:hint="eastAsia"/>
          <w:sz w:val="28"/>
          <w:szCs w:val="28"/>
        </w:rPr>
        <w:t>：本单位2020年度编制数为17人，实际在职人员为17人，实际在职人员控制率＝</w:t>
      </w:r>
      <w:r>
        <w:rPr>
          <w:sz w:val="28"/>
          <w:szCs w:val="28"/>
        </w:rPr>
        <w:t>(</w:t>
      </w:r>
      <w:r>
        <w:rPr>
          <w:rFonts w:hint="eastAsia"/>
          <w:sz w:val="28"/>
          <w:szCs w:val="28"/>
        </w:rPr>
        <w:t>在职人员数</w:t>
      </w:r>
      <w:r>
        <w:rPr>
          <w:sz w:val="28"/>
          <w:szCs w:val="28"/>
        </w:rPr>
        <w:t>/</w:t>
      </w:r>
      <w:r>
        <w:rPr>
          <w:rFonts w:hint="eastAsia"/>
          <w:sz w:val="28"/>
          <w:szCs w:val="28"/>
        </w:rPr>
        <w:t>编制数</w:t>
      </w:r>
      <w:r>
        <w:rPr>
          <w:sz w:val="28"/>
          <w:szCs w:val="28"/>
        </w:rPr>
        <w:t>)×100%</w:t>
      </w:r>
      <w:r>
        <w:rPr>
          <w:rFonts w:hint="eastAsia"/>
          <w:sz w:val="28"/>
          <w:szCs w:val="28"/>
        </w:rPr>
        <w:t>＝</w:t>
      </w:r>
      <w:r>
        <w:rPr>
          <w:sz w:val="28"/>
          <w:szCs w:val="28"/>
        </w:rPr>
        <w:t>(</w:t>
      </w:r>
      <w:r>
        <w:rPr>
          <w:rFonts w:hint="eastAsia"/>
          <w:sz w:val="28"/>
          <w:szCs w:val="28"/>
        </w:rPr>
        <w:t>17</w:t>
      </w:r>
      <w:r>
        <w:rPr>
          <w:sz w:val="28"/>
          <w:szCs w:val="28"/>
        </w:rPr>
        <w:t>/</w:t>
      </w:r>
      <w:r>
        <w:rPr>
          <w:rFonts w:hint="eastAsia"/>
          <w:sz w:val="28"/>
          <w:szCs w:val="28"/>
        </w:rPr>
        <w:t>17</w:t>
      </w:r>
      <w:r>
        <w:rPr>
          <w:sz w:val="28"/>
          <w:szCs w:val="28"/>
        </w:rPr>
        <w:t>)×100%</w:t>
      </w:r>
      <w:r>
        <w:rPr>
          <w:rFonts w:hint="eastAsia"/>
          <w:sz w:val="28"/>
          <w:szCs w:val="28"/>
        </w:rPr>
        <w:t>＝</w:t>
      </w:r>
      <w:r>
        <w:rPr>
          <w:sz w:val="28"/>
          <w:szCs w:val="28"/>
        </w:rPr>
        <w:t>100%</w:t>
      </w:r>
      <w:r>
        <w:rPr>
          <w:rFonts w:hint="eastAsia"/>
          <w:sz w:val="28"/>
          <w:szCs w:val="28"/>
        </w:rPr>
        <w:t>，在职人员控制率为</w:t>
      </w:r>
      <w:r>
        <w:rPr>
          <w:sz w:val="28"/>
          <w:szCs w:val="28"/>
        </w:rPr>
        <w:t>100%</w:t>
      </w:r>
      <w:r>
        <w:rPr>
          <w:rFonts w:hint="eastAsia"/>
          <w:sz w:val="28"/>
          <w:szCs w:val="28"/>
        </w:rPr>
        <w:t>，根据评价标准该项得</w:t>
      </w:r>
      <w:r>
        <w:rPr>
          <w:sz w:val="28"/>
          <w:szCs w:val="28"/>
        </w:rPr>
        <w:t>2</w:t>
      </w:r>
      <w:r>
        <w:rPr>
          <w:rFonts w:hint="eastAsia"/>
          <w:sz w:val="28"/>
          <w:szCs w:val="28"/>
        </w:rPr>
        <w:t>分。</w:t>
      </w:r>
      <w:r>
        <w:rPr>
          <w:sz w:val="28"/>
          <w:szCs w:val="28"/>
        </w:rPr>
        <w:t xml:space="preserve"> </w:t>
      </w:r>
    </w:p>
    <w:p w:rsidR="00FB26EF" w:rsidRDefault="00156AFF">
      <w:pPr>
        <w:pStyle w:val="a6"/>
        <w:rPr>
          <w:rFonts w:cs="Times New Roman"/>
          <w:sz w:val="28"/>
          <w:szCs w:val="28"/>
        </w:rPr>
      </w:pPr>
      <w:r>
        <w:rPr>
          <w:rFonts w:hint="eastAsia"/>
          <w:sz w:val="28"/>
          <w:szCs w:val="28"/>
        </w:rPr>
        <w:t xml:space="preserve">　　(</w:t>
      </w:r>
      <w:r>
        <w:rPr>
          <w:sz w:val="28"/>
          <w:szCs w:val="28"/>
        </w:rPr>
        <w:t>2)“</w:t>
      </w:r>
      <w:r>
        <w:rPr>
          <w:rFonts w:hint="eastAsia"/>
          <w:sz w:val="28"/>
          <w:szCs w:val="28"/>
        </w:rPr>
        <w:t>三公经费</w:t>
      </w:r>
      <w:r>
        <w:rPr>
          <w:sz w:val="28"/>
          <w:szCs w:val="28"/>
        </w:rPr>
        <w:t>”</w:t>
      </w:r>
      <w:r>
        <w:rPr>
          <w:rFonts w:hint="eastAsia"/>
          <w:sz w:val="28"/>
          <w:szCs w:val="28"/>
        </w:rPr>
        <w:t>变动率情况</w:t>
      </w:r>
      <w:r>
        <w:rPr>
          <w:sz w:val="28"/>
          <w:szCs w:val="28"/>
        </w:rPr>
        <w:t>(2</w:t>
      </w:r>
      <w:r>
        <w:rPr>
          <w:rFonts w:hint="eastAsia"/>
          <w:sz w:val="28"/>
          <w:szCs w:val="28"/>
        </w:rPr>
        <w:t>分</w:t>
      </w:r>
      <w:r>
        <w:rPr>
          <w:sz w:val="28"/>
          <w:szCs w:val="28"/>
        </w:rPr>
        <w:t>)</w:t>
      </w:r>
      <w:r>
        <w:rPr>
          <w:rFonts w:hint="eastAsia"/>
          <w:sz w:val="28"/>
          <w:szCs w:val="28"/>
        </w:rPr>
        <w:t>：</w:t>
      </w:r>
      <w:r>
        <w:rPr>
          <w:sz w:val="28"/>
          <w:szCs w:val="28"/>
        </w:rPr>
        <w:t>“</w:t>
      </w:r>
      <w:r>
        <w:rPr>
          <w:rFonts w:hint="eastAsia"/>
          <w:sz w:val="28"/>
          <w:szCs w:val="28"/>
        </w:rPr>
        <w:t>2020年度本单位预算安排</w:t>
      </w:r>
      <w:r>
        <w:rPr>
          <w:sz w:val="28"/>
          <w:szCs w:val="28"/>
        </w:rPr>
        <w:t>“</w:t>
      </w:r>
      <w:r>
        <w:rPr>
          <w:rFonts w:hint="eastAsia"/>
          <w:sz w:val="28"/>
          <w:szCs w:val="28"/>
        </w:rPr>
        <w:t>三公经费</w:t>
      </w:r>
      <w:r>
        <w:rPr>
          <w:sz w:val="28"/>
          <w:szCs w:val="28"/>
        </w:rPr>
        <w:t>”</w:t>
      </w:r>
      <w:r>
        <w:rPr>
          <w:rFonts w:hint="eastAsia"/>
          <w:sz w:val="28"/>
          <w:szCs w:val="28"/>
        </w:rPr>
        <w:t>总额为0万元，2020年度</w:t>
      </w:r>
      <w:r>
        <w:rPr>
          <w:sz w:val="28"/>
          <w:szCs w:val="28"/>
        </w:rPr>
        <w:t>“</w:t>
      </w:r>
      <w:r>
        <w:rPr>
          <w:rFonts w:hint="eastAsia"/>
          <w:sz w:val="28"/>
          <w:szCs w:val="28"/>
        </w:rPr>
        <w:t>三公经费</w:t>
      </w:r>
      <w:r>
        <w:rPr>
          <w:sz w:val="28"/>
          <w:szCs w:val="28"/>
        </w:rPr>
        <w:t>”</w:t>
      </w:r>
      <w:r>
        <w:rPr>
          <w:rFonts w:hint="eastAsia"/>
          <w:sz w:val="28"/>
          <w:szCs w:val="28"/>
        </w:rPr>
        <w:t>支出为0万元。上年度</w:t>
      </w:r>
      <w:r>
        <w:rPr>
          <w:sz w:val="28"/>
          <w:szCs w:val="28"/>
        </w:rPr>
        <w:t>“</w:t>
      </w:r>
      <w:r>
        <w:rPr>
          <w:rFonts w:hint="eastAsia"/>
          <w:sz w:val="28"/>
          <w:szCs w:val="28"/>
        </w:rPr>
        <w:t>三公经费</w:t>
      </w:r>
      <w:r>
        <w:rPr>
          <w:sz w:val="28"/>
          <w:szCs w:val="28"/>
        </w:rPr>
        <w:t>”</w:t>
      </w:r>
      <w:r>
        <w:rPr>
          <w:rFonts w:hint="eastAsia"/>
          <w:sz w:val="28"/>
          <w:szCs w:val="28"/>
        </w:rPr>
        <w:t>支出为0万元。根据评价标准该项得满分</w:t>
      </w:r>
      <w:r>
        <w:rPr>
          <w:sz w:val="28"/>
          <w:szCs w:val="28"/>
        </w:rPr>
        <w:t>2</w:t>
      </w:r>
      <w:r>
        <w:rPr>
          <w:rFonts w:hint="eastAsia"/>
          <w:sz w:val="28"/>
          <w:szCs w:val="28"/>
        </w:rPr>
        <w:t>分。</w:t>
      </w:r>
    </w:p>
    <w:p w:rsidR="00FB26EF" w:rsidRDefault="00156AFF">
      <w:pPr>
        <w:pStyle w:val="a6"/>
        <w:rPr>
          <w:rFonts w:cs="Times New Roman"/>
          <w:sz w:val="28"/>
          <w:szCs w:val="28"/>
        </w:rPr>
      </w:pPr>
      <w:r>
        <w:rPr>
          <w:rFonts w:hint="eastAsia"/>
          <w:sz w:val="28"/>
          <w:szCs w:val="28"/>
        </w:rPr>
        <w:t xml:space="preserve">　　</w:t>
      </w:r>
      <w:r>
        <w:rPr>
          <w:sz w:val="28"/>
          <w:szCs w:val="28"/>
        </w:rPr>
        <w:t>2.</w:t>
      </w:r>
      <w:r>
        <w:rPr>
          <w:rFonts w:hint="eastAsia"/>
          <w:sz w:val="28"/>
          <w:szCs w:val="28"/>
        </w:rPr>
        <w:t>预算执行情况</w:t>
      </w:r>
    </w:p>
    <w:p w:rsidR="00FB26EF" w:rsidRDefault="00156AFF">
      <w:pPr>
        <w:pStyle w:val="a6"/>
        <w:ind w:firstLine="560"/>
        <w:rPr>
          <w:sz w:val="28"/>
          <w:szCs w:val="28"/>
        </w:rPr>
      </w:pPr>
      <w:r>
        <w:rPr>
          <w:rFonts w:hint="eastAsia"/>
          <w:sz w:val="28"/>
          <w:szCs w:val="28"/>
        </w:rPr>
        <w:t>公用经费控制率</w:t>
      </w:r>
      <w:r>
        <w:rPr>
          <w:sz w:val="28"/>
          <w:szCs w:val="28"/>
        </w:rPr>
        <w:t>(</w:t>
      </w:r>
      <w:r>
        <w:rPr>
          <w:rFonts w:hint="eastAsia"/>
          <w:sz w:val="28"/>
          <w:szCs w:val="28"/>
        </w:rPr>
        <w:t>2分</w:t>
      </w:r>
      <w:r>
        <w:rPr>
          <w:sz w:val="28"/>
          <w:szCs w:val="28"/>
        </w:rPr>
        <w:t>)</w:t>
      </w:r>
      <w:r>
        <w:rPr>
          <w:rFonts w:hint="eastAsia"/>
          <w:sz w:val="28"/>
          <w:szCs w:val="28"/>
        </w:rPr>
        <w:t>：2020年度本单位实际公用经费支出为20.33万元，年初预算安排公用经费为10.2万元，本单位公用经费控制率＝</w:t>
      </w:r>
      <w:r>
        <w:rPr>
          <w:sz w:val="28"/>
          <w:szCs w:val="28"/>
        </w:rPr>
        <w:t>(</w:t>
      </w:r>
      <w:r>
        <w:rPr>
          <w:rFonts w:hint="eastAsia"/>
          <w:sz w:val="28"/>
          <w:szCs w:val="28"/>
        </w:rPr>
        <w:t>实际支出公用经费总额</w:t>
      </w:r>
      <w:r>
        <w:rPr>
          <w:sz w:val="28"/>
          <w:szCs w:val="28"/>
        </w:rPr>
        <w:t>÷</w:t>
      </w:r>
      <w:r>
        <w:rPr>
          <w:rFonts w:hint="eastAsia"/>
          <w:sz w:val="28"/>
          <w:szCs w:val="28"/>
        </w:rPr>
        <w:t>预算安排公用经费总额</w:t>
      </w:r>
      <w:r>
        <w:rPr>
          <w:sz w:val="28"/>
          <w:szCs w:val="28"/>
        </w:rPr>
        <w:t>)×100%</w:t>
      </w:r>
      <w:r>
        <w:rPr>
          <w:rFonts w:hint="eastAsia"/>
          <w:sz w:val="28"/>
          <w:szCs w:val="28"/>
        </w:rPr>
        <w:t>＝20.33万元</w:t>
      </w:r>
      <w:r>
        <w:rPr>
          <w:sz w:val="28"/>
          <w:szCs w:val="28"/>
        </w:rPr>
        <w:t>÷</w:t>
      </w:r>
      <w:r>
        <w:rPr>
          <w:rFonts w:hint="eastAsia"/>
          <w:sz w:val="28"/>
          <w:szCs w:val="28"/>
        </w:rPr>
        <w:t>10.2万元</w:t>
      </w:r>
      <w:r>
        <w:rPr>
          <w:sz w:val="28"/>
          <w:szCs w:val="28"/>
        </w:rPr>
        <w:t>×100%</w:t>
      </w:r>
      <w:r>
        <w:rPr>
          <w:rFonts w:hint="eastAsia"/>
          <w:sz w:val="28"/>
          <w:szCs w:val="28"/>
        </w:rPr>
        <w:t>＝199.31</w:t>
      </w:r>
      <w:r>
        <w:rPr>
          <w:sz w:val="28"/>
          <w:szCs w:val="28"/>
        </w:rPr>
        <w:t>%</w:t>
      </w:r>
      <w:r>
        <w:rPr>
          <w:rFonts w:hint="eastAsia"/>
          <w:sz w:val="28"/>
          <w:szCs w:val="28"/>
        </w:rPr>
        <w:t>&gt;</w:t>
      </w:r>
      <w:r>
        <w:rPr>
          <w:sz w:val="28"/>
          <w:szCs w:val="28"/>
        </w:rPr>
        <w:t>100%</w:t>
      </w:r>
      <w:r>
        <w:rPr>
          <w:rFonts w:hint="eastAsia"/>
          <w:sz w:val="28"/>
          <w:szCs w:val="28"/>
        </w:rPr>
        <w:t>，根据评分标准，本单位该项指标应得1.7分。</w:t>
      </w:r>
    </w:p>
    <w:p w:rsidR="00FB26EF" w:rsidRDefault="00156AFF">
      <w:pPr>
        <w:pStyle w:val="a6"/>
        <w:ind w:firstLineChars="200" w:firstLine="560"/>
        <w:rPr>
          <w:rFonts w:cs="Times New Roman"/>
          <w:sz w:val="28"/>
          <w:szCs w:val="28"/>
        </w:rPr>
      </w:pPr>
      <w:r>
        <w:rPr>
          <w:sz w:val="28"/>
          <w:szCs w:val="28"/>
        </w:rPr>
        <w:t>“</w:t>
      </w:r>
      <w:r>
        <w:rPr>
          <w:rFonts w:hint="eastAsia"/>
          <w:sz w:val="28"/>
          <w:szCs w:val="28"/>
        </w:rPr>
        <w:t>三公经费</w:t>
      </w:r>
      <w:r>
        <w:rPr>
          <w:sz w:val="28"/>
          <w:szCs w:val="28"/>
        </w:rPr>
        <w:t>”</w:t>
      </w:r>
      <w:r>
        <w:rPr>
          <w:rFonts w:hint="eastAsia"/>
          <w:sz w:val="28"/>
          <w:szCs w:val="28"/>
        </w:rPr>
        <w:t>控制率</w:t>
      </w:r>
      <w:r>
        <w:rPr>
          <w:sz w:val="28"/>
          <w:szCs w:val="28"/>
        </w:rPr>
        <w:t>(</w:t>
      </w:r>
      <w:r>
        <w:rPr>
          <w:rFonts w:hint="eastAsia"/>
          <w:sz w:val="28"/>
          <w:szCs w:val="28"/>
        </w:rPr>
        <w:t>2分</w:t>
      </w:r>
      <w:r>
        <w:rPr>
          <w:sz w:val="28"/>
          <w:szCs w:val="28"/>
        </w:rPr>
        <w:t>)</w:t>
      </w:r>
      <w:r>
        <w:rPr>
          <w:rFonts w:hint="eastAsia"/>
          <w:sz w:val="28"/>
          <w:szCs w:val="28"/>
        </w:rPr>
        <w:t>：2020年度本单位</w:t>
      </w:r>
      <w:r>
        <w:rPr>
          <w:sz w:val="28"/>
          <w:szCs w:val="28"/>
        </w:rPr>
        <w:t>“</w:t>
      </w:r>
      <w:r>
        <w:rPr>
          <w:rFonts w:hint="eastAsia"/>
          <w:sz w:val="28"/>
          <w:szCs w:val="28"/>
        </w:rPr>
        <w:t>三公经费</w:t>
      </w:r>
      <w:r>
        <w:rPr>
          <w:sz w:val="28"/>
          <w:szCs w:val="28"/>
        </w:rPr>
        <w:t>”</w:t>
      </w:r>
      <w:r>
        <w:rPr>
          <w:rFonts w:hint="eastAsia"/>
          <w:sz w:val="28"/>
          <w:szCs w:val="28"/>
        </w:rPr>
        <w:t>实际支出数为0万元，</w:t>
      </w:r>
      <w:r>
        <w:rPr>
          <w:sz w:val="28"/>
          <w:szCs w:val="28"/>
        </w:rPr>
        <w:t>“</w:t>
      </w:r>
      <w:r>
        <w:rPr>
          <w:rFonts w:hint="eastAsia"/>
          <w:sz w:val="28"/>
          <w:szCs w:val="28"/>
        </w:rPr>
        <w:t>三公经费</w:t>
      </w:r>
      <w:r>
        <w:rPr>
          <w:sz w:val="28"/>
          <w:szCs w:val="28"/>
        </w:rPr>
        <w:t>”</w:t>
      </w:r>
      <w:r>
        <w:rPr>
          <w:rFonts w:hint="eastAsia"/>
          <w:sz w:val="28"/>
          <w:szCs w:val="28"/>
        </w:rPr>
        <w:t>年初预算数为0万元，根据评分标准，本单位该项指标应得满分。</w:t>
      </w:r>
    </w:p>
    <w:p w:rsidR="00FB26EF" w:rsidRDefault="00156AFF">
      <w:pPr>
        <w:pStyle w:val="a6"/>
        <w:ind w:firstLine="560"/>
        <w:rPr>
          <w:sz w:val="28"/>
          <w:szCs w:val="28"/>
        </w:rPr>
      </w:pPr>
      <w:r>
        <w:rPr>
          <w:rFonts w:hint="eastAsia"/>
          <w:sz w:val="28"/>
          <w:szCs w:val="28"/>
        </w:rPr>
        <w:t>3.预算管理情况</w:t>
      </w:r>
    </w:p>
    <w:p w:rsidR="00FB26EF" w:rsidRDefault="00156AFF">
      <w:pPr>
        <w:pStyle w:val="a6"/>
        <w:ind w:firstLineChars="200" w:firstLine="560"/>
        <w:rPr>
          <w:sz w:val="28"/>
          <w:szCs w:val="28"/>
        </w:rPr>
      </w:pPr>
      <w:r>
        <w:rPr>
          <w:rFonts w:hint="eastAsia"/>
          <w:sz w:val="28"/>
          <w:szCs w:val="28"/>
        </w:rPr>
        <w:t>管理制度健全性</w:t>
      </w:r>
      <w:r>
        <w:rPr>
          <w:sz w:val="28"/>
          <w:szCs w:val="28"/>
        </w:rPr>
        <w:t>(</w:t>
      </w:r>
      <w:r>
        <w:rPr>
          <w:rFonts w:hint="eastAsia"/>
          <w:sz w:val="28"/>
          <w:szCs w:val="28"/>
        </w:rPr>
        <w:t>2分</w:t>
      </w:r>
      <w:r>
        <w:rPr>
          <w:sz w:val="28"/>
          <w:szCs w:val="28"/>
        </w:rPr>
        <w:t>)</w:t>
      </w:r>
      <w:r>
        <w:rPr>
          <w:rFonts w:hint="eastAsia"/>
          <w:sz w:val="28"/>
          <w:szCs w:val="28"/>
        </w:rPr>
        <w:t>：本单位制订了《衡南县图书馆管理制度》，建立了各项管理制度，有内部财务管理制度、公务接待管理制度、公务出差审批制度等相关制度，有本部门厉行节约制度，相关管理制度合法、合规、完整，相关管理制度得到有效执行，根据评分标准，本单位该项指标得满分。</w:t>
      </w:r>
    </w:p>
    <w:p w:rsidR="00FB26EF" w:rsidRDefault="00156AFF">
      <w:pPr>
        <w:pStyle w:val="a6"/>
        <w:ind w:firstLineChars="200" w:firstLine="560"/>
        <w:rPr>
          <w:rFonts w:cs="Times New Roman"/>
          <w:sz w:val="28"/>
          <w:szCs w:val="28"/>
        </w:rPr>
      </w:pPr>
      <w:r>
        <w:rPr>
          <w:rFonts w:hint="eastAsia"/>
          <w:sz w:val="28"/>
          <w:szCs w:val="28"/>
        </w:rPr>
        <w:lastRenderedPageBreak/>
        <w:t>资金使用和规性</w:t>
      </w:r>
      <w:r>
        <w:rPr>
          <w:sz w:val="28"/>
          <w:szCs w:val="28"/>
        </w:rPr>
        <w:t>(</w:t>
      </w:r>
      <w:r>
        <w:rPr>
          <w:rFonts w:hint="eastAsia"/>
          <w:sz w:val="28"/>
          <w:szCs w:val="28"/>
        </w:rPr>
        <w:t>4分</w:t>
      </w:r>
      <w:r>
        <w:rPr>
          <w:sz w:val="28"/>
          <w:szCs w:val="28"/>
        </w:rPr>
        <w:t>)</w:t>
      </w:r>
      <w:r>
        <w:rPr>
          <w:rFonts w:hint="eastAsia"/>
          <w:sz w:val="28"/>
          <w:szCs w:val="28"/>
        </w:rPr>
        <w:t>：本单位支出符合国家财经法规和财务管理制度规定以及有关专项资金管理办法的规定，资金的拨付有完整的审批过程和手续，项目的支出按规定经过评估论证，支出符合部门预算批复的用途，资金使用无截留、挤占、挪用、虚列支出等情况，根据评分标准，本单位该项指标得满分。</w:t>
      </w:r>
    </w:p>
    <w:p w:rsidR="00FB26EF" w:rsidRDefault="00156AFF">
      <w:pPr>
        <w:pStyle w:val="a6"/>
        <w:ind w:firstLine="560"/>
        <w:rPr>
          <w:sz w:val="28"/>
          <w:szCs w:val="28"/>
        </w:rPr>
      </w:pPr>
      <w:r>
        <w:rPr>
          <w:rFonts w:hint="eastAsia"/>
          <w:sz w:val="28"/>
          <w:szCs w:val="28"/>
        </w:rPr>
        <w:t>预决算信息公开性</w:t>
      </w:r>
      <w:r>
        <w:rPr>
          <w:sz w:val="28"/>
          <w:szCs w:val="28"/>
        </w:rPr>
        <w:t>(</w:t>
      </w:r>
      <w:r>
        <w:rPr>
          <w:rFonts w:hint="eastAsia"/>
          <w:sz w:val="28"/>
          <w:szCs w:val="28"/>
        </w:rPr>
        <w:t>2分</w:t>
      </w:r>
      <w:r>
        <w:rPr>
          <w:sz w:val="28"/>
          <w:szCs w:val="28"/>
        </w:rPr>
        <w:t>)</w:t>
      </w:r>
      <w:r>
        <w:rPr>
          <w:rFonts w:hint="eastAsia"/>
          <w:sz w:val="28"/>
          <w:szCs w:val="28"/>
        </w:rPr>
        <w:t>：本单位2020年度预算和决算都已按财政局要求进行公开，本单位基础数据信息和会计信息资料真实、完整，基础数据信息和汇集信息资料准确。根据评分标准，本单位该项指标得满分。</w:t>
      </w:r>
    </w:p>
    <w:p w:rsidR="00FB26EF" w:rsidRDefault="00156AFF">
      <w:pPr>
        <w:pStyle w:val="a6"/>
        <w:ind w:firstLine="560"/>
        <w:rPr>
          <w:sz w:val="28"/>
          <w:szCs w:val="28"/>
        </w:rPr>
      </w:pPr>
      <w:r>
        <w:rPr>
          <w:rFonts w:hint="eastAsia"/>
          <w:sz w:val="28"/>
          <w:szCs w:val="28"/>
        </w:rPr>
        <w:t xml:space="preserve">4、固定资产管理　</w:t>
      </w:r>
    </w:p>
    <w:p w:rsidR="00FB26EF" w:rsidRDefault="00156AFF">
      <w:pPr>
        <w:pStyle w:val="a6"/>
        <w:ind w:firstLine="560"/>
        <w:rPr>
          <w:sz w:val="28"/>
          <w:szCs w:val="28"/>
        </w:rPr>
      </w:pPr>
      <w:r>
        <w:rPr>
          <w:rFonts w:hint="eastAsia"/>
          <w:sz w:val="28"/>
          <w:szCs w:val="28"/>
        </w:rPr>
        <w:t>本单位固定资产保存完整，使用合规，配置合理，处置规范。固定资产有专人管理，并且有专帐，及时进行卡片登记，固定资产账实账物相符，资产利用率高。</w:t>
      </w:r>
    </w:p>
    <w:p w:rsidR="00FB26EF" w:rsidRDefault="00156AFF">
      <w:pPr>
        <w:pStyle w:val="a6"/>
        <w:ind w:firstLine="560"/>
        <w:rPr>
          <w:sz w:val="28"/>
          <w:szCs w:val="28"/>
        </w:rPr>
      </w:pPr>
      <w:r>
        <w:rPr>
          <w:rFonts w:hint="eastAsia"/>
          <w:sz w:val="28"/>
          <w:szCs w:val="28"/>
        </w:rPr>
        <w:t>5、职责履行及履职效益</w:t>
      </w:r>
    </w:p>
    <w:p w:rsidR="00FB26EF" w:rsidRDefault="00156AFF">
      <w:pPr>
        <w:pStyle w:val="a6"/>
        <w:rPr>
          <w:rFonts w:cs="Times New Roman"/>
          <w:sz w:val="28"/>
          <w:szCs w:val="28"/>
        </w:rPr>
      </w:pPr>
      <w:r>
        <w:rPr>
          <w:rFonts w:hint="eastAsia"/>
          <w:sz w:val="28"/>
          <w:szCs w:val="28"/>
        </w:rPr>
        <w:t xml:space="preserve">　　重点工作办结率</w:t>
      </w:r>
      <w:r>
        <w:rPr>
          <w:sz w:val="28"/>
          <w:szCs w:val="28"/>
        </w:rPr>
        <w:t>(</w:t>
      </w:r>
      <w:r>
        <w:rPr>
          <w:rFonts w:hint="eastAsia"/>
          <w:sz w:val="28"/>
          <w:szCs w:val="28"/>
        </w:rPr>
        <w:t>5分</w:t>
      </w:r>
      <w:r>
        <w:rPr>
          <w:sz w:val="28"/>
          <w:szCs w:val="28"/>
        </w:rPr>
        <w:t>)</w:t>
      </w:r>
      <w:r>
        <w:rPr>
          <w:rFonts w:hint="eastAsia"/>
          <w:sz w:val="28"/>
          <w:szCs w:val="28"/>
        </w:rPr>
        <w:t>：本单位要围绕弘扬传统文化、提升文化环境、提高群众文化素质、促进文化生态良好发展开展各项工作。根据评分标准，本单位该项指标得5分。</w:t>
      </w:r>
    </w:p>
    <w:p w:rsidR="00FB26EF" w:rsidRDefault="00156AFF">
      <w:pPr>
        <w:pStyle w:val="a6"/>
        <w:ind w:firstLineChars="200" w:firstLine="560"/>
        <w:rPr>
          <w:sz w:val="28"/>
          <w:szCs w:val="28"/>
        </w:rPr>
      </w:pPr>
      <w:r>
        <w:rPr>
          <w:rFonts w:hint="eastAsia"/>
          <w:sz w:val="28"/>
          <w:szCs w:val="28"/>
        </w:rPr>
        <w:t>经济效益</w:t>
      </w:r>
      <w:r>
        <w:rPr>
          <w:sz w:val="28"/>
          <w:szCs w:val="28"/>
        </w:rPr>
        <w:t>(</w:t>
      </w:r>
      <w:r>
        <w:rPr>
          <w:rFonts w:hint="eastAsia"/>
          <w:sz w:val="28"/>
          <w:szCs w:val="28"/>
        </w:rPr>
        <w:t>8分</w:t>
      </w:r>
      <w:r>
        <w:rPr>
          <w:sz w:val="28"/>
          <w:szCs w:val="28"/>
        </w:rPr>
        <w:t>)</w:t>
      </w:r>
      <w:r>
        <w:rPr>
          <w:rFonts w:hint="eastAsia"/>
          <w:sz w:val="28"/>
          <w:szCs w:val="28"/>
        </w:rPr>
        <w:t>：改善图书馆借阅环境，满足人民群众日益增长的物质文化需求，让读书成果运用到生活建设中。根据评分标准，本单位（经济效益）该项指标得满分8分。</w:t>
      </w:r>
    </w:p>
    <w:p w:rsidR="00FB26EF" w:rsidRDefault="00156AFF">
      <w:pPr>
        <w:pStyle w:val="a6"/>
        <w:ind w:firstLineChars="200" w:firstLine="560"/>
        <w:rPr>
          <w:rFonts w:cs="Times New Roman"/>
          <w:sz w:val="28"/>
          <w:szCs w:val="28"/>
        </w:rPr>
      </w:pPr>
      <w:r>
        <w:rPr>
          <w:rFonts w:hint="eastAsia"/>
          <w:sz w:val="28"/>
          <w:szCs w:val="28"/>
        </w:rPr>
        <w:t>社会效益</w:t>
      </w:r>
      <w:r>
        <w:rPr>
          <w:sz w:val="28"/>
          <w:szCs w:val="28"/>
        </w:rPr>
        <w:t>(</w:t>
      </w:r>
      <w:r>
        <w:rPr>
          <w:rFonts w:hint="eastAsia"/>
          <w:sz w:val="28"/>
          <w:szCs w:val="28"/>
        </w:rPr>
        <w:t>8分</w:t>
      </w:r>
      <w:r>
        <w:rPr>
          <w:sz w:val="28"/>
          <w:szCs w:val="28"/>
        </w:rPr>
        <w:t>)</w:t>
      </w:r>
      <w:r>
        <w:rPr>
          <w:rFonts w:hint="eastAsia"/>
          <w:sz w:val="28"/>
          <w:szCs w:val="28"/>
        </w:rPr>
        <w:t>：吸引更多读者来图书馆借阅，推动全民阅读，构建和谐衡南。本单位（社会效益）该项指标得满分8分。</w:t>
      </w:r>
    </w:p>
    <w:p w:rsidR="00FB26EF" w:rsidRDefault="00156AFF">
      <w:pPr>
        <w:pStyle w:val="a6"/>
        <w:rPr>
          <w:rFonts w:cs="Times New Roman"/>
          <w:sz w:val="28"/>
          <w:szCs w:val="28"/>
        </w:rPr>
      </w:pPr>
      <w:r>
        <w:rPr>
          <w:rFonts w:hint="eastAsia"/>
          <w:sz w:val="28"/>
          <w:szCs w:val="28"/>
        </w:rPr>
        <w:t xml:space="preserve">　　</w:t>
      </w:r>
      <w:r>
        <w:rPr>
          <w:rFonts w:hint="eastAsia"/>
          <w:b/>
          <w:bCs/>
          <w:sz w:val="28"/>
          <w:szCs w:val="28"/>
        </w:rPr>
        <w:t>五、绩效评价结论</w:t>
      </w:r>
    </w:p>
    <w:p w:rsidR="00FB26EF" w:rsidRDefault="00156AFF">
      <w:pPr>
        <w:pStyle w:val="a6"/>
        <w:ind w:firstLine="560"/>
        <w:rPr>
          <w:sz w:val="28"/>
          <w:szCs w:val="28"/>
        </w:rPr>
      </w:pPr>
      <w:r>
        <w:rPr>
          <w:sz w:val="28"/>
          <w:szCs w:val="28"/>
        </w:rPr>
        <w:lastRenderedPageBreak/>
        <w:t>1.</w:t>
      </w:r>
      <w:r>
        <w:rPr>
          <w:rFonts w:hint="eastAsia"/>
          <w:sz w:val="28"/>
          <w:szCs w:val="28"/>
        </w:rPr>
        <w:t>绩效评价得分情况。根据评价指标体系测算，本单位部门整体支出绩效评价得分是：投入绩效为</w:t>
      </w:r>
      <w:r>
        <w:rPr>
          <w:sz w:val="28"/>
          <w:szCs w:val="28"/>
        </w:rPr>
        <w:t>1</w:t>
      </w:r>
      <w:r>
        <w:rPr>
          <w:rFonts w:hint="eastAsia"/>
          <w:sz w:val="28"/>
          <w:szCs w:val="28"/>
        </w:rPr>
        <w:t xml:space="preserve">0分，过程绩效为26分，产出绩效为26分，效率绩效为32分，总绩效为94分。　　</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四、存在的主要问题</w:t>
      </w:r>
    </w:p>
    <w:p w:rsidR="00FB26EF" w:rsidRDefault="00156AFF">
      <w:pPr>
        <w:spacing w:line="5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年初预算的编制较为精细，按照费用支出的使用范围和内容，进行了基本支出、项目支出明细项目严格细分，但对于追加项目支出，没有进行预算分解，编制明细预算。</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五、改进措施和有关建议</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1、抓好财务预算管理，严格执行财务管理制度，充分发挥内控机构监督作用。</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2、严格财务支出审批，在审核审批中严把支出关，进一步完善规范财务报帐手续，切实维护财务纪律的严肃性。</w:t>
      </w:r>
    </w:p>
    <w:p w:rsidR="00FB26EF" w:rsidRDefault="00156AFF">
      <w:pPr>
        <w:spacing w:line="580" w:lineRule="exact"/>
        <w:rPr>
          <w:rFonts w:asciiTheme="minorEastAsia" w:hAnsiTheme="minorEastAsia" w:cstheme="minorEastAsia"/>
          <w:sz w:val="28"/>
          <w:szCs w:val="28"/>
        </w:rPr>
      </w:pPr>
      <w:r>
        <w:rPr>
          <w:rFonts w:asciiTheme="minorEastAsia" w:hAnsiTheme="minorEastAsia" w:cstheme="minorEastAsia" w:hint="eastAsia"/>
          <w:sz w:val="28"/>
          <w:szCs w:val="28"/>
        </w:rPr>
        <w:t xml:space="preserve">     3、强化经费管理，重点加强招待费和办公经费的管理，严格控制支出，降低经费支出。</w:t>
      </w:r>
    </w:p>
    <w:p w:rsidR="00FB26EF" w:rsidRDefault="00FB26EF">
      <w:pPr>
        <w:spacing w:line="580" w:lineRule="exact"/>
        <w:rPr>
          <w:rFonts w:asciiTheme="minorEastAsia" w:hAnsiTheme="minorEastAsia" w:cstheme="minorEastAsia"/>
          <w:sz w:val="28"/>
          <w:szCs w:val="28"/>
        </w:rPr>
      </w:pPr>
    </w:p>
    <w:p w:rsidR="00FB26EF" w:rsidRDefault="00156AFF">
      <w:pPr>
        <w:pStyle w:val="Defaul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p>
    <w:p w:rsidR="00FB26EF" w:rsidRDefault="00FB26EF" w:rsidP="00FB26EF">
      <w:pPr>
        <w:ind w:firstLineChars="200" w:firstLine="643"/>
        <w:jc w:val="center"/>
        <w:rPr>
          <w:rFonts w:asciiTheme="minorEastAsia" w:hAnsiTheme="minorEastAsia" w:cs="黑体"/>
          <w:b/>
          <w:color w:val="000000"/>
          <w:kern w:val="0"/>
          <w:sz w:val="32"/>
          <w:szCs w:val="32"/>
        </w:rPr>
      </w:pPr>
    </w:p>
    <w:sectPr w:rsidR="00FB26EF">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6AFF" w:rsidRDefault="00156AFF" w:rsidP="00D81ADA">
      <w:r>
        <w:separator/>
      </w:r>
    </w:p>
  </w:endnote>
  <w:endnote w:type="continuationSeparator" w:id="0">
    <w:p w:rsidR="00156AFF" w:rsidRDefault="00156AFF" w:rsidP="00D81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6AFF" w:rsidRDefault="00156AFF" w:rsidP="00D81ADA">
      <w:r>
        <w:separator/>
      </w:r>
    </w:p>
  </w:footnote>
  <w:footnote w:type="continuationSeparator" w:id="0">
    <w:p w:rsidR="00156AFF" w:rsidRDefault="00156AFF" w:rsidP="00D81A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1B1CFF6"/>
    <w:multiLevelType w:val="singleLevel"/>
    <w:tmpl w:val="B1B1CFF6"/>
    <w:lvl w:ilvl="0">
      <w:start w:val="1"/>
      <w:numFmt w:val="decimal"/>
      <w:suff w:val="nothing"/>
      <w:lvlText w:val="%1、"/>
      <w:lvlJc w:val="left"/>
    </w:lvl>
  </w:abstractNum>
  <w:abstractNum w:abstractNumId="1">
    <w:nsid w:val="FEC60A6D"/>
    <w:multiLevelType w:val="singleLevel"/>
    <w:tmpl w:val="FEC60A6D"/>
    <w:lvl w:ilvl="0">
      <w:start w:val="1"/>
      <w:numFmt w:val="chineseCounting"/>
      <w:lvlText w:val="(%1)"/>
      <w:lvlJc w:val="left"/>
      <w:pPr>
        <w:tabs>
          <w:tab w:val="left" w:pos="312"/>
        </w:tabs>
      </w:pPr>
      <w:rPr>
        <w:rFonts w:hint="eastAsia"/>
      </w:rPr>
    </w:lvl>
  </w:abstractNum>
  <w:abstractNum w:abstractNumId="2">
    <w:nsid w:val="1329710B"/>
    <w:multiLevelType w:val="singleLevel"/>
    <w:tmpl w:val="1329710B"/>
    <w:lvl w:ilvl="0">
      <w:start w:val="2"/>
      <w:numFmt w:val="chineseCounting"/>
      <w:suff w:val="nothing"/>
      <w:lvlText w:val="(%1）"/>
      <w:lvlJc w:val="left"/>
      <w:rPr>
        <w:rFonts w:hint="eastAsia"/>
      </w:rPr>
    </w:lvl>
  </w:abstractNum>
  <w:abstractNum w:abstractNumId="3">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DEE2B6C"/>
    <w:multiLevelType w:val="singleLevel"/>
    <w:tmpl w:val="3DEE2B6C"/>
    <w:lvl w:ilvl="0">
      <w:start w:val="3"/>
      <w:numFmt w:val="decimal"/>
      <w:suff w:val="nothing"/>
      <w:lvlText w:val="%1、"/>
      <w:lvlJc w:val="left"/>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2229B"/>
    <w:rsid w:val="000273BD"/>
    <w:rsid w:val="000415B7"/>
    <w:rsid w:val="000658A3"/>
    <w:rsid w:val="00074155"/>
    <w:rsid w:val="000A3F69"/>
    <w:rsid w:val="00152C6D"/>
    <w:rsid w:val="00156AFF"/>
    <w:rsid w:val="00162D39"/>
    <w:rsid w:val="001A67DB"/>
    <w:rsid w:val="001D51E5"/>
    <w:rsid w:val="001F0C3B"/>
    <w:rsid w:val="00214427"/>
    <w:rsid w:val="00233FEF"/>
    <w:rsid w:val="00265724"/>
    <w:rsid w:val="0027426B"/>
    <w:rsid w:val="003479BD"/>
    <w:rsid w:val="003768D5"/>
    <w:rsid w:val="0037733F"/>
    <w:rsid w:val="004027BA"/>
    <w:rsid w:val="004506F9"/>
    <w:rsid w:val="004717A2"/>
    <w:rsid w:val="00491741"/>
    <w:rsid w:val="004F0E9F"/>
    <w:rsid w:val="00500E5F"/>
    <w:rsid w:val="00511419"/>
    <w:rsid w:val="005122EF"/>
    <w:rsid w:val="00517C33"/>
    <w:rsid w:val="00523644"/>
    <w:rsid w:val="00533CC2"/>
    <w:rsid w:val="0054069E"/>
    <w:rsid w:val="005767CC"/>
    <w:rsid w:val="00590D9F"/>
    <w:rsid w:val="00595D26"/>
    <w:rsid w:val="005A74E6"/>
    <w:rsid w:val="005D4D55"/>
    <w:rsid w:val="005E2CFB"/>
    <w:rsid w:val="0062378F"/>
    <w:rsid w:val="00651EEC"/>
    <w:rsid w:val="006A351B"/>
    <w:rsid w:val="006B0422"/>
    <w:rsid w:val="006C0616"/>
    <w:rsid w:val="006C1B53"/>
    <w:rsid w:val="006D7730"/>
    <w:rsid w:val="006E5284"/>
    <w:rsid w:val="006F3EB5"/>
    <w:rsid w:val="006F4444"/>
    <w:rsid w:val="00702E34"/>
    <w:rsid w:val="00704395"/>
    <w:rsid w:val="00720FF1"/>
    <w:rsid w:val="00812ED5"/>
    <w:rsid w:val="008277D9"/>
    <w:rsid w:val="008A3E8D"/>
    <w:rsid w:val="008A6456"/>
    <w:rsid w:val="00923619"/>
    <w:rsid w:val="009237C4"/>
    <w:rsid w:val="00950252"/>
    <w:rsid w:val="00967F5D"/>
    <w:rsid w:val="009A0F95"/>
    <w:rsid w:val="009B3ADF"/>
    <w:rsid w:val="009C3B52"/>
    <w:rsid w:val="00A42218"/>
    <w:rsid w:val="00A70249"/>
    <w:rsid w:val="00A86E9A"/>
    <w:rsid w:val="00B33BEA"/>
    <w:rsid w:val="00B57C9F"/>
    <w:rsid w:val="00B845B3"/>
    <w:rsid w:val="00B85D8B"/>
    <w:rsid w:val="00BE3674"/>
    <w:rsid w:val="00BE601B"/>
    <w:rsid w:val="00C3049A"/>
    <w:rsid w:val="00C31B1E"/>
    <w:rsid w:val="00C77645"/>
    <w:rsid w:val="00C8047C"/>
    <w:rsid w:val="00CE04C3"/>
    <w:rsid w:val="00CE76A0"/>
    <w:rsid w:val="00D148C6"/>
    <w:rsid w:val="00D81ADA"/>
    <w:rsid w:val="00DD06FF"/>
    <w:rsid w:val="00DD5FE9"/>
    <w:rsid w:val="00E00C7A"/>
    <w:rsid w:val="00E55B68"/>
    <w:rsid w:val="00ED4A0D"/>
    <w:rsid w:val="00F74360"/>
    <w:rsid w:val="00FB26EF"/>
    <w:rsid w:val="00FB462F"/>
    <w:rsid w:val="00FD586C"/>
    <w:rsid w:val="00FE16FA"/>
    <w:rsid w:val="00FE328A"/>
    <w:rsid w:val="047676C0"/>
    <w:rsid w:val="0A733E75"/>
    <w:rsid w:val="1A404015"/>
    <w:rsid w:val="24E26100"/>
    <w:rsid w:val="2A2C24F5"/>
    <w:rsid w:val="2E252339"/>
    <w:rsid w:val="2EFC4E5D"/>
    <w:rsid w:val="41A83967"/>
    <w:rsid w:val="47CA5D19"/>
    <w:rsid w:val="4B285136"/>
    <w:rsid w:val="4B584AED"/>
    <w:rsid w:val="5D8C60F9"/>
    <w:rsid w:val="61CD64E3"/>
    <w:rsid w:val="6DA046A8"/>
    <w:rsid w:val="6F857E99"/>
    <w:rsid w:val="6FDD4D75"/>
    <w:rsid w:val="714B4F85"/>
    <w:rsid w:val="7A4F651D"/>
    <w:rsid w:val="7ABE43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F1D4B8B5-9E1D-40FC-99B7-72DBF26B2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7">
    <w:name w:val="List Paragraph"/>
    <w:basedOn w:val="a"/>
    <w:uiPriority w:val="34"/>
    <w:qFormat/>
    <w:pPr>
      <w:ind w:firstLineChars="200" w:firstLine="420"/>
    </w:p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C28474-ADA8-426A-B001-63796C967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1117</Words>
  <Characters>6368</Characters>
  <Application>Microsoft Office Word</Application>
  <DocSecurity>0</DocSecurity>
  <Lines>53</Lines>
  <Paragraphs>14</Paragraphs>
  <ScaleCrop>false</ScaleCrop>
  <Company>Microsoft</Company>
  <LinksUpToDate>false</LinksUpToDate>
  <CharactersWithSpaces>7471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41</cp:revision>
  <cp:lastPrinted>2020-07-15T07:25:00Z</cp:lastPrinted>
  <dcterms:created xsi:type="dcterms:W3CDTF">2020-07-02T02:32:00Z</dcterms:created>
  <dcterms:modified xsi:type="dcterms:W3CDTF">2022-09-06T04:42:00Z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2052-11.1.0.11551</vt:lpwstr>
  </property>
  <property fmtid="{D5CDD505-2E9C-101B-9397-08002B2CF9AE}" pid="3" name="ICV">
    <vt:lpwstr>6DEC7B3824E34E6EB8D521CAFD634B16</vt:lpwstr>
  </property>
</Properties>
</file>