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9"/>
        <w:jc w:val="center"/>
        <w:rPr>
          <w:sz w:val="56"/>
          <w:szCs w:val="56"/>
        </w:rPr>
      </w:pPr>
    </w:p>
    <w:p>
      <w:pPr>
        <w:pStyle w:val="9"/>
        <w:jc w:val="center"/>
        <w:rPr>
          <w:sz w:val="56"/>
          <w:szCs w:val="56"/>
        </w:rPr>
      </w:pPr>
    </w:p>
    <w:p>
      <w:pPr>
        <w:pStyle w:val="9"/>
        <w:jc w:val="center"/>
        <w:rPr>
          <w:sz w:val="84"/>
          <w:szCs w:val="84"/>
        </w:rPr>
      </w:pPr>
    </w:p>
    <w:p>
      <w:pPr>
        <w:pStyle w:val="9"/>
        <w:jc w:val="center"/>
        <w:rPr>
          <w:sz w:val="84"/>
          <w:szCs w:val="84"/>
        </w:rPr>
      </w:pPr>
    </w:p>
    <w:p>
      <w:pPr>
        <w:spacing w:before="33"/>
        <w:ind w:left="1052" w:right="1213"/>
        <w:jc w:val="center"/>
        <w:rPr>
          <w:rFonts w:asciiTheme="majorEastAsia" w:hAnsiTheme="majorEastAsia" w:eastAsiaTheme="majorEastAsia" w:cstheme="majorEastAsia"/>
          <w:sz w:val="84"/>
          <w:szCs w:val="84"/>
        </w:rPr>
      </w:pPr>
      <w:r>
        <w:rPr>
          <w:rFonts w:hint="eastAsia" w:asciiTheme="majorEastAsia" w:hAnsiTheme="majorEastAsia" w:eastAsiaTheme="majorEastAsia" w:cstheme="majorEastAsia"/>
          <w:sz w:val="84"/>
          <w:szCs w:val="84"/>
        </w:rPr>
        <w:t>2020年度</w:t>
      </w:r>
    </w:p>
    <w:p>
      <w:pPr>
        <w:spacing w:before="33"/>
        <w:ind w:left="1052" w:right="1213"/>
        <w:jc w:val="center"/>
        <w:rPr>
          <w:rFonts w:ascii="宋体" w:hAnsi="宋体" w:eastAsia="宋体" w:cs="宋体"/>
          <w:spacing w:val="-2"/>
          <w:kern w:val="0"/>
          <w:sz w:val="72"/>
          <w:lang w:val="zh-CN" w:bidi="zh-CN"/>
        </w:rPr>
      </w:pPr>
      <w:r>
        <w:rPr>
          <w:rFonts w:hint="eastAsia" w:ascii="宋体" w:hAnsi="宋体" w:eastAsia="宋体" w:cs="宋体"/>
          <w:spacing w:val="-2"/>
          <w:kern w:val="0"/>
          <w:sz w:val="72"/>
          <w:lang w:val="zh-CN" w:bidi="zh-CN"/>
        </w:rPr>
        <w:t>衡南县市场和</w:t>
      </w:r>
      <w:r>
        <w:rPr>
          <w:rFonts w:hint="eastAsia" w:ascii="宋体" w:hAnsi="宋体" w:eastAsia="宋体" w:cs="宋体"/>
          <w:spacing w:val="-2"/>
          <w:kern w:val="0"/>
          <w:sz w:val="72"/>
          <w:lang w:bidi="zh-CN"/>
        </w:rPr>
        <w:t>质量</w:t>
      </w:r>
      <w:r>
        <w:rPr>
          <w:rFonts w:hint="eastAsia" w:ascii="宋体" w:hAnsi="宋体" w:eastAsia="宋体" w:cs="宋体"/>
          <w:spacing w:val="-2"/>
          <w:kern w:val="0"/>
          <w:sz w:val="72"/>
          <w:lang w:val="zh-CN" w:bidi="zh-CN"/>
        </w:rPr>
        <w:t>监督管理局</w:t>
      </w:r>
    </w:p>
    <w:p>
      <w:pPr>
        <w:spacing w:before="33"/>
        <w:ind w:left="1052" w:right="1213"/>
        <w:jc w:val="center"/>
        <w:rPr>
          <w:rFonts w:asciiTheme="majorEastAsia" w:hAnsiTheme="majorEastAsia" w:eastAsiaTheme="majorEastAsia" w:cstheme="majorEastAsia"/>
          <w:sz w:val="84"/>
          <w:szCs w:val="84"/>
        </w:rPr>
      </w:pPr>
      <w:r>
        <w:rPr>
          <w:rFonts w:hint="eastAsia" w:asciiTheme="majorEastAsia" w:hAnsiTheme="majorEastAsia" w:eastAsiaTheme="majorEastAsia" w:cstheme="majorEastAsia"/>
          <w:sz w:val="84"/>
          <w:szCs w:val="84"/>
        </w:rPr>
        <w:t>部门决算</w:t>
      </w:r>
    </w:p>
    <w:p>
      <w:pPr>
        <w:pStyle w:val="9"/>
        <w:jc w:val="center"/>
        <w:rPr>
          <w:sz w:val="56"/>
          <w:szCs w:val="56"/>
        </w:rPr>
      </w:pPr>
    </w:p>
    <w:p>
      <w:pPr>
        <w:pStyle w:val="9"/>
        <w:jc w:val="center"/>
        <w:rPr>
          <w:sz w:val="56"/>
          <w:szCs w:val="56"/>
        </w:rPr>
      </w:pPr>
    </w:p>
    <w:p>
      <w:pPr>
        <w:pStyle w:val="9"/>
        <w:jc w:val="center"/>
        <w:rPr>
          <w:sz w:val="56"/>
          <w:szCs w:val="56"/>
        </w:rPr>
      </w:pPr>
    </w:p>
    <w:p>
      <w:pPr>
        <w:pStyle w:val="9"/>
        <w:jc w:val="center"/>
        <w:rPr>
          <w:sz w:val="56"/>
          <w:szCs w:val="56"/>
        </w:rPr>
      </w:pPr>
    </w:p>
    <w:p>
      <w:pPr>
        <w:pStyle w:val="9"/>
        <w:jc w:val="center"/>
        <w:rPr>
          <w:sz w:val="56"/>
          <w:szCs w:val="56"/>
        </w:rPr>
      </w:pPr>
    </w:p>
    <w:p>
      <w:pPr>
        <w:pStyle w:val="9"/>
        <w:spacing w:line="520" w:lineRule="exact"/>
        <w:jc w:val="center"/>
        <w:rPr>
          <w:rFonts w:asciiTheme="majorEastAsia" w:hAnsiTheme="majorEastAsia" w:eastAsiaTheme="majorEastAsia" w:cstheme="majorEastAsia"/>
          <w:b/>
          <w:bCs/>
          <w:sz w:val="36"/>
          <w:szCs w:val="36"/>
        </w:rPr>
      </w:pPr>
      <w:r>
        <w:rPr>
          <w:rFonts w:hint="eastAsia" w:asciiTheme="majorEastAsia" w:hAnsiTheme="majorEastAsia" w:eastAsiaTheme="majorEastAsia" w:cstheme="majorEastAsia"/>
          <w:b/>
          <w:bCs/>
          <w:sz w:val="36"/>
          <w:szCs w:val="36"/>
        </w:rPr>
        <w:t>目录</w:t>
      </w:r>
    </w:p>
    <w:p>
      <w:pPr>
        <w:pStyle w:val="9"/>
        <w:spacing w:line="520" w:lineRule="exact"/>
        <w:jc w:val="center"/>
        <w:rPr>
          <w:rFonts w:asciiTheme="majorEastAsia" w:hAnsiTheme="majorEastAsia" w:eastAsiaTheme="majorEastAsia" w:cstheme="majorEastAsia"/>
          <w:b/>
          <w:bCs/>
          <w:sz w:val="36"/>
          <w:szCs w:val="36"/>
        </w:rPr>
      </w:pPr>
    </w:p>
    <w:p>
      <w:pPr>
        <w:pStyle w:val="9"/>
        <w:spacing w:line="520" w:lineRule="exact"/>
        <w:rPr>
          <w:rFonts w:hAnsi="黑体"/>
          <w:b/>
          <w:sz w:val="28"/>
          <w:szCs w:val="28"/>
        </w:rPr>
      </w:pPr>
      <w:r>
        <w:rPr>
          <w:rFonts w:hint="eastAsia" w:hAnsi="黑体"/>
          <w:b/>
          <w:sz w:val="28"/>
          <w:szCs w:val="28"/>
        </w:rPr>
        <w:t>第一部分衡南县市场和质量监督管理局概况</w:t>
      </w:r>
    </w:p>
    <w:p>
      <w:pPr>
        <w:pStyle w:val="9"/>
        <w:spacing w:line="520" w:lineRule="exact"/>
        <w:ind w:firstLine="700" w:firstLineChars="250"/>
        <w:rPr>
          <w:rFonts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一、部门职责</w:t>
      </w:r>
    </w:p>
    <w:p>
      <w:pPr>
        <w:pStyle w:val="9"/>
        <w:spacing w:line="520" w:lineRule="exact"/>
        <w:ind w:firstLine="700" w:firstLineChars="250"/>
        <w:rPr>
          <w:rFonts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二、机构设置及决算单位构成</w:t>
      </w:r>
    </w:p>
    <w:p>
      <w:pPr>
        <w:pStyle w:val="9"/>
        <w:spacing w:line="520" w:lineRule="exact"/>
        <w:rPr>
          <w:rFonts w:hAnsi="黑体"/>
          <w:b/>
          <w:sz w:val="28"/>
          <w:szCs w:val="28"/>
        </w:rPr>
      </w:pPr>
      <w:r>
        <w:rPr>
          <w:rFonts w:hint="eastAsia" w:hAnsi="黑体"/>
          <w:b/>
          <w:sz w:val="28"/>
          <w:szCs w:val="28"/>
        </w:rPr>
        <w:t>第二部分 2020年度部门决算表</w:t>
      </w:r>
    </w:p>
    <w:p>
      <w:pPr>
        <w:pStyle w:val="9"/>
        <w:spacing w:line="520" w:lineRule="exact"/>
        <w:ind w:firstLine="700" w:firstLineChars="250"/>
        <w:rPr>
          <w:rFonts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一、收入支出决算总表</w:t>
      </w:r>
    </w:p>
    <w:p>
      <w:pPr>
        <w:pStyle w:val="9"/>
        <w:spacing w:line="520" w:lineRule="exact"/>
        <w:ind w:firstLine="700" w:firstLineChars="250"/>
        <w:rPr>
          <w:rFonts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二、收入决算表</w:t>
      </w:r>
    </w:p>
    <w:p>
      <w:pPr>
        <w:pStyle w:val="9"/>
        <w:spacing w:line="520" w:lineRule="exact"/>
        <w:ind w:firstLine="700" w:firstLineChars="250"/>
        <w:rPr>
          <w:rFonts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三、支出决算表</w:t>
      </w:r>
    </w:p>
    <w:p>
      <w:pPr>
        <w:pStyle w:val="9"/>
        <w:spacing w:line="520" w:lineRule="exact"/>
        <w:ind w:firstLine="700" w:firstLineChars="250"/>
        <w:rPr>
          <w:rFonts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四、财政拨款收入支出决算总表</w:t>
      </w:r>
    </w:p>
    <w:p>
      <w:pPr>
        <w:pStyle w:val="9"/>
        <w:spacing w:line="520" w:lineRule="exact"/>
        <w:ind w:firstLine="700" w:firstLineChars="250"/>
        <w:rPr>
          <w:rFonts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五、一般公共预算财政拨款支出决算表</w:t>
      </w:r>
    </w:p>
    <w:p>
      <w:pPr>
        <w:pStyle w:val="9"/>
        <w:spacing w:line="520" w:lineRule="exact"/>
        <w:ind w:firstLine="700" w:firstLineChars="250"/>
        <w:rPr>
          <w:rFonts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六、一般公共预算财政拨款基本支出决算表</w:t>
      </w:r>
    </w:p>
    <w:p>
      <w:pPr>
        <w:pStyle w:val="9"/>
        <w:spacing w:line="520" w:lineRule="exact"/>
        <w:ind w:firstLine="700" w:firstLineChars="250"/>
        <w:rPr>
          <w:rFonts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七、一般公共预算财政拨款“三公”经费支出决算表</w:t>
      </w:r>
    </w:p>
    <w:p>
      <w:pPr>
        <w:pStyle w:val="9"/>
        <w:spacing w:line="520" w:lineRule="exact"/>
        <w:ind w:firstLine="700" w:firstLineChars="250"/>
        <w:rPr>
          <w:rFonts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八、政府性基金预算财政拨款收入支出决算表</w:t>
      </w:r>
    </w:p>
    <w:p>
      <w:pPr>
        <w:pStyle w:val="9"/>
        <w:spacing w:line="520" w:lineRule="exact"/>
        <w:ind w:firstLine="700" w:firstLineChars="250"/>
        <w:rPr>
          <w:rFonts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九、国有资本经营预算财政拨款支出决算表</w:t>
      </w:r>
    </w:p>
    <w:p>
      <w:pPr>
        <w:pStyle w:val="9"/>
        <w:spacing w:line="520" w:lineRule="exact"/>
        <w:rPr>
          <w:rFonts w:hAnsi="黑体"/>
          <w:b/>
          <w:sz w:val="28"/>
          <w:szCs w:val="28"/>
        </w:rPr>
      </w:pPr>
      <w:r>
        <w:rPr>
          <w:rFonts w:hint="eastAsia" w:hAnsi="黑体"/>
          <w:b/>
          <w:sz w:val="28"/>
          <w:szCs w:val="28"/>
        </w:rPr>
        <w:t>第三部分 2020年度部门决算情况说明</w:t>
      </w:r>
    </w:p>
    <w:p>
      <w:pPr>
        <w:pStyle w:val="9"/>
        <w:snapToGrid w:val="0"/>
        <w:spacing w:line="360" w:lineRule="auto"/>
        <w:ind w:firstLine="536" w:firstLineChars="200"/>
        <w:rPr>
          <w:rFonts w:ascii="宋体" w:hAnsi="宋体" w:eastAsia="宋体" w:cs="宋体"/>
          <w:w w:val="96"/>
          <w:sz w:val="28"/>
          <w:szCs w:val="28"/>
        </w:rPr>
      </w:pPr>
      <w:r>
        <w:rPr>
          <w:rFonts w:hint="eastAsia" w:ascii="宋体" w:hAnsi="宋体" w:eastAsia="宋体" w:cs="宋体"/>
          <w:w w:val="96"/>
          <w:sz w:val="28"/>
          <w:szCs w:val="28"/>
        </w:rPr>
        <w:t>一、收入支出决算总体情况说明</w:t>
      </w:r>
    </w:p>
    <w:p>
      <w:pPr>
        <w:adjustRightInd w:val="0"/>
        <w:snapToGrid w:val="0"/>
        <w:spacing w:line="360" w:lineRule="auto"/>
        <w:ind w:firstLine="536" w:firstLineChars="200"/>
        <w:jc w:val="left"/>
        <w:rPr>
          <w:rFonts w:ascii="宋体" w:hAnsi="宋体" w:eastAsia="宋体" w:cs="宋体"/>
          <w:w w:val="96"/>
          <w:sz w:val="28"/>
          <w:szCs w:val="28"/>
        </w:rPr>
      </w:pPr>
      <w:r>
        <w:rPr>
          <w:rFonts w:hint="eastAsia" w:ascii="宋体" w:hAnsi="宋体" w:eastAsia="宋体" w:cs="宋体"/>
          <w:w w:val="96"/>
          <w:sz w:val="28"/>
          <w:szCs w:val="28"/>
        </w:rPr>
        <w:t>二、收入决算情况说明</w:t>
      </w:r>
    </w:p>
    <w:p>
      <w:pPr>
        <w:autoSpaceDE w:val="0"/>
        <w:autoSpaceDN w:val="0"/>
        <w:adjustRightInd w:val="0"/>
        <w:snapToGrid w:val="0"/>
        <w:spacing w:line="360" w:lineRule="auto"/>
        <w:ind w:firstLine="536" w:firstLineChars="200"/>
        <w:jc w:val="left"/>
        <w:rPr>
          <w:rFonts w:ascii="宋体" w:hAnsi="宋体" w:eastAsia="宋体" w:cs="宋体"/>
          <w:color w:val="000000"/>
          <w:w w:val="96"/>
          <w:kern w:val="0"/>
          <w:sz w:val="28"/>
          <w:szCs w:val="28"/>
        </w:rPr>
      </w:pPr>
      <w:r>
        <w:rPr>
          <w:rFonts w:hint="eastAsia" w:ascii="宋体" w:hAnsi="宋体" w:eastAsia="宋体" w:cs="宋体"/>
          <w:color w:val="000000"/>
          <w:w w:val="96"/>
          <w:kern w:val="0"/>
          <w:sz w:val="28"/>
          <w:szCs w:val="28"/>
        </w:rPr>
        <w:t>三、支出决算情况说明</w:t>
      </w:r>
    </w:p>
    <w:p>
      <w:pPr>
        <w:autoSpaceDE w:val="0"/>
        <w:autoSpaceDN w:val="0"/>
        <w:adjustRightInd w:val="0"/>
        <w:snapToGrid w:val="0"/>
        <w:spacing w:line="360" w:lineRule="auto"/>
        <w:ind w:firstLine="536" w:firstLineChars="200"/>
        <w:jc w:val="left"/>
        <w:rPr>
          <w:rFonts w:ascii="宋体" w:hAnsi="宋体" w:eastAsia="宋体" w:cs="宋体"/>
          <w:color w:val="000000"/>
          <w:w w:val="96"/>
          <w:kern w:val="0"/>
          <w:sz w:val="28"/>
          <w:szCs w:val="28"/>
        </w:rPr>
      </w:pPr>
      <w:r>
        <w:rPr>
          <w:rFonts w:hint="eastAsia" w:ascii="宋体" w:hAnsi="宋体" w:eastAsia="宋体" w:cs="宋体"/>
          <w:color w:val="000000"/>
          <w:w w:val="96"/>
          <w:kern w:val="0"/>
          <w:sz w:val="28"/>
          <w:szCs w:val="28"/>
        </w:rPr>
        <w:t>四、财政拨款收入支出决算总体情况说明</w:t>
      </w:r>
    </w:p>
    <w:p>
      <w:pPr>
        <w:autoSpaceDE w:val="0"/>
        <w:autoSpaceDN w:val="0"/>
        <w:adjustRightInd w:val="0"/>
        <w:snapToGrid w:val="0"/>
        <w:spacing w:line="360" w:lineRule="auto"/>
        <w:ind w:firstLine="536" w:firstLineChars="200"/>
        <w:jc w:val="left"/>
        <w:rPr>
          <w:rFonts w:ascii="宋体" w:hAnsi="宋体" w:eastAsia="宋体" w:cs="宋体"/>
          <w:color w:val="000000"/>
          <w:w w:val="96"/>
          <w:kern w:val="0"/>
          <w:sz w:val="28"/>
          <w:szCs w:val="28"/>
        </w:rPr>
      </w:pPr>
      <w:r>
        <w:rPr>
          <w:rFonts w:hint="eastAsia" w:ascii="宋体" w:hAnsi="宋体" w:eastAsia="宋体" w:cs="宋体"/>
          <w:color w:val="000000"/>
          <w:w w:val="96"/>
          <w:kern w:val="0"/>
          <w:sz w:val="28"/>
          <w:szCs w:val="28"/>
        </w:rPr>
        <w:t>五、一般公共预算财政拨款支出决算情况说明</w:t>
      </w:r>
    </w:p>
    <w:p>
      <w:pPr>
        <w:autoSpaceDE w:val="0"/>
        <w:autoSpaceDN w:val="0"/>
        <w:adjustRightInd w:val="0"/>
        <w:snapToGrid w:val="0"/>
        <w:spacing w:line="360" w:lineRule="auto"/>
        <w:ind w:firstLine="536" w:firstLineChars="200"/>
        <w:jc w:val="left"/>
        <w:rPr>
          <w:rFonts w:ascii="宋体" w:hAnsi="宋体" w:eastAsia="宋体" w:cs="宋体"/>
          <w:color w:val="000000"/>
          <w:w w:val="96"/>
          <w:kern w:val="0"/>
          <w:sz w:val="28"/>
          <w:szCs w:val="28"/>
        </w:rPr>
      </w:pPr>
      <w:r>
        <w:rPr>
          <w:rFonts w:hint="eastAsia" w:ascii="宋体" w:hAnsi="宋体" w:eastAsia="宋体" w:cs="宋体"/>
          <w:color w:val="000000"/>
          <w:w w:val="96"/>
          <w:kern w:val="0"/>
          <w:sz w:val="28"/>
          <w:szCs w:val="28"/>
        </w:rPr>
        <w:t>六、一般公共预算财政拨款基本支出决算情况说明</w:t>
      </w:r>
    </w:p>
    <w:p>
      <w:pPr>
        <w:autoSpaceDE w:val="0"/>
        <w:autoSpaceDN w:val="0"/>
        <w:adjustRightInd w:val="0"/>
        <w:snapToGrid w:val="0"/>
        <w:spacing w:line="360" w:lineRule="auto"/>
        <w:ind w:firstLine="536" w:firstLineChars="200"/>
        <w:jc w:val="left"/>
        <w:rPr>
          <w:rFonts w:ascii="宋体" w:hAnsi="宋体" w:eastAsia="宋体" w:cs="宋体"/>
          <w:color w:val="000000"/>
          <w:w w:val="96"/>
          <w:kern w:val="0"/>
          <w:sz w:val="28"/>
          <w:szCs w:val="28"/>
        </w:rPr>
      </w:pPr>
      <w:r>
        <w:rPr>
          <w:rFonts w:hint="eastAsia" w:ascii="宋体" w:hAnsi="宋体" w:eastAsia="宋体" w:cs="宋体"/>
          <w:color w:val="000000"/>
          <w:w w:val="96"/>
          <w:kern w:val="0"/>
          <w:sz w:val="28"/>
          <w:szCs w:val="28"/>
        </w:rPr>
        <w:t>七、一般公共预算财政拨款三公经费支出决算情况说明</w:t>
      </w:r>
    </w:p>
    <w:p>
      <w:pPr>
        <w:autoSpaceDE w:val="0"/>
        <w:autoSpaceDN w:val="0"/>
        <w:adjustRightInd w:val="0"/>
        <w:snapToGrid w:val="0"/>
        <w:spacing w:line="360" w:lineRule="auto"/>
        <w:ind w:firstLine="536" w:firstLineChars="200"/>
        <w:jc w:val="left"/>
        <w:rPr>
          <w:rFonts w:ascii="宋体" w:hAnsi="宋体" w:eastAsia="宋体" w:cs="宋体"/>
          <w:color w:val="000000"/>
          <w:w w:val="96"/>
          <w:kern w:val="0"/>
          <w:sz w:val="28"/>
          <w:szCs w:val="28"/>
        </w:rPr>
      </w:pPr>
      <w:r>
        <w:rPr>
          <w:rFonts w:hint="eastAsia" w:ascii="宋体" w:hAnsi="宋体" w:eastAsia="宋体" w:cs="宋体"/>
          <w:color w:val="000000"/>
          <w:w w:val="96"/>
          <w:kern w:val="0"/>
          <w:sz w:val="28"/>
          <w:szCs w:val="28"/>
        </w:rPr>
        <w:t>八、政府性基金预算收入支出决算情况说明</w:t>
      </w:r>
    </w:p>
    <w:p>
      <w:pPr>
        <w:autoSpaceDE w:val="0"/>
        <w:autoSpaceDN w:val="0"/>
        <w:adjustRightInd w:val="0"/>
        <w:snapToGrid w:val="0"/>
        <w:spacing w:line="360" w:lineRule="auto"/>
        <w:ind w:firstLine="536" w:firstLineChars="200"/>
        <w:jc w:val="left"/>
        <w:rPr>
          <w:rFonts w:ascii="宋体" w:hAnsi="宋体" w:eastAsia="宋体" w:cs="宋体"/>
          <w:color w:val="000000"/>
          <w:w w:val="96"/>
          <w:kern w:val="0"/>
          <w:sz w:val="28"/>
          <w:szCs w:val="28"/>
        </w:rPr>
      </w:pPr>
      <w:r>
        <w:rPr>
          <w:rFonts w:hint="eastAsia" w:ascii="宋体" w:hAnsi="宋体" w:eastAsia="宋体" w:cs="宋体"/>
          <w:color w:val="000000"/>
          <w:w w:val="96"/>
          <w:kern w:val="0"/>
          <w:sz w:val="28"/>
          <w:szCs w:val="28"/>
        </w:rPr>
        <w:t>九、国有资本经营预算财政拨款支出决算情况</w:t>
      </w:r>
    </w:p>
    <w:p>
      <w:pPr>
        <w:autoSpaceDE w:val="0"/>
        <w:autoSpaceDN w:val="0"/>
        <w:adjustRightInd w:val="0"/>
        <w:snapToGrid w:val="0"/>
        <w:spacing w:line="360" w:lineRule="auto"/>
        <w:ind w:firstLine="536" w:firstLineChars="200"/>
        <w:jc w:val="left"/>
        <w:rPr>
          <w:rFonts w:ascii="宋体" w:hAnsi="宋体" w:eastAsia="宋体" w:cs="宋体"/>
          <w:color w:val="000000"/>
          <w:w w:val="96"/>
          <w:kern w:val="0"/>
          <w:sz w:val="28"/>
          <w:szCs w:val="28"/>
        </w:rPr>
      </w:pPr>
      <w:r>
        <w:rPr>
          <w:rFonts w:hint="eastAsia" w:ascii="宋体" w:hAnsi="宋体" w:eastAsia="宋体" w:cs="宋体"/>
          <w:color w:val="000000"/>
          <w:w w:val="96"/>
          <w:kern w:val="0"/>
          <w:sz w:val="28"/>
          <w:szCs w:val="28"/>
        </w:rPr>
        <w:t>十、关于机关运行经费支出说明</w:t>
      </w:r>
    </w:p>
    <w:p>
      <w:pPr>
        <w:autoSpaceDE w:val="0"/>
        <w:autoSpaceDN w:val="0"/>
        <w:adjustRightInd w:val="0"/>
        <w:snapToGrid w:val="0"/>
        <w:spacing w:line="360" w:lineRule="auto"/>
        <w:ind w:firstLine="536" w:firstLineChars="200"/>
        <w:jc w:val="left"/>
        <w:rPr>
          <w:rFonts w:ascii="宋体" w:hAnsi="宋体" w:eastAsia="宋体" w:cs="宋体"/>
          <w:color w:val="000000"/>
          <w:w w:val="96"/>
          <w:kern w:val="0"/>
          <w:sz w:val="28"/>
          <w:szCs w:val="28"/>
        </w:rPr>
      </w:pPr>
      <w:r>
        <w:rPr>
          <w:rFonts w:hint="eastAsia" w:ascii="宋体" w:hAnsi="宋体" w:eastAsia="宋体" w:cs="宋体"/>
          <w:color w:val="000000"/>
          <w:w w:val="96"/>
          <w:kern w:val="0"/>
          <w:sz w:val="28"/>
          <w:szCs w:val="28"/>
        </w:rPr>
        <w:t>十一、一般性支出情况说明</w:t>
      </w:r>
    </w:p>
    <w:p>
      <w:pPr>
        <w:autoSpaceDE w:val="0"/>
        <w:autoSpaceDN w:val="0"/>
        <w:adjustRightInd w:val="0"/>
        <w:snapToGrid w:val="0"/>
        <w:spacing w:line="360" w:lineRule="auto"/>
        <w:ind w:firstLine="536" w:firstLineChars="200"/>
        <w:jc w:val="left"/>
        <w:rPr>
          <w:rFonts w:ascii="宋体" w:hAnsi="宋体" w:eastAsia="宋体" w:cs="宋体"/>
          <w:color w:val="000000"/>
          <w:w w:val="96"/>
          <w:kern w:val="0"/>
          <w:sz w:val="28"/>
          <w:szCs w:val="28"/>
        </w:rPr>
      </w:pPr>
      <w:r>
        <w:rPr>
          <w:rFonts w:hint="eastAsia" w:ascii="宋体" w:hAnsi="宋体" w:eastAsia="宋体" w:cs="宋体"/>
          <w:color w:val="000000"/>
          <w:w w:val="96"/>
          <w:kern w:val="0"/>
          <w:sz w:val="28"/>
          <w:szCs w:val="28"/>
        </w:rPr>
        <w:t>十二、关于政府采购支出说明</w:t>
      </w:r>
    </w:p>
    <w:p>
      <w:pPr>
        <w:autoSpaceDE w:val="0"/>
        <w:autoSpaceDN w:val="0"/>
        <w:adjustRightInd w:val="0"/>
        <w:snapToGrid w:val="0"/>
        <w:spacing w:line="360" w:lineRule="auto"/>
        <w:ind w:firstLine="536" w:firstLineChars="200"/>
        <w:jc w:val="left"/>
        <w:rPr>
          <w:rFonts w:ascii="宋体" w:hAnsi="宋体" w:eastAsia="宋体" w:cs="宋体"/>
          <w:color w:val="000000"/>
          <w:w w:val="96"/>
          <w:kern w:val="0"/>
          <w:sz w:val="28"/>
          <w:szCs w:val="28"/>
        </w:rPr>
      </w:pPr>
      <w:r>
        <w:rPr>
          <w:rFonts w:hint="eastAsia" w:ascii="宋体" w:hAnsi="宋体" w:eastAsia="宋体" w:cs="宋体"/>
          <w:color w:val="000000"/>
          <w:w w:val="96"/>
          <w:kern w:val="0"/>
          <w:sz w:val="28"/>
          <w:szCs w:val="28"/>
        </w:rPr>
        <w:t>十三、关于国有资产占用情况说明</w:t>
      </w:r>
    </w:p>
    <w:p>
      <w:pPr>
        <w:autoSpaceDE w:val="0"/>
        <w:autoSpaceDN w:val="0"/>
        <w:adjustRightInd w:val="0"/>
        <w:snapToGrid w:val="0"/>
        <w:spacing w:line="360" w:lineRule="auto"/>
        <w:ind w:firstLine="536" w:firstLineChars="200"/>
        <w:jc w:val="left"/>
        <w:rPr>
          <w:rFonts w:ascii="黑体" w:hAnsi="黑体" w:eastAsia="黑体" w:cs="黑体"/>
          <w:b/>
          <w:sz w:val="28"/>
          <w:szCs w:val="28"/>
        </w:rPr>
      </w:pPr>
      <w:r>
        <w:rPr>
          <w:rFonts w:hint="eastAsia" w:ascii="宋体" w:hAnsi="宋体" w:eastAsia="宋体" w:cs="宋体"/>
          <w:color w:val="000000"/>
          <w:w w:val="96"/>
          <w:kern w:val="0"/>
          <w:sz w:val="28"/>
          <w:szCs w:val="28"/>
        </w:rPr>
        <w:t>十四、关于2020年度预算绩效情况说明</w:t>
      </w:r>
    </w:p>
    <w:p>
      <w:pPr>
        <w:pStyle w:val="9"/>
        <w:spacing w:line="520" w:lineRule="exact"/>
        <w:rPr>
          <w:rFonts w:hAnsi="黑体"/>
          <w:b/>
          <w:sz w:val="28"/>
          <w:szCs w:val="28"/>
        </w:rPr>
      </w:pPr>
      <w:r>
        <w:rPr>
          <w:rFonts w:hint="eastAsia" w:hAnsi="黑体"/>
          <w:b/>
          <w:sz w:val="28"/>
          <w:szCs w:val="28"/>
        </w:rPr>
        <w:t>第四部分名词解释</w:t>
      </w:r>
    </w:p>
    <w:p>
      <w:pPr>
        <w:pStyle w:val="9"/>
        <w:spacing w:line="520" w:lineRule="exact"/>
        <w:rPr>
          <w:rFonts w:hAnsi="黑体"/>
          <w:b/>
          <w:sz w:val="28"/>
          <w:szCs w:val="28"/>
        </w:rPr>
      </w:pPr>
      <w:r>
        <w:rPr>
          <w:rFonts w:hint="eastAsia" w:hAnsi="黑体"/>
          <w:b/>
          <w:sz w:val="28"/>
          <w:szCs w:val="28"/>
        </w:rPr>
        <w:t>第五部分附件</w:t>
      </w:r>
    </w:p>
    <w:p>
      <w:pPr>
        <w:jc w:val="center"/>
        <w:rPr>
          <w:sz w:val="72"/>
          <w:szCs w:val="72"/>
        </w:rPr>
      </w:pPr>
    </w:p>
    <w:p>
      <w:pPr>
        <w:jc w:val="center"/>
        <w:rPr>
          <w:sz w:val="72"/>
          <w:szCs w:val="72"/>
        </w:rPr>
      </w:pPr>
    </w:p>
    <w:p>
      <w:pPr>
        <w:jc w:val="center"/>
        <w:rPr>
          <w:sz w:val="72"/>
          <w:szCs w:val="72"/>
        </w:rPr>
      </w:pPr>
    </w:p>
    <w:p>
      <w:pPr>
        <w:jc w:val="center"/>
        <w:rPr>
          <w:sz w:val="72"/>
          <w:szCs w:val="72"/>
        </w:rPr>
      </w:pPr>
    </w:p>
    <w:p>
      <w:pPr>
        <w:rPr>
          <w:sz w:val="72"/>
          <w:szCs w:val="72"/>
        </w:rPr>
      </w:pPr>
    </w:p>
    <w:p>
      <w:pPr>
        <w:pStyle w:val="9"/>
        <w:jc w:val="center"/>
        <w:rPr>
          <w:sz w:val="84"/>
          <w:szCs w:val="84"/>
        </w:rPr>
      </w:pPr>
    </w:p>
    <w:p>
      <w:pPr>
        <w:pStyle w:val="9"/>
        <w:jc w:val="center"/>
        <w:rPr>
          <w:sz w:val="84"/>
          <w:szCs w:val="84"/>
        </w:rPr>
      </w:pPr>
    </w:p>
    <w:p>
      <w:pPr>
        <w:pStyle w:val="9"/>
        <w:jc w:val="center"/>
        <w:rPr>
          <w:sz w:val="84"/>
          <w:szCs w:val="84"/>
        </w:rPr>
      </w:pPr>
    </w:p>
    <w:p>
      <w:pPr>
        <w:pStyle w:val="9"/>
        <w:jc w:val="center"/>
        <w:rPr>
          <w:sz w:val="84"/>
          <w:szCs w:val="84"/>
        </w:rPr>
      </w:pPr>
    </w:p>
    <w:p>
      <w:pPr>
        <w:pStyle w:val="9"/>
        <w:jc w:val="center"/>
        <w:rPr>
          <w:sz w:val="84"/>
          <w:szCs w:val="84"/>
        </w:rPr>
      </w:pPr>
    </w:p>
    <w:p>
      <w:pPr>
        <w:pStyle w:val="9"/>
        <w:jc w:val="both"/>
        <w:rPr>
          <w:sz w:val="84"/>
          <w:szCs w:val="84"/>
        </w:rPr>
      </w:pPr>
    </w:p>
    <w:p>
      <w:pPr>
        <w:pStyle w:val="9"/>
        <w:jc w:val="center"/>
        <w:rPr>
          <w:sz w:val="84"/>
          <w:szCs w:val="84"/>
        </w:rPr>
      </w:pPr>
    </w:p>
    <w:p>
      <w:pPr>
        <w:pStyle w:val="9"/>
        <w:jc w:val="center"/>
        <w:rPr>
          <w:sz w:val="84"/>
          <w:szCs w:val="84"/>
        </w:rPr>
      </w:pPr>
      <w:r>
        <w:rPr>
          <w:rFonts w:hint="eastAsia"/>
          <w:sz w:val="84"/>
          <w:szCs w:val="84"/>
        </w:rPr>
        <w:t>第一部分</w:t>
      </w:r>
    </w:p>
    <w:p>
      <w:pPr>
        <w:pStyle w:val="9"/>
        <w:jc w:val="center"/>
        <w:rPr>
          <w:sz w:val="84"/>
          <w:szCs w:val="84"/>
        </w:rPr>
      </w:pPr>
    </w:p>
    <w:p>
      <w:pPr>
        <w:pStyle w:val="9"/>
        <w:jc w:val="center"/>
        <w:rPr>
          <w:sz w:val="84"/>
          <w:szCs w:val="84"/>
        </w:rPr>
      </w:pPr>
      <w:r>
        <w:rPr>
          <w:rFonts w:hint="eastAsia"/>
          <w:sz w:val="84"/>
          <w:szCs w:val="84"/>
        </w:rPr>
        <w:t>衡南县市场和质量监督管理局概况</w:t>
      </w:r>
    </w:p>
    <w:p>
      <w:pPr>
        <w:jc w:val="center"/>
        <w:rPr>
          <w:sz w:val="72"/>
          <w:szCs w:val="72"/>
        </w:rPr>
      </w:pPr>
    </w:p>
    <w:p>
      <w:pPr>
        <w:jc w:val="center"/>
        <w:rPr>
          <w:sz w:val="72"/>
          <w:szCs w:val="72"/>
        </w:rPr>
      </w:pPr>
    </w:p>
    <w:p>
      <w:pPr>
        <w:jc w:val="center"/>
        <w:rPr>
          <w:sz w:val="72"/>
          <w:szCs w:val="72"/>
        </w:rPr>
      </w:pPr>
    </w:p>
    <w:p>
      <w:pPr>
        <w:rPr>
          <w:sz w:val="72"/>
          <w:szCs w:val="72"/>
        </w:rPr>
      </w:pPr>
    </w:p>
    <w:p>
      <w:pPr>
        <w:pStyle w:val="10"/>
        <w:ind w:left="720" w:firstLine="0" w:firstLineChars="0"/>
        <w:jc w:val="left"/>
        <w:rPr>
          <w:rFonts w:ascii="黑体" w:hAnsi="黑体" w:eastAsia="黑体"/>
          <w:sz w:val="32"/>
          <w:szCs w:val="32"/>
        </w:rPr>
      </w:pPr>
    </w:p>
    <w:p>
      <w:pPr>
        <w:pStyle w:val="10"/>
        <w:ind w:firstLine="0" w:firstLineChars="0"/>
        <w:jc w:val="left"/>
        <w:rPr>
          <w:rFonts w:ascii="黑体" w:hAnsi="黑体" w:eastAsia="黑体"/>
          <w:sz w:val="32"/>
          <w:szCs w:val="32"/>
        </w:rPr>
      </w:pPr>
    </w:p>
    <w:p>
      <w:pPr>
        <w:pStyle w:val="10"/>
        <w:numPr>
          <w:ilvl w:val="0"/>
          <w:numId w:val="1"/>
        </w:numPr>
        <w:ind w:firstLineChars="0"/>
        <w:jc w:val="left"/>
        <w:rPr>
          <w:rFonts w:ascii="黑体" w:hAnsi="黑体" w:eastAsia="黑体"/>
          <w:sz w:val="32"/>
          <w:szCs w:val="32"/>
        </w:rPr>
      </w:pPr>
      <w:r>
        <w:rPr>
          <w:rFonts w:ascii="黑体" w:hAnsi="黑体" w:eastAsia="黑体"/>
          <w:sz w:val="32"/>
          <w:szCs w:val="32"/>
        </w:rPr>
        <w:t>部门职责</w:t>
      </w:r>
    </w:p>
    <w:p>
      <w:pPr>
        <w:widowControl/>
        <w:spacing w:line="600" w:lineRule="exact"/>
        <w:ind w:firstLine="640" w:firstLineChars="200"/>
        <w:rPr>
          <w:rFonts w:asciiTheme="minorEastAsia" w:hAnsiTheme="minorEastAsia"/>
          <w:sz w:val="32"/>
          <w:szCs w:val="32"/>
        </w:rPr>
      </w:pPr>
      <w:r>
        <w:rPr>
          <w:rFonts w:hint="eastAsia" w:asciiTheme="minorEastAsia" w:hAnsiTheme="minorEastAsia"/>
          <w:sz w:val="32"/>
          <w:szCs w:val="32"/>
        </w:rPr>
        <w:t>我局贯彻落实党中央关于市场监督管理工作的方针政策和决策部署，全面贯彻落实省委、市委、县委关于市场监督管理工作的部署要求，在履行职责过程中坚持和加强党对市场监督管理工作的集中统一领导。主要职责是:</w:t>
      </w:r>
    </w:p>
    <w:p>
      <w:pPr>
        <w:widowControl/>
        <w:spacing w:line="600" w:lineRule="exact"/>
        <w:ind w:firstLine="640" w:firstLineChars="200"/>
        <w:rPr>
          <w:rFonts w:asciiTheme="minorEastAsia" w:hAnsiTheme="minorEastAsia"/>
          <w:sz w:val="32"/>
          <w:szCs w:val="32"/>
        </w:rPr>
      </w:pPr>
      <w:r>
        <w:rPr>
          <w:rFonts w:hint="eastAsia" w:asciiTheme="minorEastAsia" w:hAnsiTheme="minorEastAsia"/>
          <w:sz w:val="32"/>
          <w:szCs w:val="32"/>
        </w:rPr>
        <w:t>（一）负责市场综合监督管理。组织实施有关市场监督管理法律法规和规章，组织实施质量强县战略、食品安全战略、标准化战略和知识产权战略，拟订并组织实施有关规划，规范和维护市场秩序，营造诚实守信、公平竞争的市场环境。</w:t>
      </w:r>
    </w:p>
    <w:p>
      <w:pPr>
        <w:widowControl/>
        <w:spacing w:line="600" w:lineRule="exact"/>
        <w:ind w:firstLine="640" w:firstLineChars="200"/>
        <w:rPr>
          <w:rFonts w:asciiTheme="minorEastAsia" w:hAnsiTheme="minorEastAsia"/>
          <w:sz w:val="32"/>
          <w:szCs w:val="32"/>
        </w:rPr>
      </w:pPr>
      <w:r>
        <w:rPr>
          <w:rFonts w:hint="eastAsia" w:asciiTheme="minorEastAsia" w:hAnsiTheme="minorEastAsia"/>
          <w:sz w:val="32"/>
          <w:szCs w:val="32"/>
        </w:rPr>
        <w:t>（二）负责市场主体统一登记注册。负责各类企业、农民专业合作社和从事经营活动的单位、个体工商户以及外国（地区）企业常驻代表机构等市场主体的登记注册工作。建立市场主体信息公示和共享机制，依法公示和共享有关信息，加强信用监管，推动市场主体信用体系建设。</w:t>
      </w:r>
    </w:p>
    <w:p>
      <w:pPr>
        <w:widowControl/>
        <w:spacing w:line="600" w:lineRule="exact"/>
        <w:ind w:firstLine="640" w:firstLineChars="200"/>
        <w:rPr>
          <w:rFonts w:asciiTheme="minorEastAsia" w:hAnsiTheme="minorEastAsia"/>
          <w:sz w:val="32"/>
          <w:szCs w:val="32"/>
        </w:rPr>
      </w:pPr>
      <w:r>
        <w:rPr>
          <w:rFonts w:hint="eastAsia" w:asciiTheme="minorEastAsia" w:hAnsiTheme="minorEastAsia"/>
          <w:sz w:val="32"/>
          <w:szCs w:val="32"/>
        </w:rPr>
        <w:t>（三）指导市场监管综合执法工作。指导市场监管综合执法队伍整合和建设，推动实行统一的市场监管。组织查处重大违法案件。规范市场监管行政执法行为。</w:t>
      </w:r>
    </w:p>
    <w:p>
      <w:pPr>
        <w:widowControl/>
        <w:spacing w:line="600" w:lineRule="exact"/>
        <w:ind w:firstLine="640" w:firstLineChars="200"/>
        <w:rPr>
          <w:rFonts w:asciiTheme="minorEastAsia" w:hAnsiTheme="minorEastAsia"/>
          <w:sz w:val="32"/>
          <w:szCs w:val="32"/>
        </w:rPr>
      </w:pPr>
      <w:r>
        <w:rPr>
          <w:rFonts w:hint="eastAsia" w:asciiTheme="minorEastAsia" w:hAnsiTheme="minorEastAsia"/>
          <w:sz w:val="32"/>
          <w:szCs w:val="32"/>
        </w:rPr>
        <w:t>（四）根据授权开展反垄断的相关工作。统筹推进竞争政策实施，组织实施公平竞争审查制度。对经营者集中行为进行反垄断审查，负责垄断协议、滥用市场支配地位和滥用行政权力排除、限制竞争等反垄断执法调查工作。</w:t>
      </w:r>
    </w:p>
    <w:p>
      <w:pPr>
        <w:widowControl/>
        <w:spacing w:line="600" w:lineRule="exact"/>
        <w:ind w:firstLine="640" w:firstLineChars="200"/>
        <w:rPr>
          <w:rFonts w:asciiTheme="minorEastAsia" w:hAnsiTheme="minorEastAsia"/>
          <w:sz w:val="32"/>
          <w:szCs w:val="32"/>
        </w:rPr>
      </w:pPr>
      <w:r>
        <w:rPr>
          <w:rFonts w:hint="eastAsia" w:asciiTheme="minorEastAsia" w:hAnsiTheme="minorEastAsia"/>
          <w:sz w:val="32"/>
          <w:szCs w:val="32"/>
        </w:rPr>
        <w:t>（五）负责监督管理市场秩序。依法监督管理市场交易、网络商品交易及有关服务的行为。组织指导查处价格收费违法违规、不正当竞争、违法直销、传销、侵犯商标专利知识产权和制售假冒伪劣行为。指导广告业发展，监督管理广告活动。指导查处无照生产经营和相关无证生产经营行为。</w:t>
      </w:r>
    </w:p>
    <w:p>
      <w:pPr>
        <w:widowControl/>
        <w:spacing w:line="600" w:lineRule="exact"/>
        <w:ind w:firstLine="640" w:firstLineChars="200"/>
        <w:rPr>
          <w:rFonts w:asciiTheme="minorEastAsia" w:hAnsiTheme="minorEastAsia"/>
          <w:sz w:val="32"/>
          <w:szCs w:val="32"/>
        </w:rPr>
      </w:pPr>
      <w:r>
        <w:rPr>
          <w:rFonts w:hint="eastAsia" w:asciiTheme="minorEastAsia" w:hAnsiTheme="minorEastAsia"/>
          <w:sz w:val="32"/>
          <w:szCs w:val="32"/>
        </w:rPr>
        <w:t>（六）负责宏观质量管理。贯彻国家质量发展的有关政策，拟订并组织实施质量发展的制度措施，积极推进质量强县战略和品牌建设，会同有关部门组织实施工程设备质量监理制度，组织产品质量事故调查，贯彻实施缺陷产品召回制度，监督管理产品防伪工作。</w:t>
      </w:r>
    </w:p>
    <w:p>
      <w:pPr>
        <w:widowControl/>
        <w:spacing w:line="600" w:lineRule="exact"/>
        <w:ind w:firstLine="640" w:firstLineChars="200"/>
        <w:rPr>
          <w:rFonts w:asciiTheme="minorEastAsia" w:hAnsiTheme="minorEastAsia"/>
          <w:sz w:val="32"/>
          <w:szCs w:val="32"/>
        </w:rPr>
      </w:pPr>
      <w:r>
        <w:rPr>
          <w:rFonts w:hint="eastAsia" w:asciiTheme="minorEastAsia" w:hAnsiTheme="minorEastAsia"/>
          <w:sz w:val="32"/>
          <w:szCs w:val="32"/>
        </w:rPr>
        <w:t>（七）负责产品质量安全监督管理。负责产品质量监督抽查和风险监控工作，组织实施质量分级制度、质量安全追溯制度。负责工业产品生产许可管理。负责纤维质量监督工作。</w:t>
      </w:r>
    </w:p>
    <w:p>
      <w:pPr>
        <w:widowControl/>
        <w:spacing w:line="600" w:lineRule="exact"/>
        <w:ind w:firstLine="640" w:firstLineChars="200"/>
        <w:rPr>
          <w:rFonts w:asciiTheme="minorEastAsia" w:hAnsiTheme="minorEastAsia"/>
          <w:sz w:val="32"/>
          <w:szCs w:val="32"/>
        </w:rPr>
      </w:pPr>
      <w:r>
        <w:rPr>
          <w:rFonts w:hint="eastAsia" w:asciiTheme="minorEastAsia" w:hAnsiTheme="minorEastAsia"/>
          <w:sz w:val="32"/>
          <w:szCs w:val="32"/>
        </w:rPr>
        <w:t>（八）负责特种设备安全监督管理。综合管理特种设备安全监察、监督工作，监督检查高耗能特种设备节能标准和锅炉环境保护标准的执行情况。按规定权限组织调查处理特种设备事故并进行统计分析。</w:t>
      </w:r>
    </w:p>
    <w:p>
      <w:pPr>
        <w:widowControl/>
        <w:spacing w:line="600" w:lineRule="exact"/>
        <w:ind w:firstLine="640" w:firstLineChars="200"/>
        <w:rPr>
          <w:rFonts w:asciiTheme="minorEastAsia" w:hAnsiTheme="minorEastAsia"/>
          <w:sz w:val="32"/>
          <w:szCs w:val="32"/>
        </w:rPr>
      </w:pPr>
      <w:r>
        <w:rPr>
          <w:rFonts w:hint="eastAsia" w:asciiTheme="minorEastAsia" w:hAnsiTheme="minorEastAsia"/>
          <w:sz w:val="32"/>
          <w:szCs w:val="32"/>
        </w:rPr>
        <w:t>（九）负责食品安全监督管理综合协调。组织拟定食品安全有关政策并组织实施。推动健全食品安全协调联动机制，负责食品安全应急体系建设，组织指导全县重大食品安全事件应急处置和调查处理工作。落实食品安全重要信息直报制度。承担县食品安全委员会日常工作。</w:t>
      </w:r>
    </w:p>
    <w:p>
      <w:pPr>
        <w:widowControl/>
        <w:spacing w:line="600" w:lineRule="exact"/>
        <w:ind w:firstLine="640" w:firstLineChars="200"/>
        <w:rPr>
          <w:rFonts w:asciiTheme="minorEastAsia" w:hAnsiTheme="minorEastAsia"/>
          <w:sz w:val="32"/>
          <w:szCs w:val="32"/>
        </w:rPr>
      </w:pPr>
      <w:r>
        <w:rPr>
          <w:rFonts w:hint="eastAsia" w:asciiTheme="minorEastAsia" w:hAnsiTheme="minorEastAsia"/>
          <w:sz w:val="32"/>
          <w:szCs w:val="32"/>
        </w:rPr>
        <w:t>（十）负责食品安全监督管理。建立实施覆盖食品生产、流通、消费全过程的监督检查制度和隐患排查治理机制，防范区域性、系统性食品安全风险。推动食品生产经营者落实主体责任机制，健全食品安全追溯体系。组织开展食品安全监督抽检、风险监测、核查处置和风险预警、风险交流工作。组织实施特殊食品监督管理。</w:t>
      </w:r>
    </w:p>
    <w:p>
      <w:pPr>
        <w:widowControl/>
        <w:spacing w:line="600" w:lineRule="exact"/>
        <w:ind w:firstLine="640" w:firstLineChars="200"/>
        <w:rPr>
          <w:rFonts w:asciiTheme="minorEastAsia" w:hAnsiTheme="minorEastAsia"/>
          <w:sz w:val="32"/>
          <w:szCs w:val="32"/>
        </w:rPr>
      </w:pPr>
      <w:r>
        <w:rPr>
          <w:rFonts w:hint="eastAsia" w:asciiTheme="minorEastAsia" w:hAnsiTheme="minorEastAsia"/>
          <w:sz w:val="32"/>
          <w:szCs w:val="32"/>
        </w:rPr>
        <w:t>（十一）负责统一管理计量工作。推行法定计量单位和国家计量制度，依职责管理计量器具及量值传递和比对工作。规范、监督商品量和市场计量行为。</w:t>
      </w:r>
    </w:p>
    <w:p>
      <w:pPr>
        <w:widowControl/>
        <w:spacing w:line="600" w:lineRule="exact"/>
        <w:ind w:firstLine="640" w:firstLineChars="200"/>
        <w:rPr>
          <w:rFonts w:asciiTheme="minorEastAsia" w:hAnsiTheme="minorEastAsia"/>
          <w:sz w:val="32"/>
          <w:szCs w:val="32"/>
        </w:rPr>
      </w:pPr>
      <w:r>
        <w:rPr>
          <w:rFonts w:hint="eastAsia" w:asciiTheme="minorEastAsia" w:hAnsiTheme="minorEastAsia"/>
          <w:sz w:val="32"/>
          <w:szCs w:val="32"/>
        </w:rPr>
        <w:t>（十二）负责统一管理标准化工作。依法承担地方标准的立项、编号和发布工作，指导开展标准化试点示范工作。依据法定职责，对标准的制定进行指导监督，对标准的实施进行监督检查。推行采用国际标准。</w:t>
      </w:r>
    </w:p>
    <w:p>
      <w:pPr>
        <w:widowControl/>
        <w:spacing w:line="600" w:lineRule="exact"/>
        <w:ind w:firstLine="640" w:firstLineChars="200"/>
        <w:rPr>
          <w:rFonts w:asciiTheme="minorEastAsia" w:hAnsiTheme="minorEastAsia"/>
          <w:sz w:val="32"/>
          <w:szCs w:val="32"/>
        </w:rPr>
      </w:pPr>
      <w:r>
        <w:rPr>
          <w:rFonts w:hint="eastAsia" w:asciiTheme="minorEastAsia" w:hAnsiTheme="minorEastAsia"/>
          <w:sz w:val="32"/>
          <w:szCs w:val="32"/>
        </w:rPr>
        <w:t>（十三）负责对全县认证认可工作及有关活动实施监督管理。推进检验检测机构改革，完善检验检测体系，负责检验检测机构的监督管理工作。规范认证认可和检验检测市场秩序。</w:t>
      </w:r>
    </w:p>
    <w:p>
      <w:pPr>
        <w:widowControl/>
        <w:spacing w:line="600" w:lineRule="exact"/>
        <w:ind w:firstLine="640" w:firstLineChars="200"/>
        <w:rPr>
          <w:rFonts w:asciiTheme="minorEastAsia" w:hAnsiTheme="minorEastAsia"/>
          <w:sz w:val="32"/>
          <w:szCs w:val="32"/>
        </w:rPr>
      </w:pPr>
      <w:r>
        <w:rPr>
          <w:rFonts w:hint="eastAsia" w:asciiTheme="minorEastAsia" w:hAnsiTheme="minorEastAsia"/>
          <w:sz w:val="32"/>
          <w:szCs w:val="32"/>
        </w:rPr>
        <w:t>（十四）负责市场监督管理科技和信息化建设、新闻宣传、交流与合作。按规定承担技术性贸易措施有关工作。</w:t>
      </w:r>
    </w:p>
    <w:p>
      <w:pPr>
        <w:widowControl/>
        <w:spacing w:line="600" w:lineRule="exact"/>
        <w:ind w:firstLine="640" w:firstLineChars="200"/>
        <w:rPr>
          <w:rFonts w:asciiTheme="minorEastAsia" w:hAnsiTheme="minorEastAsia"/>
          <w:sz w:val="32"/>
          <w:szCs w:val="32"/>
        </w:rPr>
      </w:pPr>
      <w:r>
        <w:rPr>
          <w:rFonts w:hint="eastAsia" w:asciiTheme="minorEastAsia" w:hAnsiTheme="minorEastAsia"/>
          <w:sz w:val="32"/>
          <w:szCs w:val="32"/>
        </w:rPr>
        <w:t>（十五）负责药品安全监督管理。监督实施药品分类管理制度，监督实施质量管理规范。组织开展药品不良反应监测、评价和处置工作。依权限组织、指导药品生产、经营环节的许可、备案、检查以及药品生产、经营、使用环节违法行为的查处。配合有关部门实施国家基本药物制度。</w:t>
      </w:r>
    </w:p>
    <w:p>
      <w:pPr>
        <w:widowControl/>
        <w:spacing w:line="600" w:lineRule="exact"/>
        <w:ind w:firstLine="640" w:firstLineChars="200"/>
        <w:rPr>
          <w:rFonts w:asciiTheme="minorEastAsia" w:hAnsiTheme="minorEastAsia"/>
          <w:sz w:val="32"/>
          <w:szCs w:val="32"/>
        </w:rPr>
      </w:pPr>
      <w:r>
        <w:rPr>
          <w:rFonts w:hint="eastAsia" w:asciiTheme="minorEastAsia" w:hAnsiTheme="minorEastAsia"/>
          <w:sz w:val="32"/>
          <w:szCs w:val="32"/>
        </w:rPr>
        <w:t>（十六）负责医疗器械安全监督管理。监督实施医疗器械经营质量管理规范。组织开展医疗器械不良事件监测、评价和处置工作。依权限组织、指导医疗器械生产、经营环节的许可、备案、检查以及医疗器械生产、经营、使用环节违法行为的查处。</w:t>
      </w:r>
    </w:p>
    <w:p>
      <w:pPr>
        <w:widowControl/>
        <w:spacing w:line="600" w:lineRule="exact"/>
        <w:ind w:firstLine="640" w:firstLineChars="200"/>
        <w:rPr>
          <w:rFonts w:asciiTheme="minorEastAsia" w:hAnsiTheme="minorEastAsia"/>
          <w:sz w:val="32"/>
          <w:szCs w:val="32"/>
        </w:rPr>
      </w:pPr>
      <w:r>
        <w:rPr>
          <w:rFonts w:hint="eastAsia" w:asciiTheme="minorEastAsia" w:hAnsiTheme="minorEastAsia"/>
          <w:sz w:val="32"/>
          <w:szCs w:val="32"/>
        </w:rPr>
        <w:t>（十七）负责化妆品安全监督管理。组织监督实施化妆品标准及分类管理制度，监督实施化妆品质量管理规范。组织开展化妆品不良反应监测、评价和处置工作。依权限组织、指导化妆品生产环节的许可、备案、检查以及化妆品生产、经营环节违法行为的查处。</w:t>
      </w:r>
    </w:p>
    <w:p>
      <w:pPr>
        <w:widowControl/>
        <w:spacing w:line="600" w:lineRule="exact"/>
        <w:ind w:firstLine="640" w:firstLineChars="200"/>
        <w:rPr>
          <w:rFonts w:asciiTheme="minorEastAsia" w:hAnsiTheme="minorEastAsia"/>
          <w:sz w:val="32"/>
          <w:szCs w:val="32"/>
        </w:rPr>
      </w:pPr>
      <w:r>
        <w:rPr>
          <w:rFonts w:hint="eastAsia" w:asciiTheme="minorEastAsia" w:hAnsiTheme="minorEastAsia"/>
          <w:sz w:val="32"/>
          <w:szCs w:val="32"/>
        </w:rPr>
        <w:t>（十八）负责知识产权创造运用，实施知识产权战略。拟订实施知识产权创造、保护、运用的政策和措施。按权限负责商标、专利和原产地地理标志的管理。负责知识产权公共服务体系建设，推动知识产权信息传播利用，规范知识产权交易和无形资产评估，促进知识产权转移转化。统筹协调涉外知识产权有关事宜。</w:t>
      </w:r>
    </w:p>
    <w:p>
      <w:pPr>
        <w:widowControl/>
        <w:spacing w:line="600" w:lineRule="exact"/>
        <w:ind w:firstLine="640" w:firstLineChars="200"/>
        <w:rPr>
          <w:rFonts w:asciiTheme="minorEastAsia" w:hAnsiTheme="minorEastAsia"/>
          <w:sz w:val="32"/>
          <w:szCs w:val="32"/>
        </w:rPr>
      </w:pPr>
      <w:r>
        <w:rPr>
          <w:rFonts w:hint="eastAsia" w:asciiTheme="minorEastAsia" w:hAnsiTheme="minorEastAsia"/>
          <w:sz w:val="32"/>
          <w:szCs w:val="32"/>
        </w:rPr>
        <w:t>（十九）负责保护知识产权。落实严格保护商标、专利、原产地地理标志等相关工作，负责知识产权保护体系建设，组织指导商标、专利执法工作。</w:t>
      </w:r>
    </w:p>
    <w:p>
      <w:pPr>
        <w:widowControl/>
        <w:spacing w:line="600" w:lineRule="exact"/>
        <w:ind w:firstLine="640" w:firstLineChars="200"/>
        <w:rPr>
          <w:rFonts w:asciiTheme="minorEastAsia" w:hAnsiTheme="minorEastAsia"/>
          <w:sz w:val="32"/>
          <w:szCs w:val="32"/>
        </w:rPr>
      </w:pPr>
      <w:r>
        <w:rPr>
          <w:rFonts w:hint="eastAsia" w:asciiTheme="minorEastAsia" w:hAnsiTheme="minorEastAsia"/>
          <w:sz w:val="32"/>
          <w:szCs w:val="32"/>
        </w:rPr>
        <w:t>（二十）负责消费维权工作。组织开展有关服务领域消费维权工作，查处制售假冒伪劣商品等违法行为，指导消费者咨询、申诉、举报受理、处理等工作，保护经营者、消费者合法权益。指导县消费者委员会开展消费维权工作。</w:t>
      </w:r>
    </w:p>
    <w:p>
      <w:pPr>
        <w:widowControl/>
        <w:spacing w:line="600" w:lineRule="exact"/>
        <w:ind w:firstLine="640" w:firstLineChars="200"/>
        <w:rPr>
          <w:rFonts w:asciiTheme="minorEastAsia" w:hAnsiTheme="minorEastAsia"/>
          <w:sz w:val="32"/>
          <w:szCs w:val="32"/>
        </w:rPr>
      </w:pPr>
      <w:r>
        <w:rPr>
          <w:rFonts w:hint="eastAsia" w:asciiTheme="minorEastAsia" w:hAnsiTheme="minorEastAsia"/>
          <w:sz w:val="32"/>
          <w:szCs w:val="32"/>
        </w:rPr>
        <w:t>（二十一）负责本行业、领域的应急管理工作，对本行业、领域的安全生产工作实施监督管理。</w:t>
      </w:r>
    </w:p>
    <w:p>
      <w:pPr>
        <w:widowControl/>
        <w:spacing w:line="600" w:lineRule="exact"/>
        <w:ind w:firstLine="640" w:firstLineChars="200"/>
        <w:rPr>
          <w:rFonts w:asciiTheme="minorEastAsia" w:hAnsiTheme="minorEastAsia"/>
          <w:sz w:val="32"/>
          <w:szCs w:val="32"/>
        </w:rPr>
      </w:pPr>
      <w:r>
        <w:rPr>
          <w:rFonts w:hint="eastAsia" w:asciiTheme="minorEastAsia" w:hAnsiTheme="minorEastAsia"/>
          <w:sz w:val="32"/>
          <w:szCs w:val="32"/>
        </w:rPr>
        <w:t>（二十二）完成县委、县政府交办的其他任务。</w:t>
      </w:r>
    </w:p>
    <w:p>
      <w:pPr>
        <w:widowControl/>
        <w:spacing w:line="600" w:lineRule="exact"/>
        <w:rPr>
          <w:rFonts w:ascii="黑体" w:hAnsi="黑体" w:eastAsia="黑体"/>
          <w:bCs/>
          <w:kern w:val="0"/>
          <w:sz w:val="32"/>
          <w:szCs w:val="32"/>
        </w:rPr>
      </w:pPr>
      <w:r>
        <w:rPr>
          <w:rFonts w:hint="eastAsia" w:ascii="黑体" w:hAnsi="黑体" w:eastAsia="黑体"/>
          <w:bCs/>
          <w:kern w:val="0"/>
          <w:sz w:val="32"/>
          <w:szCs w:val="32"/>
        </w:rPr>
        <w:t>二、机构设置及决算单位构成</w:t>
      </w:r>
    </w:p>
    <w:p>
      <w:pPr>
        <w:widowControl/>
        <w:spacing w:line="600" w:lineRule="exact"/>
        <w:ind w:firstLine="640" w:firstLineChars="200"/>
        <w:rPr>
          <w:rFonts w:asciiTheme="minorEastAsia" w:hAnsiTheme="minorEastAsia"/>
          <w:bCs/>
          <w:kern w:val="0"/>
          <w:sz w:val="32"/>
          <w:szCs w:val="32"/>
        </w:rPr>
      </w:pPr>
      <w:r>
        <w:rPr>
          <w:rFonts w:hint="eastAsia" w:asciiTheme="minorEastAsia" w:hAnsiTheme="minorEastAsia"/>
          <w:bCs/>
          <w:kern w:val="0"/>
          <w:sz w:val="32"/>
          <w:szCs w:val="32"/>
        </w:rPr>
        <w:t>（一）内设机构设置。2020年我局内设机构包括：办公室（信访室）、政策法规股（执法稽查股）、行政审批服务股、登记注册股、信用监督管理股、价格监督检查和反不正当竞争股（规范直销与打击传销办公室）、网络交易和市场监督管理股、广告监督管理股、产品质量监督管理股、特种设备安全监察股、计量股、标准化和认证认可与检验检测监督管理股、食品安全协调股、食品药品安全抽检监测股、食品生产安全监督管理股、食品经营安全监督管理股（食盐质量安全监督股）、特殊食品安全和化妆品监督管理股、药品监督管理股、医疗器械监督管理股、知识产权促进保护股、消费者权益保护股、12315投诉举报股、安全生产协调应急办公室、财务股、非公经济组织党建股、人事股、机关党委等，共2</w:t>
      </w:r>
      <w:r>
        <w:rPr>
          <w:rFonts w:asciiTheme="minorEastAsia" w:hAnsiTheme="minorEastAsia"/>
          <w:bCs/>
          <w:kern w:val="0"/>
          <w:sz w:val="32"/>
          <w:szCs w:val="32"/>
        </w:rPr>
        <w:t>7</w:t>
      </w:r>
      <w:r>
        <w:rPr>
          <w:rFonts w:hint="eastAsia" w:asciiTheme="minorEastAsia" w:hAnsiTheme="minorEastAsia"/>
          <w:bCs/>
          <w:kern w:val="0"/>
          <w:sz w:val="32"/>
          <w:szCs w:val="32"/>
        </w:rPr>
        <w:t>个股室。</w:t>
      </w:r>
    </w:p>
    <w:p>
      <w:pPr>
        <w:widowControl/>
        <w:spacing w:line="600" w:lineRule="exact"/>
        <w:ind w:firstLine="640" w:firstLineChars="200"/>
        <w:rPr>
          <w:rFonts w:asciiTheme="minorEastAsia" w:hAnsiTheme="minorEastAsia"/>
          <w:bCs/>
          <w:kern w:val="0"/>
          <w:sz w:val="32"/>
          <w:szCs w:val="32"/>
        </w:rPr>
      </w:pPr>
      <w:r>
        <w:rPr>
          <w:rFonts w:hint="eastAsia" w:asciiTheme="minorEastAsia" w:hAnsiTheme="minorEastAsia"/>
          <w:bCs/>
          <w:kern w:val="0"/>
          <w:sz w:val="32"/>
          <w:szCs w:val="32"/>
        </w:rPr>
        <w:t>（二）决算单位构成。我局2020年部门决算汇总公开单位构成仅为衡南县市场和质量监督管理局本级。</w:t>
      </w:r>
    </w:p>
    <w:p>
      <w:pPr>
        <w:rPr>
          <w:rFonts w:ascii="黑体" w:hAnsi="黑体" w:eastAsia="黑体"/>
          <w:sz w:val="28"/>
          <w:szCs w:val="28"/>
        </w:rPr>
      </w:pP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center"/>
        <w:rPr>
          <w:rFonts w:ascii="黑体" w:hAnsi="黑体" w:eastAsia="黑体"/>
          <w:sz w:val="72"/>
          <w:szCs w:val="72"/>
        </w:rPr>
      </w:pPr>
      <w:r>
        <w:rPr>
          <w:rFonts w:hint="eastAsia" w:ascii="黑体" w:hAnsi="黑体" w:eastAsia="黑体"/>
          <w:sz w:val="72"/>
          <w:szCs w:val="72"/>
        </w:rPr>
        <w:t>第二部分</w:t>
      </w:r>
    </w:p>
    <w:p>
      <w:pPr>
        <w:jc w:val="center"/>
        <w:rPr>
          <w:rFonts w:ascii="黑体" w:hAnsi="黑体" w:eastAsia="黑体"/>
          <w:sz w:val="72"/>
          <w:szCs w:val="72"/>
        </w:rPr>
      </w:pPr>
    </w:p>
    <w:p>
      <w:pPr>
        <w:jc w:val="center"/>
        <w:rPr>
          <w:rFonts w:ascii="黑体" w:hAnsi="黑体" w:eastAsia="黑体"/>
          <w:sz w:val="72"/>
          <w:szCs w:val="72"/>
        </w:rPr>
      </w:pPr>
      <w:r>
        <w:rPr>
          <w:rFonts w:hint="eastAsia" w:ascii="黑体" w:hAnsi="黑体" w:eastAsia="黑体"/>
          <w:sz w:val="72"/>
          <w:szCs w:val="72"/>
        </w:rPr>
        <w:t>部门决算表</w:t>
      </w:r>
    </w:p>
    <w:p>
      <w:pPr>
        <w:jc w:val="center"/>
        <w:rPr>
          <w:rFonts w:ascii="黑体" w:hAnsi="黑体" w:eastAsia="黑体"/>
          <w:sz w:val="52"/>
          <w:szCs w:val="52"/>
        </w:rPr>
      </w:pPr>
      <w:r>
        <w:rPr>
          <w:rFonts w:hint="eastAsia" w:ascii="黑体" w:hAnsi="黑体" w:eastAsia="黑体"/>
          <w:sz w:val="52"/>
          <w:szCs w:val="52"/>
        </w:rPr>
        <w:t>（决算表附后）</w:t>
      </w:r>
    </w:p>
    <w:p>
      <w:pPr>
        <w:jc w:val="center"/>
        <w:rPr>
          <w:rFonts w:ascii="黑体" w:hAnsi="黑体" w:eastAsia="黑体"/>
          <w:sz w:val="72"/>
          <w:szCs w:val="72"/>
        </w:rPr>
      </w:pPr>
    </w:p>
    <w:p>
      <w:pPr>
        <w:rPr>
          <w:sz w:val="72"/>
          <w:szCs w:val="72"/>
        </w:rPr>
      </w:pPr>
    </w:p>
    <w:p>
      <w:pPr>
        <w:jc w:val="center"/>
        <w:rPr>
          <w:sz w:val="72"/>
          <w:szCs w:val="72"/>
        </w:rPr>
      </w:pPr>
    </w:p>
    <w:p>
      <w:pPr>
        <w:jc w:val="center"/>
        <w:rPr>
          <w:sz w:val="72"/>
          <w:szCs w:val="72"/>
        </w:rPr>
      </w:pPr>
    </w:p>
    <w:p>
      <w:pPr>
        <w:jc w:val="left"/>
        <w:rPr>
          <w:sz w:val="32"/>
          <w:szCs w:val="32"/>
        </w:rPr>
      </w:pPr>
    </w:p>
    <w:p>
      <w:pPr>
        <w:jc w:val="left"/>
        <w:rPr>
          <w:rFonts w:asciiTheme="minorEastAsia" w:hAnsiTheme="minorEastAsia"/>
          <w:sz w:val="32"/>
          <w:szCs w:val="32"/>
        </w:rPr>
        <w:sectPr>
          <w:pgSz w:w="11906" w:h="16838"/>
          <w:pgMar w:top="1440" w:right="1800" w:bottom="1440" w:left="1800" w:header="851" w:footer="992" w:gutter="0"/>
          <w:cols w:space="425" w:num="1"/>
          <w:docGrid w:type="lines" w:linePitch="312" w:charSpace="0"/>
        </w:sectPr>
      </w:pPr>
    </w:p>
    <w:p>
      <w:pPr>
        <w:pStyle w:val="9"/>
        <w:rPr>
          <w:sz w:val="72"/>
          <w:szCs w:val="72"/>
        </w:rPr>
      </w:pPr>
    </w:p>
    <w:p>
      <w:pPr>
        <w:pStyle w:val="9"/>
        <w:rPr>
          <w:sz w:val="72"/>
          <w:szCs w:val="72"/>
        </w:rPr>
      </w:pPr>
    </w:p>
    <w:p>
      <w:pPr>
        <w:pStyle w:val="9"/>
        <w:rPr>
          <w:sz w:val="72"/>
          <w:szCs w:val="72"/>
        </w:rPr>
      </w:pPr>
    </w:p>
    <w:p>
      <w:pPr>
        <w:pStyle w:val="9"/>
        <w:rPr>
          <w:sz w:val="72"/>
          <w:szCs w:val="72"/>
        </w:rPr>
      </w:pPr>
    </w:p>
    <w:p>
      <w:pPr>
        <w:pStyle w:val="9"/>
        <w:jc w:val="center"/>
        <w:rPr>
          <w:sz w:val="72"/>
          <w:szCs w:val="72"/>
        </w:rPr>
      </w:pPr>
    </w:p>
    <w:p>
      <w:pPr>
        <w:pStyle w:val="9"/>
        <w:jc w:val="center"/>
        <w:rPr>
          <w:sz w:val="72"/>
          <w:szCs w:val="72"/>
        </w:rPr>
      </w:pPr>
    </w:p>
    <w:p>
      <w:pPr>
        <w:pStyle w:val="9"/>
        <w:jc w:val="center"/>
        <w:rPr>
          <w:sz w:val="72"/>
          <w:szCs w:val="72"/>
        </w:rPr>
      </w:pPr>
      <w:r>
        <w:rPr>
          <w:rFonts w:hint="eastAsia"/>
          <w:sz w:val="72"/>
          <w:szCs w:val="72"/>
        </w:rPr>
        <w:t>第三部分</w:t>
      </w:r>
    </w:p>
    <w:p>
      <w:pPr>
        <w:pStyle w:val="9"/>
        <w:jc w:val="center"/>
        <w:rPr>
          <w:sz w:val="72"/>
          <w:szCs w:val="72"/>
        </w:rPr>
      </w:pPr>
    </w:p>
    <w:p>
      <w:pPr>
        <w:pStyle w:val="9"/>
        <w:jc w:val="both"/>
        <w:rPr>
          <w:w w:val="98"/>
          <w:sz w:val="70"/>
          <w:szCs w:val="70"/>
        </w:rPr>
      </w:pPr>
      <w:r>
        <w:rPr>
          <w:rFonts w:hint="eastAsia"/>
          <w:w w:val="98"/>
          <w:sz w:val="70"/>
          <w:szCs w:val="70"/>
        </w:rPr>
        <w:t>2020年度部门决算情况说明</w:t>
      </w:r>
    </w:p>
    <w:p>
      <w:pPr>
        <w:widowControl/>
        <w:jc w:val="left"/>
        <w:rPr>
          <w:rFonts w:asciiTheme="minorEastAsia" w:hAnsiTheme="minorEastAsia"/>
          <w:sz w:val="32"/>
          <w:szCs w:val="32"/>
        </w:rPr>
      </w:pPr>
      <w:r>
        <w:rPr>
          <w:sz w:val="70"/>
          <w:szCs w:val="70"/>
        </w:rPr>
        <w:br w:type="page"/>
      </w:r>
    </w:p>
    <w:p>
      <w:pPr>
        <w:pStyle w:val="9"/>
        <w:adjustRightInd/>
        <w:ind w:firstLine="640" w:firstLineChars="200"/>
        <w:jc w:val="both"/>
        <w:rPr>
          <w:rFonts w:hAnsi="黑体"/>
          <w:b/>
          <w:sz w:val="32"/>
          <w:szCs w:val="32"/>
        </w:rPr>
      </w:pPr>
      <w:r>
        <w:rPr>
          <w:rFonts w:hint="eastAsia" w:hAnsi="黑体"/>
          <w:b/>
          <w:sz w:val="32"/>
          <w:szCs w:val="32"/>
        </w:rPr>
        <w:t>一、收入支出决算总体情况说明</w:t>
      </w:r>
    </w:p>
    <w:p>
      <w:pPr>
        <w:pStyle w:val="9"/>
        <w:adjustRightInd/>
        <w:ind w:firstLine="640" w:firstLineChars="200"/>
        <w:jc w:val="both"/>
        <w:rPr>
          <w:rFonts w:asciiTheme="minorEastAsia" w:hAnsiTheme="minorEastAsia" w:eastAsiaTheme="minorEastAsia"/>
          <w:sz w:val="32"/>
          <w:szCs w:val="32"/>
        </w:rPr>
      </w:pPr>
      <w:r>
        <w:rPr>
          <w:rFonts w:hint="eastAsia" w:asciiTheme="minorEastAsia" w:hAnsiTheme="minorEastAsia" w:eastAsiaTheme="minorEastAsia"/>
          <w:sz w:val="32"/>
          <w:szCs w:val="32"/>
        </w:rPr>
        <w:t>2020年度收、支总计3713.17万元。与2019年总计</w:t>
      </w:r>
      <w:r>
        <w:rPr>
          <w:rFonts w:asciiTheme="minorEastAsia" w:hAnsiTheme="minorEastAsia" w:eastAsiaTheme="minorEastAsia"/>
          <w:sz w:val="32"/>
          <w:szCs w:val="32"/>
        </w:rPr>
        <w:t>2967.36</w:t>
      </w:r>
      <w:r>
        <w:rPr>
          <w:rFonts w:hint="eastAsia" w:asciiTheme="minorEastAsia" w:hAnsiTheme="minorEastAsia" w:eastAsiaTheme="minorEastAsia"/>
          <w:sz w:val="32"/>
          <w:szCs w:val="32"/>
        </w:rPr>
        <w:t>万元相比，增加745.81万元，增长20.08%，主要是因为年度工资异动和上年人员经费结转；因机构改革职能增加，专项经费有所增加；受疫情影响政府性基金财政拨款收入有所增加。</w:t>
      </w:r>
    </w:p>
    <w:p>
      <w:pPr>
        <w:pStyle w:val="9"/>
        <w:adjustRightInd/>
        <w:ind w:firstLine="640" w:firstLineChars="200"/>
        <w:jc w:val="both"/>
        <w:rPr>
          <w:rFonts w:hAnsi="黑体"/>
          <w:b/>
          <w:sz w:val="32"/>
          <w:szCs w:val="32"/>
        </w:rPr>
      </w:pPr>
      <w:r>
        <w:rPr>
          <w:rFonts w:hint="eastAsia" w:hAnsi="黑体"/>
          <w:b/>
          <w:sz w:val="32"/>
          <w:szCs w:val="32"/>
        </w:rPr>
        <w:t>二、收入决算情况说明</w:t>
      </w:r>
    </w:p>
    <w:p>
      <w:pPr>
        <w:pStyle w:val="9"/>
        <w:adjustRightInd/>
        <w:ind w:firstLine="640" w:firstLineChars="200"/>
        <w:jc w:val="both"/>
        <w:rPr>
          <w:rFonts w:asciiTheme="minorEastAsia" w:hAnsiTheme="minorEastAsia" w:eastAsiaTheme="minorEastAsia"/>
          <w:sz w:val="32"/>
          <w:szCs w:val="32"/>
        </w:rPr>
      </w:pPr>
      <w:r>
        <w:rPr>
          <w:rFonts w:hint="eastAsia" w:asciiTheme="minorEastAsia" w:hAnsiTheme="minorEastAsia" w:eastAsiaTheme="minorEastAsia"/>
          <w:sz w:val="32"/>
          <w:szCs w:val="32"/>
        </w:rPr>
        <w:t>本年收入合计3713.17万元，其中：财政拨款收入3469.12万元，占93.43%；政府性基金财政拨款收入20万元，占0.54%；其他收入224.05万元，占比6.03%。</w:t>
      </w:r>
    </w:p>
    <w:p>
      <w:pPr>
        <w:pStyle w:val="9"/>
        <w:adjustRightInd/>
        <w:ind w:firstLine="640" w:firstLineChars="200"/>
        <w:jc w:val="both"/>
        <w:rPr>
          <w:rFonts w:hAnsi="黑体"/>
          <w:b/>
          <w:sz w:val="32"/>
          <w:szCs w:val="32"/>
        </w:rPr>
      </w:pPr>
      <w:r>
        <w:rPr>
          <w:rFonts w:hint="eastAsia" w:hAnsi="黑体"/>
          <w:b/>
          <w:sz w:val="32"/>
          <w:szCs w:val="32"/>
        </w:rPr>
        <w:t>三、支出决算情况说明</w:t>
      </w:r>
    </w:p>
    <w:p>
      <w:pPr>
        <w:pStyle w:val="9"/>
        <w:adjustRightInd/>
        <w:ind w:firstLine="640" w:firstLineChars="200"/>
        <w:jc w:val="both"/>
        <w:rPr>
          <w:rFonts w:asciiTheme="minorEastAsia" w:hAnsiTheme="minorEastAsia" w:eastAsiaTheme="minorEastAsia"/>
          <w:sz w:val="32"/>
          <w:szCs w:val="32"/>
        </w:rPr>
      </w:pPr>
      <w:r>
        <w:rPr>
          <w:rFonts w:hint="eastAsia" w:asciiTheme="minorEastAsia" w:hAnsiTheme="minorEastAsia" w:eastAsiaTheme="minorEastAsia"/>
          <w:sz w:val="32"/>
          <w:szCs w:val="32"/>
        </w:rPr>
        <w:t>本年支出合计3703.09万元，其中：基本支出3321.38万元，占89.69%；项目支出381.71万元，占10.31%。</w:t>
      </w:r>
    </w:p>
    <w:p>
      <w:pPr>
        <w:pStyle w:val="9"/>
        <w:adjustRightInd/>
        <w:ind w:firstLine="640" w:firstLineChars="200"/>
        <w:jc w:val="both"/>
        <w:rPr>
          <w:rFonts w:hAnsi="黑体"/>
          <w:b/>
          <w:sz w:val="32"/>
          <w:szCs w:val="32"/>
        </w:rPr>
      </w:pPr>
      <w:r>
        <w:rPr>
          <w:rFonts w:hint="eastAsia" w:hAnsi="黑体"/>
          <w:b/>
          <w:sz w:val="32"/>
          <w:szCs w:val="32"/>
        </w:rPr>
        <w:t>四、财政拨款收入支出决算总体情况说明</w:t>
      </w:r>
    </w:p>
    <w:p>
      <w:pPr>
        <w:pStyle w:val="9"/>
        <w:adjustRightInd/>
        <w:ind w:firstLine="645"/>
        <w:jc w:val="both"/>
        <w:rPr>
          <w:rFonts w:asciiTheme="minorEastAsia" w:hAnsiTheme="minorEastAsia" w:eastAsiaTheme="minorEastAsia"/>
          <w:sz w:val="32"/>
          <w:szCs w:val="32"/>
        </w:rPr>
      </w:pPr>
      <w:r>
        <w:rPr>
          <w:rFonts w:hint="eastAsia" w:asciiTheme="minorEastAsia" w:hAnsiTheme="minorEastAsia" w:eastAsiaTheme="minorEastAsia"/>
          <w:sz w:val="32"/>
          <w:szCs w:val="32"/>
        </w:rPr>
        <w:t>2020年度财政拨款收、支总计3483.17万元，与2019年财政拨款总计</w:t>
      </w:r>
      <w:r>
        <w:rPr>
          <w:rFonts w:asciiTheme="minorEastAsia" w:hAnsiTheme="minorEastAsia" w:eastAsiaTheme="minorEastAsia"/>
          <w:sz w:val="32"/>
          <w:szCs w:val="32"/>
        </w:rPr>
        <w:t>2845.8</w:t>
      </w:r>
      <w:r>
        <w:rPr>
          <w:rFonts w:hint="eastAsia" w:asciiTheme="minorEastAsia" w:hAnsiTheme="minorEastAsia" w:eastAsiaTheme="minorEastAsia"/>
          <w:sz w:val="32"/>
          <w:szCs w:val="32"/>
        </w:rPr>
        <w:t>万元相比，增加643.32万元,增长18.47%，</w:t>
      </w:r>
      <w:bookmarkStart w:id="0" w:name="_Hlk51839228"/>
      <w:r>
        <w:rPr>
          <w:rFonts w:hint="eastAsia" w:asciiTheme="minorEastAsia" w:hAnsiTheme="minorEastAsia" w:eastAsiaTheme="minorEastAsia"/>
          <w:sz w:val="32"/>
          <w:szCs w:val="32"/>
        </w:rPr>
        <w:t>主要是因为年年度工资异动和上年人员经费结转、机构改革新增职能，造成财政拨款有所增加。</w:t>
      </w:r>
      <w:bookmarkEnd w:id="0"/>
    </w:p>
    <w:p>
      <w:pPr>
        <w:pStyle w:val="9"/>
        <w:adjustRightInd/>
        <w:ind w:firstLine="640" w:firstLineChars="200"/>
        <w:jc w:val="both"/>
        <w:rPr>
          <w:rFonts w:hAnsi="黑体"/>
          <w:b/>
          <w:sz w:val="32"/>
          <w:szCs w:val="32"/>
        </w:rPr>
      </w:pPr>
      <w:r>
        <w:rPr>
          <w:rFonts w:hint="eastAsia" w:hAnsi="黑体"/>
          <w:b/>
          <w:sz w:val="32"/>
          <w:szCs w:val="32"/>
        </w:rPr>
        <w:t>五、一般公共预算财政拨款支出决算情况说明</w:t>
      </w:r>
    </w:p>
    <w:p>
      <w:pPr>
        <w:pStyle w:val="9"/>
        <w:adjustRightInd/>
        <w:ind w:firstLine="563" w:firstLineChars="176"/>
        <w:jc w:val="both"/>
        <w:rPr>
          <w:rFonts w:hAnsi="黑体"/>
          <w:b/>
          <w:sz w:val="32"/>
          <w:szCs w:val="32"/>
        </w:rPr>
      </w:pPr>
      <w:r>
        <w:rPr>
          <w:rFonts w:hint="eastAsia" w:asciiTheme="minorEastAsia" w:hAnsiTheme="minorEastAsia" w:eastAsiaTheme="minorEastAsia"/>
          <w:b/>
          <w:sz w:val="32"/>
          <w:szCs w:val="32"/>
        </w:rPr>
        <w:t>（一）财政拨款支出决算总体情况</w:t>
      </w:r>
    </w:p>
    <w:p>
      <w:pPr>
        <w:pStyle w:val="9"/>
        <w:adjustRightInd/>
        <w:ind w:firstLine="645"/>
        <w:jc w:val="both"/>
        <w:rPr>
          <w:rFonts w:asciiTheme="minorEastAsia" w:hAnsiTheme="minorEastAsia" w:eastAsiaTheme="minorEastAsia"/>
          <w:sz w:val="32"/>
          <w:szCs w:val="32"/>
        </w:rPr>
      </w:pPr>
      <w:r>
        <w:rPr>
          <w:rFonts w:hint="eastAsia" w:asciiTheme="minorEastAsia" w:hAnsiTheme="minorEastAsia" w:eastAsiaTheme="minorEastAsia"/>
          <w:sz w:val="32"/>
          <w:szCs w:val="32"/>
        </w:rPr>
        <w:t>2020年度财政拨款支出3489.12万元，占本年支出合计的94.22%，与2019年相比，财政拨款支出增加643.32万元，增长18.47%。主要是因为年度工资异动和上年人员经费结转、机构改革新增职能，造成财政拨款有所增加。</w:t>
      </w:r>
    </w:p>
    <w:p>
      <w:pPr>
        <w:pStyle w:val="9"/>
        <w:adjustRightInd/>
        <w:ind w:firstLine="566" w:firstLineChars="177"/>
        <w:jc w:val="both"/>
        <w:rPr>
          <w:rFonts w:asciiTheme="minorEastAsia" w:hAnsiTheme="minorEastAsia" w:eastAsiaTheme="minorEastAsia"/>
          <w:sz w:val="32"/>
          <w:szCs w:val="32"/>
        </w:rPr>
      </w:pPr>
      <w:r>
        <w:rPr>
          <w:rFonts w:hint="eastAsia" w:asciiTheme="minorEastAsia" w:hAnsiTheme="minorEastAsia" w:eastAsiaTheme="minorEastAsia"/>
          <w:b/>
          <w:sz w:val="32"/>
          <w:szCs w:val="32"/>
        </w:rPr>
        <w:t>（二）财政拨款支出决算结构情况</w:t>
      </w:r>
    </w:p>
    <w:p>
      <w:pPr>
        <w:pStyle w:val="9"/>
        <w:adjustRightInd/>
        <w:ind w:firstLine="707" w:firstLineChars="221"/>
        <w:jc w:val="both"/>
        <w:rPr>
          <w:rFonts w:asciiTheme="minorEastAsia" w:hAnsiTheme="minorEastAsia" w:eastAsiaTheme="minorEastAsia"/>
          <w:sz w:val="32"/>
          <w:szCs w:val="32"/>
        </w:rPr>
      </w:pPr>
      <w:r>
        <w:rPr>
          <w:rFonts w:hint="eastAsia" w:asciiTheme="minorEastAsia" w:hAnsiTheme="minorEastAsia" w:eastAsiaTheme="minorEastAsia"/>
          <w:sz w:val="32"/>
          <w:szCs w:val="32"/>
        </w:rPr>
        <w:t>2020年度财政拨款支出3483.17万元，主要用于以下方面：一般公共服务（类）支出2899.87万元，占83.26%；社会保障和就业（类）支出329.33万元，占9.45%;卫生健康支出109.78万元，占3.15%；农林水支出50万，占1.44%；住房保障支出74.2万元，占比</w:t>
      </w:r>
      <w:r>
        <w:rPr>
          <w:rFonts w:asciiTheme="minorEastAsia" w:hAnsiTheme="minorEastAsia" w:eastAsiaTheme="minorEastAsia"/>
          <w:sz w:val="32"/>
          <w:szCs w:val="32"/>
        </w:rPr>
        <w:t>2.</w:t>
      </w:r>
      <w:r>
        <w:rPr>
          <w:rFonts w:hint="eastAsia" w:asciiTheme="minorEastAsia" w:hAnsiTheme="minorEastAsia" w:eastAsiaTheme="minorEastAsia"/>
          <w:sz w:val="32"/>
          <w:szCs w:val="32"/>
        </w:rPr>
        <w:t>13%；抗疫特别国债安排的支出20万，占比0.57%。</w:t>
      </w:r>
    </w:p>
    <w:p>
      <w:pPr>
        <w:pStyle w:val="9"/>
        <w:adjustRightInd/>
        <w:ind w:firstLine="800" w:firstLineChars="250"/>
        <w:jc w:val="both"/>
        <w:rPr>
          <w:rFonts w:asciiTheme="minorEastAsia" w:hAnsiTheme="minorEastAsia" w:eastAsiaTheme="minorEastAsia"/>
          <w:b/>
          <w:sz w:val="32"/>
          <w:szCs w:val="32"/>
        </w:rPr>
      </w:pPr>
      <w:r>
        <w:rPr>
          <w:rFonts w:hint="eastAsia" w:asciiTheme="minorEastAsia" w:hAnsiTheme="minorEastAsia" w:eastAsiaTheme="minorEastAsia"/>
          <w:b/>
          <w:sz w:val="32"/>
          <w:szCs w:val="32"/>
        </w:rPr>
        <w:t>（三）财政拨款支出决算具体情况</w:t>
      </w:r>
    </w:p>
    <w:p>
      <w:pPr>
        <w:pStyle w:val="9"/>
        <w:adjustRightInd/>
        <w:ind w:firstLine="640" w:firstLineChars="200"/>
        <w:jc w:val="both"/>
        <w:rPr>
          <w:rFonts w:asciiTheme="minorEastAsia" w:hAnsiTheme="minorEastAsia" w:eastAsiaTheme="minorEastAsia"/>
          <w:sz w:val="32"/>
          <w:szCs w:val="32"/>
        </w:rPr>
      </w:pPr>
      <w:r>
        <w:rPr>
          <w:rFonts w:hint="eastAsia" w:asciiTheme="minorEastAsia" w:hAnsiTheme="minorEastAsia" w:eastAsiaTheme="minorEastAsia"/>
          <w:sz w:val="32"/>
          <w:szCs w:val="32"/>
        </w:rPr>
        <w:t>2020年度财政拨款支出年初预算数为</w:t>
      </w:r>
      <w:r>
        <w:rPr>
          <w:rFonts w:asciiTheme="minorEastAsia" w:hAnsiTheme="minorEastAsia" w:eastAsiaTheme="minorEastAsia"/>
          <w:sz w:val="32"/>
          <w:szCs w:val="32"/>
        </w:rPr>
        <w:t>2</w:t>
      </w:r>
      <w:r>
        <w:rPr>
          <w:rFonts w:hint="eastAsia" w:asciiTheme="minorEastAsia" w:hAnsiTheme="minorEastAsia" w:eastAsiaTheme="minorEastAsia"/>
          <w:sz w:val="32"/>
          <w:szCs w:val="32"/>
        </w:rPr>
        <w:t>540.53万元，支出决算数为3483.17万元，完成年初预算的137%，决算大于预算的原因主要是财政根据政策及实际工作需要在年中追加了部分工作经费。2020年度一般公共预算财政拨款支出具体情况如下：</w:t>
      </w:r>
    </w:p>
    <w:p>
      <w:pPr>
        <w:pStyle w:val="9"/>
        <w:adjustRightInd/>
        <w:ind w:firstLine="640" w:firstLineChars="200"/>
        <w:jc w:val="both"/>
        <w:rPr>
          <w:rFonts w:asciiTheme="minorEastAsia" w:hAnsiTheme="minorEastAsia" w:eastAsiaTheme="minorEastAsia"/>
          <w:sz w:val="32"/>
          <w:szCs w:val="32"/>
        </w:rPr>
      </w:pPr>
      <w:r>
        <w:rPr>
          <w:rFonts w:hint="eastAsia" w:asciiTheme="minorEastAsia" w:hAnsiTheme="minorEastAsia" w:eastAsiaTheme="minorEastAsia"/>
          <w:sz w:val="32"/>
          <w:szCs w:val="32"/>
        </w:rPr>
        <w:t>1、一般公共服务支出（类）年初预算数1990.41万元，支出决算数2899.87万元，完成年初预算数的</w:t>
      </w:r>
      <w:r>
        <w:rPr>
          <w:rFonts w:asciiTheme="minorEastAsia" w:hAnsiTheme="minorEastAsia" w:eastAsiaTheme="minorEastAsia"/>
          <w:sz w:val="32"/>
          <w:szCs w:val="32"/>
        </w:rPr>
        <w:t>1</w:t>
      </w:r>
      <w:r>
        <w:rPr>
          <w:rFonts w:hint="eastAsia" w:asciiTheme="minorEastAsia" w:hAnsiTheme="minorEastAsia" w:eastAsiaTheme="minorEastAsia"/>
          <w:sz w:val="32"/>
          <w:szCs w:val="32"/>
        </w:rPr>
        <w:t>45.69%，超过预算的原因有：一是2</w:t>
      </w:r>
      <w:r>
        <w:rPr>
          <w:rFonts w:asciiTheme="minorEastAsia" w:hAnsiTheme="minorEastAsia" w:eastAsiaTheme="minorEastAsia"/>
          <w:sz w:val="32"/>
          <w:szCs w:val="32"/>
        </w:rPr>
        <w:t>01</w:t>
      </w:r>
      <w:r>
        <w:rPr>
          <w:rFonts w:hint="eastAsia" w:asciiTheme="minorEastAsia" w:hAnsiTheme="minorEastAsia" w:eastAsiaTheme="minorEastAsia"/>
          <w:sz w:val="32"/>
          <w:szCs w:val="32"/>
        </w:rPr>
        <w:t>9年度经费支出488.01万元结转至2</w:t>
      </w:r>
      <w:r>
        <w:rPr>
          <w:rFonts w:asciiTheme="minorEastAsia" w:hAnsiTheme="minorEastAsia" w:eastAsiaTheme="minorEastAsia"/>
          <w:sz w:val="32"/>
          <w:szCs w:val="32"/>
        </w:rPr>
        <w:t>0</w:t>
      </w:r>
      <w:r>
        <w:rPr>
          <w:rFonts w:hint="eastAsia" w:asciiTheme="minorEastAsia" w:hAnsiTheme="minorEastAsia" w:eastAsiaTheme="minorEastAsia"/>
          <w:sz w:val="32"/>
          <w:szCs w:val="32"/>
        </w:rPr>
        <w:t>20年度，二是年中人员经费，食品检测经费项目等经费追加。其中：</w:t>
      </w:r>
    </w:p>
    <w:p>
      <w:pPr>
        <w:pStyle w:val="9"/>
        <w:adjustRightInd/>
        <w:ind w:firstLine="640" w:firstLineChars="200"/>
        <w:jc w:val="both"/>
        <w:rPr>
          <w:rFonts w:asciiTheme="minorEastAsia" w:hAnsiTheme="minorEastAsia" w:eastAsiaTheme="minorEastAsia"/>
          <w:sz w:val="32"/>
          <w:szCs w:val="32"/>
        </w:rPr>
      </w:pPr>
      <w:r>
        <w:rPr>
          <w:rFonts w:hint="eastAsia" w:asciiTheme="minorEastAsia" w:hAnsiTheme="minorEastAsia" w:eastAsiaTheme="minorEastAsia"/>
          <w:sz w:val="32"/>
          <w:szCs w:val="32"/>
        </w:rPr>
        <w:t>（1）人大事务（款）——行政运行（项）决算数4万元，年初无预算，系衡南县退役军人残保金。</w:t>
      </w:r>
    </w:p>
    <w:p>
      <w:pPr>
        <w:pStyle w:val="9"/>
        <w:adjustRightInd/>
        <w:ind w:firstLine="640" w:firstLineChars="200"/>
        <w:jc w:val="both"/>
        <w:rPr>
          <w:rFonts w:asciiTheme="minorEastAsia" w:hAnsiTheme="minorEastAsia" w:eastAsiaTheme="minorEastAsia"/>
          <w:sz w:val="32"/>
          <w:szCs w:val="32"/>
        </w:rPr>
      </w:pPr>
      <w:r>
        <w:rPr>
          <w:rFonts w:hint="eastAsia" w:asciiTheme="minorEastAsia" w:hAnsiTheme="minorEastAsia" w:eastAsiaTheme="minorEastAsia"/>
          <w:sz w:val="32"/>
          <w:szCs w:val="32"/>
        </w:rPr>
        <w:t>（2）政府办公厅（室）及相关机构事务（款）其他政府办公厅（室）及相关机构事务支出（项）决算数219.92万元，主要为追加知识产权专项资金、基层所工作经费、省级市管补助资金等项目经费。</w:t>
      </w:r>
    </w:p>
    <w:p>
      <w:pPr>
        <w:pStyle w:val="9"/>
        <w:adjustRightInd/>
        <w:ind w:firstLine="640" w:firstLineChars="200"/>
        <w:jc w:val="both"/>
        <w:rPr>
          <w:rFonts w:asciiTheme="minorEastAsia" w:hAnsiTheme="minorEastAsia" w:eastAsiaTheme="minorEastAsia"/>
          <w:sz w:val="32"/>
          <w:szCs w:val="32"/>
        </w:rPr>
      </w:pPr>
      <w:r>
        <w:rPr>
          <w:rFonts w:hint="eastAsia" w:asciiTheme="minorEastAsia" w:hAnsiTheme="minorEastAsia" w:eastAsiaTheme="minorEastAsia"/>
          <w:sz w:val="32"/>
          <w:szCs w:val="32"/>
        </w:rPr>
        <w:t>（3）商贸事物（款）——行政运行（项）决算数321.7万元，主要为局机关上年结转经费及本年度人员经费追加。</w:t>
      </w:r>
    </w:p>
    <w:p>
      <w:pPr>
        <w:pStyle w:val="9"/>
        <w:adjustRightInd/>
        <w:ind w:firstLine="640" w:firstLineChars="200"/>
        <w:jc w:val="both"/>
        <w:rPr>
          <w:rFonts w:asciiTheme="minorEastAsia" w:hAnsiTheme="minorEastAsia" w:eastAsiaTheme="minorEastAsia"/>
          <w:sz w:val="32"/>
          <w:szCs w:val="32"/>
        </w:rPr>
      </w:pPr>
      <w:r>
        <w:rPr>
          <w:rFonts w:hint="eastAsia" w:asciiTheme="minorEastAsia" w:hAnsiTheme="minorEastAsia" w:eastAsiaTheme="minorEastAsia"/>
          <w:sz w:val="32"/>
          <w:szCs w:val="32"/>
        </w:rPr>
        <w:t>（4）知识产权事务（款）——国家知识产权战略（项）决算数为10万元，系结转上年知识产权专项。</w:t>
      </w:r>
    </w:p>
    <w:p>
      <w:pPr>
        <w:pStyle w:val="9"/>
        <w:adjustRightInd/>
        <w:ind w:firstLine="640" w:firstLineChars="200"/>
        <w:jc w:val="both"/>
        <w:rPr>
          <w:rFonts w:asciiTheme="minorEastAsia" w:hAnsiTheme="minorEastAsia" w:eastAsiaTheme="minorEastAsia"/>
          <w:sz w:val="32"/>
          <w:szCs w:val="32"/>
        </w:rPr>
      </w:pPr>
      <w:r>
        <w:rPr>
          <w:rFonts w:hint="eastAsia" w:asciiTheme="minorEastAsia" w:hAnsiTheme="minorEastAsia" w:eastAsiaTheme="minorEastAsia"/>
          <w:sz w:val="32"/>
          <w:szCs w:val="32"/>
        </w:rPr>
        <w:t>（5）市场监督管理事务（款）决算数为2564.17万元，其中基本支出为2262.46万元，项目支出为301.71万元，主要为人员经费，公用经费及食品药品、市场监督、知识产权等执法办案项目经费。</w:t>
      </w:r>
    </w:p>
    <w:p>
      <w:pPr>
        <w:pStyle w:val="9"/>
        <w:adjustRightInd/>
        <w:ind w:firstLine="800" w:firstLineChars="250"/>
        <w:jc w:val="both"/>
        <w:rPr>
          <w:rFonts w:asciiTheme="minorEastAsia" w:hAnsiTheme="minorEastAsia" w:eastAsiaTheme="minorEastAsia"/>
          <w:sz w:val="32"/>
          <w:szCs w:val="32"/>
        </w:rPr>
      </w:pPr>
      <w:r>
        <w:rPr>
          <w:rFonts w:hint="eastAsia" w:asciiTheme="minorEastAsia" w:hAnsiTheme="minorEastAsia" w:eastAsiaTheme="minorEastAsia"/>
          <w:sz w:val="32"/>
          <w:szCs w:val="32"/>
        </w:rPr>
        <w:t>2、社会保障和就业支出（类）</w:t>
      </w:r>
    </w:p>
    <w:p>
      <w:pPr>
        <w:pStyle w:val="9"/>
        <w:adjustRightInd/>
        <w:ind w:firstLine="800" w:firstLineChars="250"/>
        <w:jc w:val="both"/>
        <w:rPr>
          <w:rFonts w:asciiTheme="minorEastAsia" w:hAnsiTheme="minorEastAsia" w:eastAsiaTheme="minorEastAsia"/>
          <w:sz w:val="32"/>
          <w:szCs w:val="32"/>
        </w:rPr>
      </w:pPr>
      <w:r>
        <w:rPr>
          <w:rFonts w:hint="eastAsia" w:asciiTheme="minorEastAsia" w:hAnsiTheme="minorEastAsia" w:eastAsiaTheme="minorEastAsia"/>
          <w:sz w:val="32"/>
          <w:szCs w:val="32"/>
        </w:rPr>
        <w:t>该部分支出主要包括职工养老保险、遗属抚恤金等，年初预算为379.24万元，支出决算为329.33万元，完成年初预算的86.84%，决算数年初预算数的主要原因是2020年社会保障和就业支出（类）预算资金没有保障到位，结转至下年。</w:t>
      </w:r>
    </w:p>
    <w:p>
      <w:pPr>
        <w:pStyle w:val="9"/>
        <w:adjustRightInd/>
        <w:ind w:firstLine="800" w:firstLineChars="250"/>
        <w:jc w:val="both"/>
        <w:rPr>
          <w:rFonts w:asciiTheme="minorEastAsia" w:hAnsiTheme="minorEastAsia" w:eastAsiaTheme="minorEastAsia"/>
          <w:sz w:val="32"/>
          <w:szCs w:val="32"/>
        </w:rPr>
      </w:pPr>
      <w:r>
        <w:rPr>
          <w:rFonts w:hint="eastAsia" w:asciiTheme="minorEastAsia" w:hAnsiTheme="minorEastAsia" w:eastAsiaTheme="minorEastAsia"/>
          <w:sz w:val="32"/>
          <w:szCs w:val="32"/>
        </w:rPr>
        <w:t>3、卫生健康支出（类）——行政事业单位医疗（款）行政单位医疗（项）主要包括职工医疗保险，年初预算95.8万元，支出决算数为109.78万元，完成年初预算的114.6%，消化上年度结转资金。</w:t>
      </w:r>
    </w:p>
    <w:p>
      <w:pPr>
        <w:pStyle w:val="9"/>
        <w:adjustRightInd/>
        <w:ind w:firstLine="800" w:firstLineChars="250"/>
        <w:jc w:val="both"/>
        <w:rPr>
          <w:rFonts w:asciiTheme="minorEastAsia" w:hAnsiTheme="minorEastAsia" w:eastAsiaTheme="minorEastAsia"/>
          <w:sz w:val="32"/>
          <w:szCs w:val="32"/>
        </w:rPr>
      </w:pPr>
      <w:r>
        <w:rPr>
          <w:rFonts w:hint="eastAsia" w:asciiTheme="minorEastAsia" w:hAnsiTheme="minorEastAsia" w:eastAsiaTheme="minorEastAsia"/>
          <w:sz w:val="32"/>
          <w:szCs w:val="32"/>
        </w:rPr>
        <w:t>4、住房保障支出（类）——住房公积金改革支出（款）住房公积金是职工住房公积金，年初预算75.08万元，支出决算数为74.2万元，完成年初预算的98.83%，主要因为预算资金没有保障到位，结转至下年。</w:t>
      </w:r>
    </w:p>
    <w:p>
      <w:pPr>
        <w:pStyle w:val="9"/>
        <w:adjustRightInd/>
        <w:ind w:firstLine="640" w:firstLineChars="200"/>
        <w:jc w:val="both"/>
        <w:rPr>
          <w:rFonts w:hAnsi="黑体"/>
          <w:b/>
          <w:sz w:val="32"/>
          <w:szCs w:val="32"/>
        </w:rPr>
      </w:pPr>
      <w:r>
        <w:rPr>
          <w:rFonts w:hint="eastAsia" w:hAnsi="黑体"/>
          <w:b/>
          <w:sz w:val="32"/>
          <w:szCs w:val="32"/>
        </w:rPr>
        <w:t>六、一般公共预算财政拨款基本支出决算情况说明</w:t>
      </w:r>
    </w:p>
    <w:p>
      <w:pPr>
        <w:pStyle w:val="9"/>
        <w:adjustRightInd/>
        <w:ind w:firstLine="640" w:firstLineChars="200"/>
        <w:jc w:val="both"/>
        <w:rPr>
          <w:rFonts w:asciiTheme="minorEastAsia" w:hAnsiTheme="minorEastAsia" w:eastAsiaTheme="minorEastAsia"/>
          <w:sz w:val="32"/>
          <w:szCs w:val="32"/>
        </w:rPr>
      </w:pPr>
      <w:r>
        <w:rPr>
          <w:rFonts w:hint="eastAsia" w:asciiTheme="minorEastAsia" w:hAnsiTheme="minorEastAsia" w:eastAsiaTheme="minorEastAsia"/>
          <w:sz w:val="32"/>
          <w:szCs w:val="32"/>
        </w:rPr>
        <w:t>2020年度财政拨款基本支出2588.15万元，其中：人员经费2261.64万元，占基本支出的87.38%,主要包括基本工资、津贴补贴、伙食补助费、绩效工资、机关事业单位养老保险缴费、职业年金缴费、职工基本医疗保险缴费、其他社会保障缴费、其他工资福利支出、抚恤金、生活补助、奖励金、住房公积金；公用经费326.51万元，占基本支出的12.62%，主要包括办公费、印刷费、水费、电费、邮电费、差旅费、维修（护）费、租赁费、会议费、培训费、公务接待费、劳务费、工会经费、公务用车运行维护费、其他交通费用。</w:t>
      </w:r>
    </w:p>
    <w:p>
      <w:pPr>
        <w:pStyle w:val="9"/>
        <w:adjustRightInd/>
        <w:ind w:firstLine="640" w:firstLineChars="200"/>
        <w:jc w:val="both"/>
        <w:rPr>
          <w:rFonts w:hAnsi="黑体"/>
          <w:b/>
          <w:sz w:val="32"/>
          <w:szCs w:val="32"/>
        </w:rPr>
      </w:pPr>
      <w:r>
        <w:rPr>
          <w:rFonts w:hint="eastAsia" w:hAnsi="黑体"/>
          <w:b/>
          <w:sz w:val="32"/>
          <w:szCs w:val="32"/>
        </w:rPr>
        <w:t>七、一般公共预算财政拨款三公经费支出决算情况说明</w:t>
      </w:r>
    </w:p>
    <w:p>
      <w:pPr>
        <w:pStyle w:val="9"/>
        <w:adjustRightInd/>
        <w:ind w:firstLine="640" w:firstLineChars="200"/>
        <w:jc w:val="both"/>
        <w:rPr>
          <w:rFonts w:asciiTheme="minorEastAsia" w:hAnsiTheme="minorEastAsia" w:eastAsiaTheme="minorEastAsia"/>
          <w:b/>
          <w:sz w:val="32"/>
          <w:szCs w:val="32"/>
        </w:rPr>
      </w:pPr>
      <w:r>
        <w:rPr>
          <w:rFonts w:hint="eastAsia" w:asciiTheme="minorEastAsia" w:hAnsiTheme="minorEastAsia" w:eastAsiaTheme="minorEastAsia"/>
          <w:b/>
          <w:sz w:val="32"/>
          <w:szCs w:val="32"/>
        </w:rPr>
        <w:t>（一）“三公”经费财政拨款支出决算总体情况说明</w:t>
      </w:r>
    </w:p>
    <w:p>
      <w:pPr>
        <w:pStyle w:val="9"/>
        <w:adjustRightInd/>
        <w:ind w:firstLine="640" w:firstLineChars="200"/>
        <w:jc w:val="both"/>
        <w:rPr>
          <w:rFonts w:asciiTheme="minorEastAsia" w:hAnsiTheme="minorEastAsia" w:eastAsiaTheme="minorEastAsia"/>
          <w:sz w:val="32"/>
          <w:szCs w:val="32"/>
        </w:rPr>
      </w:pPr>
      <w:r>
        <w:rPr>
          <w:rFonts w:hint="eastAsia" w:asciiTheme="minorEastAsia" w:hAnsiTheme="minorEastAsia" w:eastAsiaTheme="minorEastAsia"/>
          <w:sz w:val="32"/>
          <w:szCs w:val="32"/>
        </w:rPr>
        <w:t>“三公”经费财政拨款支出预算为</w:t>
      </w:r>
      <w:r>
        <w:rPr>
          <w:rFonts w:asciiTheme="minorEastAsia" w:hAnsiTheme="minorEastAsia" w:eastAsiaTheme="minorEastAsia"/>
          <w:sz w:val="32"/>
          <w:szCs w:val="32"/>
        </w:rPr>
        <w:t>6</w:t>
      </w:r>
      <w:r>
        <w:rPr>
          <w:rFonts w:hint="eastAsia" w:asciiTheme="minorEastAsia" w:hAnsiTheme="minorEastAsia" w:eastAsiaTheme="minorEastAsia"/>
          <w:sz w:val="32"/>
          <w:szCs w:val="32"/>
        </w:rPr>
        <w:t>6万元，支出决算为25.7万元，完成预算的38.94%，其中：</w:t>
      </w:r>
    </w:p>
    <w:p>
      <w:pPr>
        <w:pStyle w:val="9"/>
        <w:adjustRightInd/>
        <w:ind w:firstLine="640" w:firstLineChars="200"/>
        <w:jc w:val="both"/>
        <w:rPr>
          <w:rFonts w:asciiTheme="minorEastAsia" w:hAnsiTheme="minorEastAsia" w:eastAsiaTheme="minorEastAsia"/>
          <w:sz w:val="32"/>
          <w:szCs w:val="32"/>
        </w:rPr>
      </w:pPr>
      <w:r>
        <w:rPr>
          <w:rFonts w:hint="eastAsia" w:asciiTheme="minorEastAsia" w:hAnsiTheme="minorEastAsia" w:eastAsiaTheme="minorEastAsia"/>
          <w:sz w:val="32"/>
          <w:szCs w:val="32"/>
        </w:rPr>
        <w:t>因公出国（境）费支出无预算，决算数为</w:t>
      </w:r>
      <w:r>
        <w:rPr>
          <w:rFonts w:asciiTheme="minorEastAsia" w:hAnsiTheme="minorEastAsia" w:eastAsiaTheme="minorEastAsia"/>
          <w:sz w:val="32"/>
          <w:szCs w:val="32"/>
        </w:rPr>
        <w:t>0</w:t>
      </w:r>
      <w:r>
        <w:rPr>
          <w:rFonts w:hint="eastAsia" w:asciiTheme="minorEastAsia" w:hAnsiTheme="minorEastAsia" w:eastAsiaTheme="minorEastAsia"/>
          <w:sz w:val="32"/>
          <w:szCs w:val="32"/>
        </w:rPr>
        <w:t>。</w:t>
      </w:r>
    </w:p>
    <w:p>
      <w:pPr>
        <w:pStyle w:val="9"/>
        <w:adjustRightInd/>
        <w:ind w:firstLine="640" w:firstLineChars="200"/>
        <w:jc w:val="both"/>
        <w:rPr>
          <w:rFonts w:asciiTheme="minorEastAsia" w:hAnsiTheme="minorEastAsia" w:eastAsiaTheme="minorEastAsia"/>
          <w:sz w:val="32"/>
          <w:szCs w:val="32"/>
        </w:rPr>
      </w:pPr>
      <w:r>
        <w:rPr>
          <w:rFonts w:hint="eastAsia" w:asciiTheme="minorEastAsia" w:hAnsiTheme="minorEastAsia" w:eastAsiaTheme="minorEastAsia"/>
          <w:sz w:val="32"/>
          <w:szCs w:val="32"/>
        </w:rPr>
        <w:t>公务接待费支出预算为30万元，支出决算为2.76万元，完成预算的922%，决算数小于年初预算数，决算数与上年相比减少0.73万元，减少26.45%，减少的主要原因是认真贯彻落实中央八项规定精神和厉行节约要求，进一步从严控制“三公”经费开支，全年实际支出比预算有所节约。</w:t>
      </w:r>
    </w:p>
    <w:p>
      <w:pPr>
        <w:pStyle w:val="9"/>
        <w:adjustRightInd/>
        <w:ind w:firstLine="640" w:firstLineChars="200"/>
        <w:jc w:val="both"/>
        <w:rPr>
          <w:rFonts w:asciiTheme="minorEastAsia" w:hAnsiTheme="minorEastAsia" w:eastAsiaTheme="minorEastAsia"/>
          <w:sz w:val="32"/>
          <w:szCs w:val="32"/>
        </w:rPr>
      </w:pPr>
      <w:r>
        <w:rPr>
          <w:rFonts w:hint="eastAsia" w:asciiTheme="minorEastAsia" w:hAnsiTheme="minorEastAsia" w:eastAsiaTheme="minorEastAsia"/>
          <w:sz w:val="32"/>
          <w:szCs w:val="32"/>
        </w:rPr>
        <w:t>公务用车购置费及运行维护费支出预算为36万元，支出决算为22.94万元，完成预算的63.72%，决算数小于年初预算数，与上年公务用车购置及运行费33.55万元相比减少10.61万元，减少31.62%,减少的主</w:t>
      </w:r>
      <w:bookmarkStart w:id="1" w:name="_GoBack"/>
      <w:bookmarkEnd w:id="1"/>
      <w:r>
        <w:rPr>
          <w:rFonts w:hint="eastAsia" w:asciiTheme="minorEastAsia" w:hAnsiTheme="minorEastAsia" w:eastAsiaTheme="minorEastAsia"/>
          <w:sz w:val="32"/>
          <w:szCs w:val="32"/>
        </w:rPr>
        <w:t>要原因是与上年度相比公务用车购置的车型有差别且受疫情影响，本年度公务用车运行成本费用较去年有所降低。</w:t>
      </w:r>
    </w:p>
    <w:p>
      <w:pPr>
        <w:pStyle w:val="9"/>
        <w:adjustRightInd/>
        <w:ind w:firstLine="640" w:firstLineChars="200"/>
        <w:jc w:val="both"/>
        <w:rPr>
          <w:rFonts w:asciiTheme="minorEastAsia" w:hAnsiTheme="minorEastAsia" w:eastAsiaTheme="minorEastAsia"/>
          <w:b/>
          <w:sz w:val="32"/>
          <w:szCs w:val="32"/>
        </w:rPr>
      </w:pPr>
      <w:r>
        <w:rPr>
          <w:rFonts w:hint="eastAsia" w:asciiTheme="minorEastAsia" w:hAnsiTheme="minorEastAsia" w:eastAsiaTheme="minorEastAsia"/>
          <w:b/>
          <w:sz w:val="32"/>
          <w:szCs w:val="32"/>
        </w:rPr>
        <w:t>（二）“三公”经费财政拨款支出决算具体情况说明</w:t>
      </w:r>
    </w:p>
    <w:p>
      <w:pPr>
        <w:pStyle w:val="9"/>
        <w:adjustRightInd/>
        <w:ind w:firstLine="640" w:firstLineChars="200"/>
        <w:jc w:val="both"/>
        <w:rPr>
          <w:rFonts w:asciiTheme="minorEastAsia" w:hAnsiTheme="minorEastAsia" w:eastAsiaTheme="minorEastAsia"/>
          <w:sz w:val="32"/>
          <w:szCs w:val="32"/>
        </w:rPr>
      </w:pPr>
      <w:r>
        <w:rPr>
          <w:rFonts w:hint="eastAsia" w:asciiTheme="minorEastAsia" w:hAnsiTheme="minorEastAsia" w:eastAsiaTheme="minorEastAsia"/>
          <w:sz w:val="32"/>
          <w:szCs w:val="32"/>
        </w:rPr>
        <w:t>2020年度“三公”经费财政拨款支出决算中，公务接待费支出决算2.76万元，占10.74%,因公出国（境）费支出决算</w:t>
      </w:r>
      <w:r>
        <w:rPr>
          <w:rFonts w:asciiTheme="minorEastAsia" w:hAnsiTheme="minorEastAsia" w:eastAsiaTheme="minorEastAsia"/>
          <w:sz w:val="32"/>
          <w:szCs w:val="32"/>
        </w:rPr>
        <w:t>0</w:t>
      </w:r>
      <w:r>
        <w:rPr>
          <w:rFonts w:hint="eastAsia" w:asciiTheme="minorEastAsia" w:hAnsiTheme="minorEastAsia" w:eastAsiaTheme="minorEastAsia"/>
          <w:sz w:val="32"/>
          <w:szCs w:val="32"/>
        </w:rPr>
        <w:t>万元，占</w:t>
      </w:r>
      <w:r>
        <w:rPr>
          <w:rFonts w:asciiTheme="minorEastAsia" w:hAnsiTheme="minorEastAsia" w:eastAsiaTheme="minorEastAsia"/>
          <w:sz w:val="32"/>
          <w:szCs w:val="32"/>
        </w:rPr>
        <w:t>0</w:t>
      </w:r>
      <w:r>
        <w:rPr>
          <w:rFonts w:hint="eastAsia" w:asciiTheme="minorEastAsia" w:hAnsiTheme="minorEastAsia" w:eastAsiaTheme="minorEastAsia"/>
          <w:sz w:val="32"/>
          <w:szCs w:val="32"/>
        </w:rPr>
        <w:t>%,公务用车购置费及运行维护费支出决算22.94万元，占89.26%。其中：</w:t>
      </w:r>
    </w:p>
    <w:p>
      <w:pPr>
        <w:pStyle w:val="9"/>
        <w:adjustRightInd/>
        <w:ind w:firstLine="640" w:firstLineChars="200"/>
        <w:jc w:val="both"/>
        <w:rPr>
          <w:rFonts w:asciiTheme="minorEastAsia" w:hAnsiTheme="minorEastAsia" w:eastAsiaTheme="minorEastAsia"/>
          <w:sz w:val="32"/>
          <w:szCs w:val="32"/>
        </w:rPr>
      </w:pPr>
      <w:r>
        <w:rPr>
          <w:rFonts w:hint="eastAsia" w:asciiTheme="minorEastAsia" w:hAnsiTheme="minorEastAsia" w:eastAsiaTheme="minorEastAsia"/>
          <w:sz w:val="32"/>
          <w:szCs w:val="32"/>
        </w:rPr>
        <w:t>1、因公出国（境）费没有决算支出</w:t>
      </w:r>
    </w:p>
    <w:p>
      <w:pPr>
        <w:pStyle w:val="9"/>
        <w:adjustRightInd/>
        <w:ind w:firstLine="640" w:firstLineChars="200"/>
        <w:jc w:val="both"/>
        <w:rPr>
          <w:rFonts w:asciiTheme="minorEastAsia" w:hAnsiTheme="minorEastAsia" w:eastAsiaTheme="minorEastAsia"/>
          <w:sz w:val="32"/>
          <w:szCs w:val="32"/>
        </w:rPr>
      </w:pPr>
      <w:r>
        <w:rPr>
          <w:rFonts w:hint="eastAsia" w:asciiTheme="minorEastAsia" w:hAnsiTheme="minorEastAsia" w:eastAsiaTheme="minorEastAsia"/>
          <w:sz w:val="32"/>
          <w:szCs w:val="32"/>
        </w:rPr>
        <w:t>2、公务接待费支出决算为2.79万元，全年共接待来访团组67个、来宾596人次，主要是上级单位检查、外单位业务工作交流调研等发生的接待支出。</w:t>
      </w:r>
    </w:p>
    <w:p>
      <w:pPr>
        <w:pStyle w:val="9"/>
        <w:adjustRightInd/>
        <w:ind w:firstLine="640" w:firstLineChars="200"/>
        <w:jc w:val="both"/>
        <w:rPr>
          <w:rFonts w:asciiTheme="minorEastAsia" w:hAnsiTheme="minorEastAsia" w:eastAsiaTheme="minorEastAsia"/>
          <w:sz w:val="32"/>
          <w:szCs w:val="32"/>
        </w:rPr>
      </w:pPr>
      <w:r>
        <w:rPr>
          <w:rFonts w:hint="eastAsia" w:asciiTheme="minorEastAsia" w:hAnsiTheme="minorEastAsia" w:eastAsiaTheme="minorEastAsia"/>
          <w:sz w:val="32"/>
          <w:szCs w:val="32"/>
        </w:rPr>
        <w:t>3、公务用车购置费及运行维护费支出决算为22.94万元，其中：公务用车购置费</w:t>
      </w:r>
      <w:r>
        <w:rPr>
          <w:rFonts w:asciiTheme="minorEastAsia" w:hAnsiTheme="minorEastAsia" w:eastAsiaTheme="minorEastAsia"/>
          <w:sz w:val="32"/>
          <w:szCs w:val="32"/>
        </w:rPr>
        <w:t>0</w:t>
      </w:r>
      <w:r>
        <w:rPr>
          <w:rFonts w:hint="eastAsia" w:asciiTheme="minorEastAsia" w:hAnsiTheme="minorEastAsia" w:eastAsiaTheme="minorEastAsia"/>
          <w:sz w:val="32"/>
          <w:szCs w:val="32"/>
        </w:rPr>
        <w:t>万元，公务用车运行维护费22.94万元，主要是公车改革后我单位保留10台执法车辆以及省局配检测车1辆供我局食品安全检测，共1</w:t>
      </w:r>
      <w:r>
        <w:rPr>
          <w:rFonts w:asciiTheme="minorEastAsia" w:hAnsiTheme="minorEastAsia" w:eastAsiaTheme="minorEastAsia"/>
          <w:sz w:val="32"/>
          <w:szCs w:val="32"/>
        </w:rPr>
        <w:t>1</w:t>
      </w:r>
      <w:r>
        <w:rPr>
          <w:rFonts w:hint="eastAsia" w:asciiTheme="minorEastAsia" w:hAnsiTheme="minorEastAsia" w:eastAsiaTheme="minorEastAsia"/>
          <w:sz w:val="32"/>
          <w:szCs w:val="32"/>
        </w:rPr>
        <w:t>台车辆的燃油费、车险、车辆维修费、高速过路费等车辆日常运行费用，其余均改为发放交通补贴支出，截止2020年12月31日，我单位开支财政拨款的公务用车保有量为1</w:t>
      </w:r>
      <w:r>
        <w:rPr>
          <w:rFonts w:asciiTheme="minorEastAsia" w:hAnsiTheme="minorEastAsia" w:eastAsiaTheme="minorEastAsia"/>
          <w:sz w:val="32"/>
          <w:szCs w:val="32"/>
        </w:rPr>
        <w:t>1</w:t>
      </w:r>
      <w:r>
        <w:rPr>
          <w:rFonts w:hint="eastAsia" w:asciiTheme="minorEastAsia" w:hAnsiTheme="minorEastAsia" w:eastAsiaTheme="minorEastAsia"/>
          <w:sz w:val="32"/>
          <w:szCs w:val="32"/>
        </w:rPr>
        <w:t>辆。</w:t>
      </w:r>
    </w:p>
    <w:p>
      <w:pPr>
        <w:pStyle w:val="9"/>
        <w:adjustRightInd/>
        <w:ind w:firstLine="640" w:firstLineChars="200"/>
        <w:jc w:val="both"/>
        <w:rPr>
          <w:rFonts w:hAnsi="黑体"/>
          <w:b/>
          <w:sz w:val="32"/>
          <w:szCs w:val="32"/>
        </w:rPr>
      </w:pPr>
      <w:r>
        <w:rPr>
          <w:rFonts w:hint="eastAsia" w:hAnsi="黑体"/>
          <w:b/>
          <w:sz w:val="32"/>
          <w:szCs w:val="32"/>
        </w:rPr>
        <w:t>八、政府性基金预算收入支出决算情况</w:t>
      </w:r>
    </w:p>
    <w:p>
      <w:pPr>
        <w:pStyle w:val="9"/>
        <w:adjustRightInd/>
        <w:ind w:firstLine="640" w:firstLineChars="200"/>
        <w:jc w:val="both"/>
        <w:rPr>
          <w:rFonts w:asciiTheme="minorEastAsia" w:hAnsiTheme="minorEastAsia" w:eastAsiaTheme="minorEastAsia"/>
          <w:sz w:val="32"/>
          <w:szCs w:val="32"/>
        </w:rPr>
      </w:pPr>
      <w:r>
        <w:rPr>
          <w:rFonts w:hint="eastAsia" w:asciiTheme="minorEastAsia" w:hAnsiTheme="minorEastAsia" w:eastAsiaTheme="minorEastAsia"/>
          <w:sz w:val="32"/>
          <w:szCs w:val="32"/>
        </w:rPr>
        <w:t>2020年度本单位政府性基金收入为20万元，政府性基金支出20万元，系新冠疫情抗疫应急保障支出。</w:t>
      </w:r>
    </w:p>
    <w:p>
      <w:pPr>
        <w:pStyle w:val="9"/>
        <w:snapToGrid w:val="0"/>
        <w:spacing w:line="360" w:lineRule="auto"/>
        <w:ind w:firstLine="614" w:firstLineChars="200"/>
        <w:rPr>
          <w:rFonts w:ascii="宋体" w:hAnsi="宋体" w:eastAsia="宋体" w:cs="宋体"/>
          <w:b/>
          <w:w w:val="96"/>
          <w:sz w:val="32"/>
          <w:szCs w:val="32"/>
        </w:rPr>
      </w:pPr>
      <w:r>
        <w:rPr>
          <w:rFonts w:hint="eastAsia" w:ascii="宋体" w:hAnsi="宋体" w:eastAsia="宋体" w:cs="宋体"/>
          <w:b/>
          <w:w w:val="96"/>
          <w:sz w:val="32"/>
          <w:szCs w:val="32"/>
        </w:rPr>
        <w:t>九、国有资本经营预算财政拨款支出决算情况</w:t>
      </w:r>
    </w:p>
    <w:p>
      <w:pPr>
        <w:pStyle w:val="9"/>
        <w:snapToGrid w:val="0"/>
        <w:spacing w:line="360" w:lineRule="auto"/>
        <w:ind w:firstLine="614" w:firstLineChars="200"/>
        <w:rPr>
          <w:rFonts w:ascii="宋体" w:hAnsi="宋体" w:eastAsia="宋体" w:cs="宋体"/>
          <w:b/>
          <w:w w:val="96"/>
          <w:sz w:val="32"/>
          <w:szCs w:val="32"/>
        </w:rPr>
      </w:pPr>
      <w:r>
        <w:rPr>
          <w:rFonts w:hint="eastAsia" w:ascii="宋体" w:hAnsi="宋体" w:eastAsia="宋体" w:cs="宋体"/>
          <w:w w:val="96"/>
          <w:sz w:val="32"/>
          <w:szCs w:val="32"/>
        </w:rPr>
        <w:t>本单位2020年没有国有资本经营预算财政拨款支出。</w:t>
      </w:r>
    </w:p>
    <w:p>
      <w:pPr>
        <w:pStyle w:val="9"/>
        <w:adjustRightInd/>
        <w:ind w:firstLine="640" w:firstLineChars="200"/>
        <w:jc w:val="both"/>
        <w:rPr>
          <w:rFonts w:hAnsi="黑体"/>
          <w:b/>
          <w:sz w:val="32"/>
          <w:szCs w:val="32"/>
        </w:rPr>
      </w:pPr>
      <w:r>
        <w:rPr>
          <w:rFonts w:hint="eastAsia" w:hAnsi="黑体"/>
          <w:b/>
          <w:sz w:val="32"/>
          <w:szCs w:val="32"/>
        </w:rPr>
        <w:t>十、关于机关运行经费支出说明</w:t>
      </w:r>
    </w:p>
    <w:p>
      <w:pPr>
        <w:ind w:firstLine="640" w:firstLineChars="200"/>
        <w:rPr>
          <w:rFonts w:cs="黑体" w:asciiTheme="minorEastAsia" w:hAnsiTheme="minorEastAsia"/>
          <w:color w:val="000000"/>
          <w:kern w:val="0"/>
          <w:sz w:val="32"/>
          <w:szCs w:val="32"/>
        </w:rPr>
      </w:pPr>
      <w:r>
        <w:rPr>
          <w:rFonts w:hint="eastAsia" w:cs="黑体" w:asciiTheme="minorEastAsia" w:hAnsiTheme="minorEastAsia"/>
          <w:color w:val="000000"/>
          <w:kern w:val="0"/>
          <w:sz w:val="32"/>
          <w:szCs w:val="32"/>
        </w:rPr>
        <w:t>本部门2020年度机关运行经费支出326.51万元，比年初预算数231.9万元多94.61万元，降低28.98%。主要原因是：上年结转资金。</w:t>
      </w:r>
    </w:p>
    <w:p>
      <w:pPr>
        <w:pStyle w:val="9"/>
        <w:adjustRightInd/>
        <w:ind w:firstLine="640" w:firstLineChars="200"/>
        <w:jc w:val="both"/>
        <w:rPr>
          <w:rFonts w:hAnsi="黑体"/>
          <w:b/>
          <w:sz w:val="32"/>
          <w:szCs w:val="32"/>
        </w:rPr>
      </w:pPr>
      <w:r>
        <w:rPr>
          <w:rFonts w:hint="eastAsia" w:hAnsi="黑体"/>
          <w:b/>
          <w:sz w:val="32"/>
          <w:szCs w:val="32"/>
        </w:rPr>
        <w:t>十一、一般性支出情况说明</w:t>
      </w:r>
    </w:p>
    <w:p>
      <w:pPr>
        <w:ind w:firstLine="640" w:firstLineChars="200"/>
        <w:rPr>
          <w:rFonts w:cs="黑体" w:asciiTheme="minorEastAsia" w:hAnsiTheme="minorEastAsia"/>
          <w:color w:val="000000"/>
          <w:kern w:val="0"/>
          <w:sz w:val="32"/>
          <w:szCs w:val="32"/>
        </w:rPr>
      </w:pPr>
      <w:r>
        <w:rPr>
          <w:rFonts w:hint="eastAsia" w:cs="黑体" w:asciiTheme="minorEastAsia" w:hAnsiTheme="minorEastAsia"/>
          <w:color w:val="000000"/>
          <w:kern w:val="0"/>
          <w:sz w:val="32"/>
          <w:szCs w:val="32"/>
        </w:rPr>
        <w:t>2020年本部门开支会议费</w:t>
      </w:r>
      <w:r>
        <w:rPr>
          <w:rFonts w:cs="黑体" w:asciiTheme="minorEastAsia" w:hAnsiTheme="minorEastAsia"/>
          <w:color w:val="000000"/>
          <w:kern w:val="0"/>
          <w:sz w:val="32"/>
          <w:szCs w:val="32"/>
        </w:rPr>
        <w:t>0.73</w:t>
      </w:r>
      <w:r>
        <w:rPr>
          <w:rFonts w:hint="eastAsia" w:cs="黑体" w:asciiTheme="minorEastAsia" w:hAnsiTheme="minorEastAsia"/>
          <w:color w:val="000000"/>
          <w:kern w:val="0"/>
          <w:sz w:val="32"/>
          <w:szCs w:val="32"/>
        </w:rPr>
        <w:t>万元，用于召开述职评审会议、工作推进暨作风建设会议等；开支培训费</w:t>
      </w:r>
      <w:r>
        <w:rPr>
          <w:rFonts w:cs="黑体" w:asciiTheme="minorEastAsia" w:hAnsiTheme="minorEastAsia"/>
          <w:color w:val="000000"/>
          <w:kern w:val="0"/>
          <w:sz w:val="32"/>
          <w:szCs w:val="32"/>
        </w:rPr>
        <w:t>1.32</w:t>
      </w:r>
      <w:r>
        <w:rPr>
          <w:rFonts w:hint="eastAsia" w:cs="黑体" w:asciiTheme="minorEastAsia" w:hAnsiTheme="minorEastAsia"/>
          <w:color w:val="000000"/>
          <w:kern w:val="0"/>
          <w:sz w:val="32"/>
          <w:szCs w:val="32"/>
        </w:rPr>
        <w:t>万元，用于开展第五批全国干部学习培训、2</w:t>
      </w:r>
      <w:r>
        <w:rPr>
          <w:rFonts w:cs="黑体" w:asciiTheme="minorEastAsia" w:hAnsiTheme="minorEastAsia"/>
          <w:color w:val="000000"/>
          <w:kern w:val="0"/>
          <w:sz w:val="32"/>
          <w:szCs w:val="32"/>
        </w:rPr>
        <w:t>0</w:t>
      </w:r>
      <w:r>
        <w:rPr>
          <w:rFonts w:hint="eastAsia" w:cs="黑体" w:asciiTheme="minorEastAsia" w:hAnsiTheme="minorEastAsia"/>
          <w:color w:val="000000"/>
          <w:kern w:val="0"/>
          <w:sz w:val="32"/>
          <w:szCs w:val="32"/>
        </w:rPr>
        <w:t>20年内部审计培训、市场监管执法法制培训等。</w:t>
      </w:r>
    </w:p>
    <w:p>
      <w:pPr>
        <w:pStyle w:val="9"/>
        <w:adjustRightInd/>
        <w:ind w:firstLine="640" w:firstLineChars="200"/>
        <w:jc w:val="both"/>
        <w:rPr>
          <w:rFonts w:hAnsi="黑体"/>
          <w:b/>
          <w:sz w:val="32"/>
          <w:szCs w:val="32"/>
        </w:rPr>
      </w:pPr>
      <w:r>
        <w:rPr>
          <w:rFonts w:hint="eastAsia" w:hAnsi="黑体"/>
          <w:b/>
          <w:sz w:val="32"/>
          <w:szCs w:val="32"/>
        </w:rPr>
        <w:t>十二、政府采购支出情况</w:t>
      </w:r>
    </w:p>
    <w:p>
      <w:pPr>
        <w:ind w:firstLine="640" w:firstLineChars="200"/>
        <w:rPr>
          <w:rFonts w:cs="黑体" w:asciiTheme="minorEastAsia" w:hAnsiTheme="minorEastAsia"/>
          <w:i/>
          <w:color w:val="FF0000"/>
          <w:kern w:val="0"/>
          <w:sz w:val="32"/>
          <w:szCs w:val="32"/>
        </w:rPr>
      </w:pPr>
      <w:r>
        <w:rPr>
          <w:rFonts w:hint="eastAsia" w:cs="黑体" w:asciiTheme="minorEastAsia" w:hAnsiTheme="minorEastAsia"/>
          <w:color w:val="000000"/>
          <w:kern w:val="0"/>
          <w:sz w:val="32"/>
          <w:szCs w:val="32"/>
        </w:rPr>
        <w:t>本部门2020年度政府采购支出总额</w:t>
      </w:r>
      <w:r>
        <w:rPr>
          <w:rFonts w:cs="黑体" w:asciiTheme="minorEastAsia" w:hAnsiTheme="minorEastAsia"/>
          <w:color w:val="000000"/>
          <w:kern w:val="0"/>
          <w:sz w:val="32"/>
          <w:szCs w:val="32"/>
        </w:rPr>
        <w:t>92.63</w:t>
      </w:r>
      <w:r>
        <w:rPr>
          <w:rFonts w:hint="eastAsia" w:cs="黑体" w:asciiTheme="minorEastAsia" w:hAnsiTheme="minorEastAsia"/>
          <w:color w:val="000000"/>
          <w:kern w:val="0"/>
          <w:sz w:val="32"/>
          <w:szCs w:val="32"/>
        </w:rPr>
        <w:t>万元，其中：政府采购货物支出</w:t>
      </w:r>
      <w:r>
        <w:rPr>
          <w:rFonts w:cs="黑体" w:asciiTheme="minorEastAsia" w:hAnsiTheme="minorEastAsia"/>
          <w:color w:val="000000"/>
          <w:kern w:val="0"/>
          <w:sz w:val="32"/>
          <w:szCs w:val="32"/>
        </w:rPr>
        <w:t>34.23</w:t>
      </w:r>
      <w:r>
        <w:rPr>
          <w:rFonts w:hint="eastAsia" w:cs="黑体" w:asciiTheme="minorEastAsia" w:hAnsiTheme="minorEastAsia"/>
          <w:color w:val="000000"/>
          <w:kern w:val="0"/>
          <w:sz w:val="32"/>
          <w:szCs w:val="32"/>
        </w:rPr>
        <w:t>万元、政府采购工程支出</w:t>
      </w:r>
      <w:r>
        <w:rPr>
          <w:rFonts w:cs="黑体" w:asciiTheme="minorEastAsia" w:hAnsiTheme="minorEastAsia"/>
          <w:color w:val="000000"/>
          <w:kern w:val="0"/>
          <w:sz w:val="32"/>
          <w:szCs w:val="32"/>
        </w:rPr>
        <w:t>8.8</w:t>
      </w:r>
      <w:r>
        <w:rPr>
          <w:rFonts w:hint="eastAsia" w:cs="黑体" w:asciiTheme="minorEastAsia" w:hAnsiTheme="minorEastAsia"/>
          <w:color w:val="000000"/>
          <w:kern w:val="0"/>
          <w:sz w:val="32"/>
          <w:szCs w:val="32"/>
        </w:rPr>
        <w:t>万元、政府采购服务支出</w:t>
      </w:r>
      <w:r>
        <w:rPr>
          <w:rFonts w:cs="黑体" w:asciiTheme="minorEastAsia" w:hAnsiTheme="minorEastAsia"/>
          <w:color w:val="000000"/>
          <w:kern w:val="0"/>
          <w:sz w:val="32"/>
          <w:szCs w:val="32"/>
        </w:rPr>
        <w:t>49.6</w:t>
      </w:r>
      <w:r>
        <w:rPr>
          <w:rFonts w:hint="eastAsia" w:cs="黑体" w:asciiTheme="minorEastAsia" w:hAnsiTheme="minorEastAsia"/>
          <w:color w:val="000000"/>
          <w:kern w:val="0"/>
          <w:sz w:val="32"/>
          <w:szCs w:val="32"/>
        </w:rPr>
        <w:t>万元。</w:t>
      </w:r>
    </w:p>
    <w:p>
      <w:pPr>
        <w:pStyle w:val="9"/>
        <w:adjustRightInd/>
        <w:ind w:firstLine="640" w:firstLineChars="200"/>
        <w:jc w:val="both"/>
        <w:rPr>
          <w:rFonts w:hAnsi="黑体"/>
          <w:b/>
          <w:sz w:val="32"/>
          <w:szCs w:val="32"/>
        </w:rPr>
      </w:pPr>
      <w:r>
        <w:rPr>
          <w:rFonts w:hint="eastAsia" w:hAnsi="黑体"/>
          <w:b/>
          <w:sz w:val="32"/>
          <w:szCs w:val="32"/>
        </w:rPr>
        <w:t>十三、国有资产占用情况</w:t>
      </w:r>
    </w:p>
    <w:p>
      <w:pPr>
        <w:ind w:firstLine="640" w:firstLineChars="200"/>
        <w:rPr>
          <w:rFonts w:cs="黑体" w:asciiTheme="minorEastAsia" w:hAnsiTheme="minorEastAsia"/>
          <w:color w:val="000000"/>
          <w:kern w:val="0"/>
          <w:sz w:val="32"/>
          <w:szCs w:val="32"/>
        </w:rPr>
      </w:pPr>
      <w:r>
        <w:rPr>
          <w:rFonts w:hint="eastAsia" w:cs="黑体" w:asciiTheme="minorEastAsia" w:hAnsiTheme="minorEastAsia"/>
          <w:color w:val="000000"/>
          <w:kern w:val="0"/>
          <w:sz w:val="32"/>
          <w:szCs w:val="32"/>
        </w:rPr>
        <w:t>截至2020年12月31日，本单位共有车辆</w:t>
      </w:r>
      <w:r>
        <w:rPr>
          <w:rFonts w:cs="黑体" w:asciiTheme="minorEastAsia" w:hAnsiTheme="minorEastAsia"/>
          <w:color w:val="000000"/>
          <w:kern w:val="0"/>
          <w:sz w:val="32"/>
          <w:szCs w:val="32"/>
        </w:rPr>
        <w:t>11</w:t>
      </w:r>
      <w:r>
        <w:rPr>
          <w:rFonts w:hint="eastAsia" w:cs="黑体" w:asciiTheme="minorEastAsia" w:hAnsiTheme="minorEastAsia"/>
          <w:color w:val="000000"/>
          <w:kern w:val="0"/>
          <w:sz w:val="32"/>
          <w:szCs w:val="32"/>
        </w:rPr>
        <w:t>辆，其中，执法执勤用车</w:t>
      </w:r>
      <w:r>
        <w:rPr>
          <w:rFonts w:cs="黑体" w:asciiTheme="minorEastAsia" w:hAnsiTheme="minorEastAsia"/>
          <w:color w:val="000000"/>
          <w:kern w:val="0"/>
          <w:sz w:val="32"/>
          <w:szCs w:val="32"/>
        </w:rPr>
        <w:t>10</w:t>
      </w:r>
      <w:r>
        <w:rPr>
          <w:rFonts w:hint="eastAsia" w:cs="黑体" w:asciiTheme="minorEastAsia" w:hAnsiTheme="minorEastAsia"/>
          <w:color w:val="000000"/>
          <w:kern w:val="0"/>
          <w:sz w:val="32"/>
          <w:szCs w:val="32"/>
        </w:rPr>
        <w:t>辆、食品快检车</w:t>
      </w:r>
      <w:r>
        <w:rPr>
          <w:rFonts w:cs="黑体" w:asciiTheme="minorEastAsia" w:hAnsiTheme="minorEastAsia"/>
          <w:color w:val="000000"/>
          <w:kern w:val="0"/>
          <w:sz w:val="32"/>
          <w:szCs w:val="32"/>
        </w:rPr>
        <w:t>1</w:t>
      </w:r>
      <w:r>
        <w:rPr>
          <w:rFonts w:hint="eastAsia" w:cs="黑体" w:asciiTheme="minorEastAsia" w:hAnsiTheme="minorEastAsia"/>
          <w:color w:val="000000"/>
          <w:kern w:val="0"/>
          <w:sz w:val="32"/>
          <w:szCs w:val="32"/>
        </w:rPr>
        <w:t>辆；没有单位价值50万元以上通用设备和单位价值100万元以上专用设备。</w:t>
      </w:r>
    </w:p>
    <w:p>
      <w:pPr>
        <w:pStyle w:val="9"/>
        <w:adjustRightInd/>
        <w:ind w:firstLine="640" w:firstLineChars="200"/>
        <w:jc w:val="both"/>
        <w:rPr>
          <w:rFonts w:hAnsi="黑体"/>
          <w:b/>
          <w:sz w:val="32"/>
          <w:szCs w:val="32"/>
        </w:rPr>
      </w:pPr>
      <w:r>
        <w:rPr>
          <w:rFonts w:hint="eastAsia" w:hAnsi="黑体"/>
          <w:b/>
          <w:sz w:val="32"/>
          <w:szCs w:val="32"/>
        </w:rPr>
        <w:t>十四、关于2020年度预算绩效情况说明</w:t>
      </w:r>
    </w:p>
    <w:p>
      <w:pPr>
        <w:pStyle w:val="9"/>
        <w:adjustRightInd/>
        <w:ind w:firstLine="640" w:firstLineChars="200"/>
        <w:jc w:val="both"/>
        <w:rPr>
          <w:rFonts w:asciiTheme="minorEastAsia" w:hAnsiTheme="minorEastAsia" w:eastAsiaTheme="minorEastAsia"/>
          <w:sz w:val="32"/>
          <w:szCs w:val="32"/>
        </w:rPr>
      </w:pPr>
      <w:r>
        <w:rPr>
          <w:rFonts w:hint="eastAsia" w:asciiTheme="minorEastAsia" w:hAnsiTheme="minorEastAsia" w:eastAsiaTheme="minorEastAsia"/>
          <w:sz w:val="32"/>
          <w:szCs w:val="32"/>
        </w:rPr>
        <w:t>为认真全面贯彻落实《中共湖南省委办公厅湖南省人民政府办公厅关于全面实施预算绩效管理的实施意见》,进一步规范财政支出管理，优化财政资源配置，提高财政支出效益，加强预算绩效管理，根据《衡南县财政局关于开展2020年度财政资金绩效自评工作的通知》要求及时报送了《2020衡南县市场监督管理局支出绩效自评报告》、《2020年度整体支出及项目支出绩效自评考核评分表》等表格及佐证资料，并在县委县政府政务门户网站上进行了公开。</w:t>
      </w:r>
    </w:p>
    <w:p>
      <w:pPr>
        <w:pStyle w:val="9"/>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2020年我局严格按照国家财经法律法规和制度的要求，围绕县委、县政府中心工作，积极履职，强化管理，较好的完成了年度工作目标，加强了对各项资金的绩效管理。我局通过加强预算收支管理，不断建立健全内部管理制度，梳理内部管理流程，成立了内部控制领导小组，严格遵循专款专用、独立核算的管理原则，专项项目的申报严格按照县财政资金管理的要求进行，专项资金财政拨款到位后及时进行了项目开支和资金投入，部门整体支出管理情况得到了提升。</w:t>
      </w:r>
    </w:p>
    <w:p>
      <w:pPr>
        <w:widowControl/>
        <w:jc w:val="left"/>
        <w:rPr>
          <w:rFonts w:cs="黑体" w:asciiTheme="minorEastAsia" w:hAnsiTheme="minorEastAsia"/>
          <w:color w:val="000000"/>
          <w:kern w:val="0"/>
          <w:sz w:val="32"/>
          <w:szCs w:val="32"/>
        </w:rPr>
      </w:pPr>
    </w:p>
    <w:p>
      <w:pPr>
        <w:ind w:firstLine="640" w:firstLineChars="200"/>
        <w:rPr>
          <w:rFonts w:cs="黑体" w:asciiTheme="minorEastAsia" w:hAnsiTheme="minorEastAsia"/>
          <w:color w:val="000000"/>
          <w:kern w:val="0"/>
          <w:sz w:val="32"/>
          <w:szCs w:val="32"/>
        </w:rPr>
      </w:pPr>
    </w:p>
    <w:p>
      <w:pPr>
        <w:pStyle w:val="9"/>
        <w:jc w:val="center"/>
        <w:rPr>
          <w:sz w:val="72"/>
          <w:szCs w:val="72"/>
        </w:rPr>
      </w:pPr>
    </w:p>
    <w:p>
      <w:pPr>
        <w:pStyle w:val="9"/>
        <w:jc w:val="center"/>
        <w:rPr>
          <w:sz w:val="72"/>
          <w:szCs w:val="72"/>
        </w:rPr>
      </w:pPr>
    </w:p>
    <w:p>
      <w:pPr>
        <w:pStyle w:val="9"/>
        <w:jc w:val="center"/>
        <w:rPr>
          <w:sz w:val="72"/>
          <w:szCs w:val="72"/>
        </w:rPr>
      </w:pPr>
    </w:p>
    <w:p>
      <w:pPr>
        <w:pStyle w:val="9"/>
        <w:jc w:val="center"/>
        <w:rPr>
          <w:sz w:val="72"/>
          <w:szCs w:val="72"/>
        </w:rPr>
      </w:pPr>
    </w:p>
    <w:p>
      <w:pPr>
        <w:pStyle w:val="9"/>
        <w:jc w:val="center"/>
        <w:rPr>
          <w:sz w:val="72"/>
          <w:szCs w:val="72"/>
        </w:rPr>
      </w:pPr>
    </w:p>
    <w:p>
      <w:pPr>
        <w:pStyle w:val="9"/>
        <w:jc w:val="center"/>
        <w:rPr>
          <w:sz w:val="72"/>
          <w:szCs w:val="72"/>
        </w:rPr>
      </w:pPr>
    </w:p>
    <w:p>
      <w:pPr>
        <w:pStyle w:val="9"/>
        <w:jc w:val="center"/>
        <w:rPr>
          <w:sz w:val="72"/>
          <w:szCs w:val="72"/>
        </w:rPr>
      </w:pPr>
      <w:r>
        <w:rPr>
          <w:rFonts w:hint="eastAsia"/>
          <w:sz w:val="72"/>
          <w:szCs w:val="72"/>
        </w:rPr>
        <w:t>第四部分</w:t>
      </w:r>
    </w:p>
    <w:p>
      <w:pPr>
        <w:jc w:val="center"/>
        <w:rPr>
          <w:rFonts w:ascii="黑体" w:eastAsia="黑体" w:cs="黑体"/>
          <w:color w:val="000000"/>
          <w:kern w:val="0"/>
          <w:sz w:val="70"/>
          <w:szCs w:val="70"/>
        </w:rPr>
      </w:pPr>
    </w:p>
    <w:p>
      <w:pPr>
        <w:jc w:val="center"/>
        <w:rPr>
          <w:rFonts w:ascii="黑体" w:eastAsia="黑体" w:cs="黑体"/>
          <w:color w:val="000000"/>
          <w:kern w:val="0"/>
          <w:sz w:val="70"/>
          <w:szCs w:val="70"/>
        </w:rPr>
      </w:pPr>
      <w:r>
        <w:rPr>
          <w:rFonts w:hint="eastAsia" w:ascii="黑体" w:eastAsia="黑体" w:cs="黑体"/>
          <w:color w:val="000000"/>
          <w:kern w:val="0"/>
          <w:sz w:val="70"/>
          <w:szCs w:val="70"/>
        </w:rPr>
        <w:t>名词解释</w:t>
      </w:r>
    </w:p>
    <w:p>
      <w:pPr>
        <w:widowControl/>
        <w:jc w:val="left"/>
        <w:rPr>
          <w:rFonts w:ascii="黑体" w:eastAsia="黑体" w:cs="黑体"/>
          <w:color w:val="000000"/>
          <w:kern w:val="0"/>
          <w:sz w:val="70"/>
          <w:szCs w:val="70"/>
        </w:rPr>
      </w:pPr>
      <w:r>
        <w:rPr>
          <w:rFonts w:ascii="黑体" w:eastAsia="黑体" w:cs="黑体"/>
          <w:color w:val="000000"/>
          <w:kern w:val="0"/>
          <w:sz w:val="70"/>
          <w:szCs w:val="70"/>
        </w:rPr>
        <w:br w:type="page"/>
      </w:r>
    </w:p>
    <w:p>
      <w:pPr>
        <w:pStyle w:val="9"/>
        <w:ind w:firstLine="640" w:firstLineChars="200"/>
        <w:jc w:val="both"/>
        <w:rPr>
          <w:rFonts w:asciiTheme="minorEastAsia" w:hAnsiTheme="minorEastAsia" w:eastAsiaTheme="minorEastAsia"/>
          <w:sz w:val="32"/>
          <w:szCs w:val="32"/>
        </w:rPr>
      </w:pPr>
      <w:r>
        <w:rPr>
          <w:rFonts w:hint="eastAsia" w:asciiTheme="minorEastAsia" w:hAnsiTheme="minorEastAsia" w:eastAsiaTheme="minorEastAsia"/>
          <w:sz w:val="32"/>
          <w:szCs w:val="32"/>
        </w:rPr>
        <w:t>一、财政拨款收入：指财政部门核拨给单位的财政预算资金。</w:t>
      </w:r>
    </w:p>
    <w:p>
      <w:pPr>
        <w:pStyle w:val="9"/>
        <w:ind w:firstLine="640" w:firstLineChars="200"/>
        <w:jc w:val="both"/>
        <w:rPr>
          <w:rFonts w:asciiTheme="minorEastAsia" w:hAnsiTheme="minorEastAsia" w:eastAsiaTheme="minorEastAsia"/>
          <w:sz w:val="32"/>
          <w:szCs w:val="32"/>
        </w:rPr>
      </w:pPr>
      <w:r>
        <w:rPr>
          <w:rFonts w:hint="eastAsia" w:asciiTheme="minorEastAsia" w:hAnsiTheme="minorEastAsia" w:eastAsiaTheme="minorEastAsia"/>
          <w:sz w:val="32"/>
          <w:szCs w:val="32"/>
        </w:rPr>
        <w:t>二、其他收入：指单位取得的除上述“财政拨款收入”、“事业收入”、“附属单位上缴收入”等以外的收入。</w:t>
      </w:r>
    </w:p>
    <w:p>
      <w:pPr>
        <w:pStyle w:val="9"/>
        <w:ind w:firstLine="640" w:firstLineChars="200"/>
        <w:jc w:val="both"/>
        <w:rPr>
          <w:rFonts w:asciiTheme="minorEastAsia" w:hAnsiTheme="minorEastAsia" w:eastAsiaTheme="minorEastAsia"/>
          <w:sz w:val="32"/>
          <w:szCs w:val="32"/>
        </w:rPr>
      </w:pPr>
      <w:r>
        <w:rPr>
          <w:rFonts w:hint="eastAsia" w:asciiTheme="minorEastAsia" w:hAnsiTheme="minorEastAsia" w:eastAsiaTheme="minorEastAsia"/>
          <w:sz w:val="32"/>
          <w:szCs w:val="32"/>
        </w:rPr>
        <w:t>三、年初结转和结余：指以前年度尚未完成、结转到本年仍按有关规定继续使用的资金。</w:t>
      </w:r>
    </w:p>
    <w:p>
      <w:pPr>
        <w:pStyle w:val="9"/>
        <w:ind w:firstLine="640" w:firstLineChars="200"/>
        <w:jc w:val="both"/>
        <w:rPr>
          <w:rFonts w:asciiTheme="minorEastAsia" w:hAnsiTheme="minorEastAsia" w:eastAsiaTheme="minorEastAsia"/>
          <w:sz w:val="32"/>
          <w:szCs w:val="32"/>
        </w:rPr>
      </w:pPr>
      <w:r>
        <w:rPr>
          <w:rFonts w:hint="eastAsia" w:asciiTheme="minorEastAsia" w:hAnsiTheme="minorEastAsia" w:eastAsiaTheme="minorEastAsia"/>
          <w:sz w:val="32"/>
          <w:szCs w:val="32"/>
        </w:rPr>
        <w:t>四、一般公共服务支出（类）商贸事物（款）行政运行（项）：指局机关人员经费。</w:t>
      </w:r>
    </w:p>
    <w:p>
      <w:pPr>
        <w:pStyle w:val="9"/>
        <w:ind w:firstLine="640" w:firstLineChars="200"/>
        <w:jc w:val="both"/>
        <w:rPr>
          <w:rFonts w:asciiTheme="minorEastAsia" w:hAnsiTheme="minorEastAsia" w:eastAsiaTheme="minorEastAsia"/>
          <w:sz w:val="32"/>
          <w:szCs w:val="32"/>
        </w:rPr>
      </w:pPr>
      <w:r>
        <w:rPr>
          <w:rFonts w:hint="eastAsia" w:asciiTheme="minorEastAsia" w:hAnsiTheme="minorEastAsia" w:eastAsiaTheme="minorEastAsia"/>
          <w:sz w:val="32"/>
          <w:szCs w:val="32"/>
        </w:rPr>
        <w:t>五、一般公共服务支出（类）市场监督管理事务（款）：指县市场监督管理局本级用于保障机构正常运行、开展日常市场监督管理工作所须公用经费及项目经费。</w:t>
      </w:r>
    </w:p>
    <w:p>
      <w:pPr>
        <w:pStyle w:val="9"/>
        <w:ind w:firstLine="640" w:firstLineChars="200"/>
        <w:jc w:val="both"/>
        <w:rPr>
          <w:rFonts w:asciiTheme="minorEastAsia" w:hAnsiTheme="minorEastAsia" w:eastAsiaTheme="minorEastAsia"/>
          <w:sz w:val="32"/>
          <w:szCs w:val="32"/>
        </w:rPr>
      </w:pPr>
      <w:r>
        <w:rPr>
          <w:rFonts w:hint="eastAsia" w:asciiTheme="minorEastAsia" w:hAnsiTheme="minorEastAsia" w:eastAsiaTheme="minorEastAsia"/>
          <w:sz w:val="32"/>
          <w:szCs w:val="32"/>
        </w:rPr>
        <w:t>六、一般公共服务支出（类）财政事务（款）财政国库业务（项）：指上年结转财政国库业务经费。</w:t>
      </w:r>
    </w:p>
    <w:p>
      <w:pPr>
        <w:pStyle w:val="9"/>
        <w:ind w:firstLine="640" w:firstLineChars="200"/>
        <w:jc w:val="both"/>
        <w:rPr>
          <w:rFonts w:asciiTheme="minorEastAsia" w:hAnsiTheme="minorEastAsia" w:eastAsiaTheme="minorEastAsia"/>
          <w:sz w:val="32"/>
          <w:szCs w:val="32"/>
        </w:rPr>
      </w:pPr>
      <w:r>
        <w:rPr>
          <w:rFonts w:hint="eastAsia" w:asciiTheme="minorEastAsia" w:hAnsiTheme="minorEastAsia" w:eastAsiaTheme="minorEastAsia"/>
          <w:sz w:val="32"/>
          <w:szCs w:val="32"/>
        </w:rPr>
        <w:t>七、其他一般公共服务支出（类）其他一般公共服务支出（款）：指计量标准设备专项经费。</w:t>
      </w:r>
    </w:p>
    <w:p>
      <w:pPr>
        <w:pStyle w:val="9"/>
        <w:ind w:firstLine="640" w:firstLineChars="200"/>
        <w:jc w:val="both"/>
        <w:rPr>
          <w:rFonts w:asciiTheme="minorEastAsia" w:hAnsiTheme="minorEastAsia" w:eastAsiaTheme="minorEastAsia"/>
          <w:sz w:val="32"/>
          <w:szCs w:val="32"/>
        </w:rPr>
      </w:pPr>
      <w:r>
        <w:rPr>
          <w:rFonts w:hint="eastAsia" w:asciiTheme="minorEastAsia" w:hAnsiTheme="minorEastAsia" w:eastAsiaTheme="minorEastAsia"/>
          <w:sz w:val="32"/>
          <w:szCs w:val="32"/>
        </w:rPr>
        <w:t>八、社会保障和就业支出（类）行政事业单位离退休（款）机关事业单位基本养老保险缴费支出（项）：指局机关职工基本养老保险缴费支出。</w:t>
      </w:r>
    </w:p>
    <w:p>
      <w:pPr>
        <w:pStyle w:val="9"/>
        <w:ind w:firstLine="640" w:firstLineChars="200"/>
        <w:jc w:val="both"/>
        <w:rPr>
          <w:rFonts w:asciiTheme="minorEastAsia" w:hAnsiTheme="minorEastAsia" w:eastAsiaTheme="minorEastAsia"/>
          <w:sz w:val="32"/>
          <w:szCs w:val="32"/>
        </w:rPr>
      </w:pPr>
      <w:r>
        <w:rPr>
          <w:rFonts w:hint="eastAsia" w:asciiTheme="minorEastAsia" w:hAnsiTheme="minorEastAsia" w:eastAsiaTheme="minorEastAsia"/>
          <w:sz w:val="32"/>
          <w:szCs w:val="32"/>
        </w:rPr>
        <w:t>九、社会保障和就业支出（类）抚恤（款）其他优抚支出（项）：指局职工遗属抚恤金。</w:t>
      </w:r>
    </w:p>
    <w:p>
      <w:pPr>
        <w:pStyle w:val="9"/>
        <w:ind w:firstLine="640" w:firstLineChars="200"/>
        <w:jc w:val="both"/>
        <w:rPr>
          <w:rFonts w:asciiTheme="minorEastAsia" w:hAnsiTheme="minorEastAsia" w:eastAsiaTheme="minorEastAsia"/>
          <w:sz w:val="32"/>
          <w:szCs w:val="32"/>
        </w:rPr>
      </w:pPr>
      <w:r>
        <w:rPr>
          <w:rFonts w:hint="eastAsia" w:asciiTheme="minorEastAsia" w:hAnsiTheme="minorEastAsia" w:eastAsiaTheme="minorEastAsia"/>
          <w:sz w:val="32"/>
          <w:szCs w:val="32"/>
        </w:rPr>
        <w:t>十、社会保障和就业支出（类）财政对基本养老保险基金的补助（款）财政对城乡居民基本养老保险基金的补助（项）：指局机关职工基本养老保险缴费支出。</w:t>
      </w:r>
    </w:p>
    <w:p>
      <w:pPr>
        <w:pStyle w:val="9"/>
        <w:ind w:firstLine="640" w:firstLineChars="200"/>
        <w:jc w:val="both"/>
        <w:rPr>
          <w:rFonts w:asciiTheme="minorEastAsia" w:hAnsiTheme="minorEastAsia" w:eastAsiaTheme="minorEastAsia"/>
          <w:sz w:val="32"/>
          <w:szCs w:val="32"/>
        </w:rPr>
      </w:pPr>
      <w:r>
        <w:rPr>
          <w:rFonts w:hint="eastAsia" w:asciiTheme="minorEastAsia" w:hAnsiTheme="minorEastAsia" w:eastAsiaTheme="minorEastAsia"/>
          <w:sz w:val="32"/>
          <w:szCs w:val="32"/>
        </w:rPr>
        <w:t>十一、卫生健康支出（类）行政事业单位医疗（款）行政单位医疗（项）：指局本级职工医疗保障经费。</w:t>
      </w:r>
    </w:p>
    <w:p>
      <w:pPr>
        <w:pStyle w:val="9"/>
        <w:ind w:firstLine="640" w:firstLineChars="200"/>
        <w:jc w:val="both"/>
        <w:rPr>
          <w:rFonts w:asciiTheme="minorEastAsia" w:hAnsiTheme="minorEastAsia" w:eastAsiaTheme="minorEastAsia"/>
          <w:sz w:val="32"/>
          <w:szCs w:val="32"/>
        </w:rPr>
      </w:pPr>
      <w:r>
        <w:rPr>
          <w:rFonts w:hint="eastAsia" w:asciiTheme="minorEastAsia" w:hAnsiTheme="minorEastAsia" w:eastAsiaTheme="minorEastAsia"/>
          <w:sz w:val="32"/>
          <w:szCs w:val="32"/>
        </w:rPr>
        <w:t>十二、住房保障支出（类）住房改革支出（款）住房公积金（项）：指局本级职工住房公积金。</w:t>
      </w:r>
    </w:p>
    <w:p>
      <w:pPr>
        <w:pStyle w:val="9"/>
        <w:ind w:firstLine="640" w:firstLineChars="200"/>
        <w:jc w:val="both"/>
        <w:rPr>
          <w:rFonts w:asciiTheme="minorEastAsia" w:hAnsiTheme="minorEastAsia" w:eastAsiaTheme="minorEastAsia"/>
          <w:sz w:val="32"/>
          <w:szCs w:val="32"/>
        </w:rPr>
      </w:pPr>
      <w:r>
        <w:rPr>
          <w:rFonts w:hint="eastAsia" w:asciiTheme="minorEastAsia" w:hAnsiTheme="minorEastAsia" w:eastAsiaTheme="minorEastAsia"/>
          <w:sz w:val="32"/>
          <w:szCs w:val="32"/>
        </w:rPr>
        <w:t>十三、基本支出：指为保障机构正常运转、完成日常工作任务而发生的人员支出和公用支出。</w:t>
      </w:r>
    </w:p>
    <w:p>
      <w:pPr>
        <w:pStyle w:val="9"/>
        <w:ind w:firstLine="640" w:firstLineChars="200"/>
        <w:jc w:val="both"/>
        <w:rPr>
          <w:rFonts w:asciiTheme="minorEastAsia" w:hAnsiTheme="minorEastAsia" w:eastAsiaTheme="minorEastAsia"/>
          <w:sz w:val="32"/>
          <w:szCs w:val="32"/>
        </w:rPr>
      </w:pPr>
      <w:r>
        <w:rPr>
          <w:rFonts w:hint="eastAsia" w:asciiTheme="minorEastAsia" w:hAnsiTheme="minorEastAsia" w:eastAsiaTheme="minorEastAsia"/>
          <w:sz w:val="32"/>
          <w:szCs w:val="32"/>
        </w:rPr>
        <w:t>十四、项目支出：指在基本支出之外，为完成特定行政任务和事业发展目标所发生的支出。</w:t>
      </w:r>
    </w:p>
    <w:p>
      <w:pPr>
        <w:pStyle w:val="9"/>
        <w:ind w:firstLine="640" w:firstLineChars="200"/>
        <w:jc w:val="both"/>
        <w:rPr>
          <w:rFonts w:asciiTheme="minorEastAsia" w:hAnsiTheme="minorEastAsia" w:eastAsiaTheme="minorEastAsia"/>
          <w:sz w:val="32"/>
          <w:szCs w:val="32"/>
        </w:rPr>
      </w:pPr>
      <w:r>
        <w:rPr>
          <w:rFonts w:hint="eastAsia" w:asciiTheme="minorEastAsia" w:hAnsiTheme="minorEastAsia" w:eastAsiaTheme="minorEastAsia"/>
          <w:sz w:val="32"/>
          <w:szCs w:val="32"/>
        </w:rPr>
        <w:t>十五、“三公”经费：指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安全奖励费用等支出；公务接待费反映单位按规定开支的各类公务接待（含外宾接待）支出。</w:t>
      </w:r>
    </w:p>
    <w:p>
      <w:pPr>
        <w:pStyle w:val="9"/>
        <w:ind w:firstLine="640" w:firstLineChars="200"/>
        <w:jc w:val="both"/>
        <w:rPr>
          <w:sz w:val="72"/>
          <w:szCs w:val="72"/>
        </w:rPr>
      </w:pPr>
      <w:r>
        <w:rPr>
          <w:rFonts w:hint="eastAsia" w:asciiTheme="minorEastAsia" w:hAnsiTheme="minorEastAsia" w:eastAsiaTheme="minorEastAsia"/>
          <w:sz w:val="32"/>
          <w:szCs w:val="32"/>
        </w:rPr>
        <w:t>十六、机关运行经费：指为局本级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pPr>
        <w:pStyle w:val="9"/>
        <w:jc w:val="both"/>
        <w:rPr>
          <w:sz w:val="72"/>
          <w:szCs w:val="72"/>
        </w:rPr>
      </w:pPr>
    </w:p>
    <w:p>
      <w:pPr>
        <w:pStyle w:val="9"/>
        <w:jc w:val="center"/>
        <w:rPr>
          <w:sz w:val="72"/>
          <w:szCs w:val="72"/>
        </w:rPr>
      </w:pPr>
    </w:p>
    <w:p>
      <w:pPr>
        <w:pStyle w:val="9"/>
        <w:jc w:val="center"/>
        <w:rPr>
          <w:sz w:val="72"/>
          <w:szCs w:val="72"/>
        </w:rPr>
      </w:pPr>
    </w:p>
    <w:p>
      <w:pPr>
        <w:pStyle w:val="9"/>
        <w:jc w:val="center"/>
        <w:rPr>
          <w:sz w:val="72"/>
          <w:szCs w:val="72"/>
        </w:rPr>
      </w:pPr>
    </w:p>
    <w:p>
      <w:pPr>
        <w:pStyle w:val="9"/>
        <w:jc w:val="center"/>
        <w:rPr>
          <w:sz w:val="72"/>
          <w:szCs w:val="72"/>
        </w:rPr>
      </w:pPr>
    </w:p>
    <w:p>
      <w:pPr>
        <w:pStyle w:val="9"/>
        <w:jc w:val="center"/>
        <w:rPr>
          <w:sz w:val="72"/>
          <w:szCs w:val="72"/>
        </w:rPr>
      </w:pPr>
      <w:r>
        <w:rPr>
          <w:rFonts w:hint="eastAsia"/>
          <w:sz w:val="72"/>
          <w:szCs w:val="72"/>
        </w:rPr>
        <w:t>第五部分</w:t>
      </w:r>
    </w:p>
    <w:p>
      <w:pPr>
        <w:jc w:val="center"/>
        <w:rPr>
          <w:rFonts w:ascii="黑体" w:eastAsia="黑体" w:cs="黑体"/>
          <w:color w:val="000000"/>
          <w:kern w:val="0"/>
          <w:sz w:val="70"/>
          <w:szCs w:val="70"/>
        </w:rPr>
      </w:pPr>
    </w:p>
    <w:p>
      <w:pPr>
        <w:jc w:val="center"/>
        <w:rPr>
          <w:rFonts w:ascii="黑体" w:eastAsia="黑体" w:cs="黑体"/>
          <w:color w:val="000000"/>
          <w:kern w:val="0"/>
          <w:sz w:val="70"/>
          <w:szCs w:val="70"/>
        </w:rPr>
      </w:pPr>
      <w:r>
        <w:rPr>
          <w:rFonts w:hint="eastAsia" w:ascii="黑体" w:eastAsia="黑体" w:cs="黑体"/>
          <w:color w:val="000000"/>
          <w:kern w:val="0"/>
          <w:sz w:val="70"/>
          <w:szCs w:val="70"/>
        </w:rPr>
        <w:t>附件</w:t>
      </w:r>
    </w:p>
    <w:p>
      <w:pPr>
        <w:widowControl/>
        <w:jc w:val="left"/>
        <w:rPr>
          <w:rFonts w:ascii="黑体" w:eastAsia="黑体" w:cs="黑体"/>
          <w:color w:val="000000"/>
          <w:kern w:val="0"/>
          <w:sz w:val="70"/>
          <w:szCs w:val="70"/>
        </w:rPr>
      </w:pPr>
      <w:r>
        <w:rPr>
          <w:rFonts w:ascii="黑体" w:eastAsia="黑体" w:cs="黑体"/>
          <w:color w:val="000000"/>
          <w:kern w:val="0"/>
          <w:sz w:val="70"/>
          <w:szCs w:val="70"/>
        </w:rPr>
        <w:br w:type="page"/>
      </w:r>
    </w:p>
    <w:p>
      <w:pPr>
        <w:jc w:val="center"/>
        <w:rPr>
          <w:rFonts w:asciiTheme="majorEastAsia" w:hAnsiTheme="majorEastAsia" w:eastAsiaTheme="majorEastAsia" w:cstheme="majorEastAsia"/>
          <w:b/>
          <w:bCs/>
          <w:kern w:val="0"/>
          <w:sz w:val="24"/>
          <w:szCs w:val="24"/>
        </w:rPr>
      </w:pPr>
    </w:p>
    <w:p>
      <w:pPr>
        <w:jc w:val="center"/>
        <w:rPr>
          <w:rFonts w:ascii="宋体" w:hAnsi="宋体" w:eastAsia="宋体" w:cstheme="majorEastAsia"/>
          <w:b/>
          <w:bCs/>
          <w:kern w:val="0"/>
          <w:sz w:val="44"/>
          <w:szCs w:val="44"/>
        </w:rPr>
      </w:pPr>
      <w:r>
        <w:rPr>
          <w:rFonts w:hint="eastAsia" w:ascii="宋体" w:hAnsi="宋体" w:eastAsia="宋体" w:cstheme="majorEastAsia"/>
          <w:b/>
          <w:bCs/>
          <w:kern w:val="0"/>
          <w:sz w:val="44"/>
          <w:szCs w:val="44"/>
        </w:rPr>
        <w:t>衡南县市场监督管理局</w:t>
      </w:r>
    </w:p>
    <w:p>
      <w:pPr>
        <w:jc w:val="center"/>
        <w:rPr>
          <w:rFonts w:ascii="宋体" w:hAnsi="宋体" w:eastAsia="宋体" w:cstheme="majorEastAsia"/>
          <w:b/>
          <w:bCs/>
          <w:kern w:val="0"/>
          <w:sz w:val="44"/>
          <w:szCs w:val="44"/>
        </w:rPr>
      </w:pPr>
      <w:r>
        <w:rPr>
          <w:rFonts w:hint="eastAsia" w:ascii="宋体" w:hAnsi="宋体" w:eastAsia="宋体" w:cstheme="majorEastAsia"/>
          <w:b/>
          <w:bCs/>
          <w:kern w:val="0"/>
          <w:sz w:val="44"/>
          <w:szCs w:val="44"/>
        </w:rPr>
        <w:t>部门整体支出绩效自评报告</w:t>
      </w:r>
    </w:p>
    <w:p>
      <w:pPr>
        <w:spacing w:line="560" w:lineRule="exact"/>
        <w:rPr>
          <w:rFonts w:ascii="仿宋" w:hAnsi="仿宋" w:eastAsia="仿宋" w:cs="仿宋"/>
          <w:b/>
          <w:bCs/>
          <w:kern w:val="0"/>
          <w:sz w:val="32"/>
          <w:szCs w:val="32"/>
        </w:rPr>
      </w:pPr>
    </w:p>
    <w:p>
      <w:pPr>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为全面贯彻落实《中共湖南省委办公厅 湖南省人民政府办公厅关于全面实施预算绩效管理的实施意见》（湘办发</w:t>
      </w:r>
      <w:r>
        <w:rPr>
          <w:rFonts w:ascii="仿宋_GB2312" w:hAnsi="仿宋_GB2312" w:eastAsia="仿宋_GB2312" w:cs="仿宋_GB2312"/>
          <w:kern w:val="0"/>
          <w:sz w:val="32"/>
          <w:szCs w:val="32"/>
        </w:rPr>
        <w:t>[2019]10</w:t>
      </w:r>
      <w:r>
        <w:rPr>
          <w:rFonts w:hint="eastAsia" w:ascii="仿宋_GB2312" w:hAnsi="仿宋_GB2312" w:eastAsia="仿宋_GB2312" w:cs="仿宋_GB2312"/>
          <w:kern w:val="0"/>
          <w:sz w:val="32"/>
          <w:szCs w:val="32"/>
        </w:rPr>
        <w:t>号）,</w:t>
      </w:r>
      <w:r>
        <w:rPr>
          <w:rFonts w:hint="eastAsia"/>
        </w:rPr>
        <w:t xml:space="preserve"> </w:t>
      </w:r>
      <w:r>
        <w:rPr>
          <w:rFonts w:hint="eastAsia" w:ascii="仿宋_GB2312" w:hAnsi="仿宋_GB2312" w:eastAsia="仿宋_GB2312" w:cs="仿宋_GB2312"/>
          <w:kern w:val="0"/>
          <w:sz w:val="32"/>
          <w:szCs w:val="32"/>
        </w:rPr>
        <w:t>财政部《项目支出绩效评价管理办法》（财预〔</w:t>
      </w:r>
      <w:r>
        <w:rPr>
          <w:rFonts w:ascii="仿宋_GB2312" w:hAnsi="仿宋_GB2312" w:eastAsia="仿宋_GB2312" w:cs="仿宋_GB2312"/>
          <w:kern w:val="0"/>
          <w:sz w:val="32"/>
          <w:szCs w:val="32"/>
        </w:rPr>
        <w:t>2020〕10号）、《湖南省预算支出绩效评价管理办法》（湘财绩〔2020〕7号）等文件精神，</w:t>
      </w:r>
      <w:r>
        <w:rPr>
          <w:rFonts w:hint="eastAsia" w:ascii="仿宋_GB2312" w:hAnsi="仿宋_GB2312" w:eastAsia="仿宋_GB2312" w:cs="仿宋_GB2312"/>
          <w:kern w:val="0"/>
          <w:sz w:val="32"/>
          <w:szCs w:val="32"/>
        </w:rPr>
        <w:t>现将</w:t>
      </w:r>
      <w:r>
        <w:rPr>
          <w:rFonts w:ascii="仿宋_GB2312" w:hAnsi="仿宋_GB2312" w:eastAsia="仿宋_GB2312" w:cs="仿宋_GB2312"/>
          <w:kern w:val="0"/>
          <w:sz w:val="32"/>
          <w:szCs w:val="32"/>
        </w:rPr>
        <w:t>2020</w:t>
      </w:r>
      <w:r>
        <w:rPr>
          <w:rFonts w:hint="eastAsia" w:ascii="仿宋_GB2312" w:hAnsi="仿宋_GB2312" w:eastAsia="仿宋_GB2312" w:cs="仿宋_GB2312"/>
          <w:kern w:val="0"/>
          <w:sz w:val="32"/>
          <w:szCs w:val="32"/>
        </w:rPr>
        <w:t>年度本单位整体支出绩效评价情况报告如下：</w:t>
      </w:r>
    </w:p>
    <w:p>
      <w:pPr>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b/>
          <w:bCs/>
          <w:kern w:val="0"/>
          <w:sz w:val="32"/>
          <w:szCs w:val="32"/>
        </w:rPr>
        <w:t>一、部门基本情况</w:t>
      </w:r>
    </w:p>
    <w:p>
      <w:pPr>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（一）部门职责</w:t>
      </w:r>
    </w:p>
    <w:p>
      <w:pPr>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我局贯彻落实党中央关于市场监督管理工作的方针政策，全面贯彻落实省委、市委关于市场监督管理工作的部署要求，作为县政府工作部门，主要负责市场综合监督管理、食品药品安全监管、产品质量监管、知识产权保护等方面的工作。</w:t>
      </w:r>
    </w:p>
    <w:p>
      <w:pPr>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（二）机构设置</w:t>
      </w:r>
    </w:p>
    <w:p>
      <w:pPr>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全局共设内设办公室、政策法规股等机构</w:t>
      </w:r>
      <w:r>
        <w:rPr>
          <w:rFonts w:ascii="仿宋_GB2312" w:hAnsi="仿宋_GB2312" w:eastAsia="仿宋_GB2312" w:cs="仿宋_GB2312"/>
          <w:kern w:val="0"/>
          <w:sz w:val="32"/>
          <w:szCs w:val="32"/>
        </w:rPr>
        <w:t>26个，派出机构（乡镇监管所）13个</w:t>
      </w:r>
      <w:r>
        <w:rPr>
          <w:rFonts w:hint="eastAsia" w:ascii="仿宋_GB2312" w:hAnsi="仿宋_GB2312" w:eastAsia="仿宋_GB2312" w:cs="仿宋_GB2312"/>
          <w:kern w:val="0"/>
          <w:sz w:val="32"/>
          <w:szCs w:val="32"/>
        </w:rPr>
        <w:t>。</w:t>
      </w:r>
    </w:p>
    <w:p>
      <w:pPr>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（三）人员编制情况</w:t>
      </w:r>
    </w:p>
    <w:p>
      <w:pPr>
        <w:spacing w:line="560" w:lineRule="exact"/>
        <w:ind w:firstLine="640" w:firstLineChars="200"/>
        <w:rPr>
          <w:rFonts w:ascii="仿宋_GB2312" w:hAnsi="仿宋_GB2312" w:eastAsia="仿宋_GB2312" w:cs="仿宋_GB2312"/>
          <w:kern w:val="0"/>
          <w:sz w:val="32"/>
          <w:szCs w:val="32"/>
        </w:rPr>
      </w:pPr>
      <w:r>
        <w:rPr>
          <w:rFonts w:ascii="仿宋_GB2312" w:hAnsi="仿宋_GB2312" w:eastAsia="仿宋_GB2312" w:cs="仿宋_GB2312"/>
          <w:kern w:val="0"/>
          <w:sz w:val="32"/>
          <w:szCs w:val="32"/>
        </w:rPr>
        <w:t>在职干部职工259人</w:t>
      </w:r>
      <w:r>
        <w:rPr>
          <w:rFonts w:hint="eastAsia" w:ascii="仿宋_GB2312" w:hAnsi="仿宋_GB2312" w:eastAsia="仿宋_GB2312" w:cs="仿宋_GB2312"/>
          <w:kern w:val="0"/>
          <w:sz w:val="32"/>
          <w:szCs w:val="32"/>
        </w:rPr>
        <w:t>，其中</w:t>
      </w:r>
      <w:r>
        <w:rPr>
          <w:rFonts w:ascii="仿宋_GB2312" w:hAnsi="仿宋_GB2312" w:eastAsia="仿宋_GB2312" w:cs="仿宋_GB2312"/>
          <w:kern w:val="0"/>
          <w:sz w:val="32"/>
          <w:szCs w:val="32"/>
        </w:rPr>
        <w:t>,</w:t>
      </w:r>
      <w:r>
        <w:rPr>
          <w:rFonts w:hint="eastAsia" w:ascii="仿宋_GB2312" w:hAnsi="仿宋_GB2312" w:eastAsia="仿宋_GB2312" w:cs="仿宋_GB2312"/>
          <w:kern w:val="0"/>
          <w:sz w:val="32"/>
          <w:szCs w:val="32"/>
        </w:rPr>
        <w:t>行政编制</w:t>
      </w:r>
      <w:r>
        <w:rPr>
          <w:rFonts w:ascii="仿宋_GB2312" w:hAnsi="仿宋_GB2312" w:eastAsia="仿宋_GB2312" w:cs="仿宋_GB2312"/>
          <w:kern w:val="0"/>
          <w:sz w:val="32"/>
          <w:szCs w:val="32"/>
        </w:rPr>
        <w:t>130</w:t>
      </w:r>
      <w:r>
        <w:rPr>
          <w:rFonts w:hint="eastAsia" w:ascii="仿宋_GB2312" w:hAnsi="仿宋_GB2312" w:eastAsia="仿宋_GB2312" w:cs="仿宋_GB2312"/>
          <w:kern w:val="0"/>
          <w:sz w:val="32"/>
          <w:szCs w:val="32"/>
        </w:rPr>
        <w:t>人，全额事业编</w:t>
      </w:r>
      <w:r>
        <w:rPr>
          <w:rFonts w:ascii="仿宋_GB2312" w:hAnsi="仿宋_GB2312" w:eastAsia="仿宋_GB2312" w:cs="仿宋_GB2312"/>
          <w:kern w:val="0"/>
          <w:sz w:val="32"/>
          <w:szCs w:val="32"/>
        </w:rPr>
        <w:t>57</w:t>
      </w:r>
      <w:r>
        <w:rPr>
          <w:rFonts w:hint="eastAsia" w:ascii="仿宋_GB2312" w:hAnsi="仿宋_GB2312" w:eastAsia="仿宋_GB2312" w:cs="仿宋_GB2312"/>
          <w:kern w:val="0"/>
          <w:sz w:val="32"/>
          <w:szCs w:val="32"/>
        </w:rPr>
        <w:t>人，差额编制</w:t>
      </w:r>
      <w:r>
        <w:rPr>
          <w:rFonts w:ascii="仿宋_GB2312" w:hAnsi="仿宋_GB2312" w:eastAsia="仿宋_GB2312" w:cs="仿宋_GB2312"/>
          <w:kern w:val="0"/>
          <w:sz w:val="32"/>
          <w:szCs w:val="32"/>
        </w:rPr>
        <w:t>18</w:t>
      </w:r>
      <w:r>
        <w:rPr>
          <w:rFonts w:hint="eastAsia" w:ascii="仿宋_GB2312" w:hAnsi="仿宋_GB2312" w:eastAsia="仿宋_GB2312" w:cs="仿宋_GB2312"/>
          <w:kern w:val="0"/>
          <w:sz w:val="32"/>
          <w:szCs w:val="32"/>
        </w:rPr>
        <w:t>人，自费编制1</w:t>
      </w:r>
      <w:r>
        <w:rPr>
          <w:rFonts w:ascii="仿宋_GB2312" w:hAnsi="仿宋_GB2312" w:eastAsia="仿宋_GB2312" w:cs="仿宋_GB2312"/>
          <w:kern w:val="0"/>
          <w:sz w:val="32"/>
          <w:szCs w:val="32"/>
        </w:rPr>
        <w:t>8</w:t>
      </w:r>
      <w:r>
        <w:rPr>
          <w:rFonts w:hint="eastAsia" w:ascii="仿宋_GB2312" w:hAnsi="仿宋_GB2312" w:eastAsia="仿宋_GB2312" w:cs="仿宋_GB2312"/>
          <w:kern w:val="0"/>
          <w:sz w:val="32"/>
          <w:szCs w:val="32"/>
        </w:rPr>
        <w:t>人。</w:t>
      </w:r>
    </w:p>
    <w:p>
      <w:pPr>
        <w:spacing w:line="560" w:lineRule="exact"/>
        <w:ind w:firstLine="640" w:firstLineChars="200"/>
        <w:rPr>
          <w:rFonts w:ascii="仿宋_GB2312" w:hAnsi="仿宋_GB2312" w:eastAsia="仿宋_GB2312" w:cs="仿宋_GB2312"/>
          <w:b/>
          <w:bCs/>
          <w:kern w:val="0"/>
          <w:sz w:val="32"/>
          <w:szCs w:val="32"/>
        </w:rPr>
      </w:pPr>
      <w:r>
        <w:rPr>
          <w:rFonts w:hint="eastAsia" w:ascii="仿宋_GB2312" w:hAnsi="仿宋_GB2312" w:eastAsia="仿宋_GB2312" w:cs="仿宋_GB2312"/>
          <w:b/>
          <w:bCs/>
          <w:kern w:val="0"/>
          <w:sz w:val="32"/>
          <w:szCs w:val="32"/>
        </w:rPr>
        <w:t>二、部门整体支出管理及使用情况</w:t>
      </w:r>
    </w:p>
    <w:p>
      <w:pPr>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我局</w:t>
      </w:r>
      <w:r>
        <w:rPr>
          <w:rFonts w:ascii="仿宋_GB2312" w:hAnsi="仿宋_GB2312" w:eastAsia="仿宋_GB2312" w:cs="仿宋_GB2312"/>
          <w:kern w:val="0"/>
          <w:sz w:val="32"/>
          <w:szCs w:val="32"/>
        </w:rPr>
        <w:t>2020</w:t>
      </w:r>
      <w:r>
        <w:rPr>
          <w:rFonts w:hint="eastAsia" w:ascii="仿宋_GB2312" w:hAnsi="仿宋_GB2312" w:eastAsia="仿宋_GB2312" w:cs="仿宋_GB2312"/>
          <w:kern w:val="0"/>
          <w:sz w:val="32"/>
          <w:szCs w:val="32"/>
        </w:rPr>
        <w:t>年部门整体支出分为基本支出和项目支出两部分，其中基本支出</w:t>
      </w:r>
      <w:r>
        <w:rPr>
          <w:rFonts w:ascii="仿宋_GB2312" w:hAnsi="仿宋_GB2312" w:eastAsia="仿宋_GB2312" w:cs="仿宋_GB2312"/>
          <w:kern w:val="0"/>
          <w:sz w:val="32"/>
          <w:szCs w:val="32"/>
        </w:rPr>
        <w:t>3321.38</w:t>
      </w:r>
      <w:r>
        <w:rPr>
          <w:rFonts w:hint="eastAsia" w:ascii="仿宋_GB2312" w:hAnsi="仿宋_GB2312" w:eastAsia="仿宋_GB2312" w:cs="仿宋_GB2312"/>
          <w:kern w:val="0"/>
          <w:sz w:val="32"/>
          <w:szCs w:val="32"/>
        </w:rPr>
        <w:t>万元，项目支出</w:t>
      </w:r>
      <w:r>
        <w:rPr>
          <w:rFonts w:ascii="仿宋_GB2312" w:hAnsi="仿宋_GB2312" w:eastAsia="仿宋_GB2312" w:cs="仿宋_GB2312"/>
          <w:kern w:val="0"/>
          <w:sz w:val="32"/>
          <w:szCs w:val="32"/>
        </w:rPr>
        <w:t>381.71</w:t>
      </w:r>
      <w:r>
        <w:rPr>
          <w:rFonts w:hint="eastAsia" w:ascii="仿宋_GB2312" w:hAnsi="仿宋_GB2312" w:eastAsia="仿宋_GB2312" w:cs="仿宋_GB2312"/>
          <w:kern w:val="0"/>
          <w:sz w:val="32"/>
          <w:szCs w:val="32"/>
        </w:rPr>
        <w:t>万元，</w:t>
      </w:r>
      <w:r>
        <w:rPr>
          <w:rFonts w:ascii="仿宋_GB2312" w:hAnsi="仿宋_GB2312" w:eastAsia="仿宋_GB2312" w:cs="仿宋_GB2312"/>
          <w:kern w:val="0"/>
          <w:sz w:val="32"/>
          <w:szCs w:val="32"/>
        </w:rPr>
        <w:t>2020</w:t>
      </w:r>
      <w:r>
        <w:rPr>
          <w:rFonts w:hint="eastAsia" w:ascii="仿宋_GB2312" w:hAnsi="仿宋_GB2312" w:eastAsia="仿宋_GB2312" w:cs="仿宋_GB2312"/>
          <w:kern w:val="0"/>
          <w:sz w:val="32"/>
          <w:szCs w:val="32"/>
        </w:rPr>
        <w:t>年决算数合计</w:t>
      </w:r>
      <w:r>
        <w:rPr>
          <w:rFonts w:ascii="仿宋_GB2312" w:hAnsi="仿宋_GB2312" w:eastAsia="仿宋_GB2312" w:cs="仿宋_GB2312"/>
          <w:kern w:val="0"/>
          <w:sz w:val="32"/>
          <w:szCs w:val="32"/>
        </w:rPr>
        <w:t>3703.09</w:t>
      </w:r>
      <w:r>
        <w:rPr>
          <w:rFonts w:hint="eastAsia" w:ascii="仿宋_GB2312" w:hAnsi="仿宋_GB2312" w:eastAsia="仿宋_GB2312" w:cs="仿宋_GB2312"/>
          <w:kern w:val="0"/>
          <w:sz w:val="32"/>
          <w:szCs w:val="32"/>
        </w:rPr>
        <w:t>万元。</w:t>
      </w:r>
    </w:p>
    <w:p>
      <w:pPr>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1.</w:t>
      </w:r>
      <w:r>
        <w:rPr>
          <w:rFonts w:hint="eastAsia"/>
        </w:rPr>
        <w:t xml:space="preserve"> </w:t>
      </w:r>
      <w:r>
        <w:rPr>
          <w:rFonts w:hint="eastAsia" w:ascii="仿宋_GB2312" w:hAnsi="仿宋_GB2312" w:eastAsia="仿宋_GB2312" w:cs="仿宋_GB2312"/>
          <w:kern w:val="0"/>
          <w:sz w:val="32"/>
          <w:szCs w:val="32"/>
        </w:rPr>
        <w:t>基本支出管理情况</w:t>
      </w:r>
    </w:p>
    <w:p>
      <w:pPr>
        <w:spacing w:line="560" w:lineRule="exact"/>
        <w:ind w:firstLine="640" w:firstLineChars="200"/>
        <w:rPr>
          <w:rFonts w:ascii="仿宋_GB2312" w:hAnsi="仿宋_GB2312" w:eastAsia="仿宋_GB2312" w:cs="仿宋_GB2312"/>
          <w:kern w:val="0"/>
          <w:sz w:val="32"/>
          <w:szCs w:val="32"/>
        </w:rPr>
      </w:pPr>
      <w:r>
        <w:rPr>
          <w:rFonts w:ascii="仿宋_GB2312" w:hAnsi="仿宋_GB2312" w:eastAsia="仿宋_GB2312" w:cs="仿宋_GB2312"/>
          <w:kern w:val="0"/>
          <w:sz w:val="32"/>
          <w:szCs w:val="32"/>
        </w:rPr>
        <w:t>2020年基本支出主要用于人员经费和日常公用经费。其中：工资福利支出2718.85万元，一般商品和服务支出449.02万元，对个人和家庭补助63.29万元，</w:t>
      </w:r>
      <w:r>
        <w:rPr>
          <w:rFonts w:hint="eastAsia" w:ascii="仿宋_GB2312" w:hAnsi="仿宋_GB2312" w:eastAsia="仿宋_GB2312" w:cs="仿宋_GB2312"/>
          <w:kern w:val="0"/>
          <w:sz w:val="32"/>
          <w:szCs w:val="32"/>
        </w:rPr>
        <w:t>资本性支出</w:t>
      </w:r>
      <w:r>
        <w:rPr>
          <w:rFonts w:ascii="仿宋_GB2312" w:hAnsi="仿宋_GB2312" w:eastAsia="仿宋_GB2312" w:cs="仿宋_GB2312"/>
          <w:kern w:val="0"/>
          <w:sz w:val="32"/>
          <w:szCs w:val="32"/>
        </w:rPr>
        <w:t>90.22</w:t>
      </w:r>
      <w:r>
        <w:rPr>
          <w:rFonts w:hint="eastAsia" w:ascii="仿宋_GB2312" w:hAnsi="仿宋_GB2312" w:eastAsia="仿宋_GB2312" w:cs="仿宋_GB2312"/>
          <w:kern w:val="0"/>
          <w:sz w:val="32"/>
          <w:szCs w:val="32"/>
        </w:rPr>
        <w:t>万元</w:t>
      </w:r>
      <w:r>
        <w:rPr>
          <w:rFonts w:ascii="仿宋_GB2312" w:hAnsi="仿宋_GB2312" w:eastAsia="仿宋_GB2312" w:cs="仿宋_GB2312"/>
          <w:kern w:val="0"/>
          <w:sz w:val="32"/>
          <w:szCs w:val="32"/>
        </w:rPr>
        <w:t>。</w:t>
      </w:r>
    </w:p>
    <w:p>
      <w:pPr>
        <w:spacing w:line="560" w:lineRule="exact"/>
        <w:ind w:firstLine="640" w:firstLineChars="200"/>
        <w:rPr>
          <w:rFonts w:ascii="仿宋_GB2312" w:hAnsi="仿宋_GB2312" w:eastAsia="仿宋_GB2312" w:cs="仿宋_GB2312"/>
          <w:kern w:val="0"/>
          <w:sz w:val="32"/>
          <w:szCs w:val="32"/>
        </w:rPr>
      </w:pPr>
      <w:r>
        <w:rPr>
          <w:rFonts w:ascii="仿宋_GB2312" w:hAnsi="仿宋_GB2312" w:eastAsia="仿宋_GB2312" w:cs="仿宋_GB2312"/>
          <w:kern w:val="0"/>
          <w:sz w:val="32"/>
          <w:szCs w:val="32"/>
        </w:rPr>
        <w:t>2</w:t>
      </w:r>
      <w:r>
        <w:rPr>
          <w:rFonts w:hint="eastAsia" w:ascii="仿宋_GB2312" w:hAnsi="仿宋_GB2312" w:eastAsia="仿宋_GB2312" w:cs="仿宋_GB2312"/>
          <w:kern w:val="0"/>
          <w:sz w:val="32"/>
          <w:szCs w:val="32"/>
        </w:rPr>
        <w:t>.“三公”经费情况</w:t>
      </w:r>
    </w:p>
    <w:p>
      <w:pPr>
        <w:spacing w:line="560" w:lineRule="exact"/>
        <w:ind w:firstLine="640" w:firstLineChars="200"/>
        <w:rPr>
          <w:rFonts w:ascii="仿宋_GB2312" w:hAnsi="仿宋_GB2312" w:eastAsia="仿宋_GB2312" w:cs="仿宋_GB2312"/>
          <w:kern w:val="0"/>
          <w:sz w:val="32"/>
          <w:szCs w:val="32"/>
        </w:rPr>
      </w:pPr>
      <w:r>
        <w:rPr>
          <w:rFonts w:ascii="仿宋_GB2312" w:hAnsi="仿宋_GB2312" w:eastAsia="仿宋_GB2312" w:cs="仿宋_GB2312"/>
          <w:kern w:val="0"/>
          <w:sz w:val="32"/>
          <w:szCs w:val="32"/>
        </w:rPr>
        <w:t>2020年“三公”经费开支25.7万元,其中,公务接待费2.76万元,公务用车购置及运行维护费22.94万元，无因公出国出境开支。</w:t>
      </w:r>
    </w:p>
    <w:p>
      <w:pPr>
        <w:spacing w:line="560" w:lineRule="exact"/>
        <w:ind w:firstLine="640" w:firstLineChars="200"/>
        <w:rPr>
          <w:rFonts w:ascii="仿宋_GB2312" w:hAnsi="仿宋_GB2312" w:eastAsia="仿宋_GB2312" w:cs="仿宋_GB2312"/>
          <w:kern w:val="0"/>
          <w:sz w:val="32"/>
          <w:szCs w:val="32"/>
        </w:rPr>
      </w:pPr>
      <w:r>
        <w:rPr>
          <w:rFonts w:ascii="仿宋_GB2312" w:hAnsi="仿宋_GB2312" w:eastAsia="仿宋_GB2312" w:cs="仿宋_GB2312"/>
          <w:kern w:val="0"/>
          <w:sz w:val="32"/>
          <w:szCs w:val="32"/>
        </w:rPr>
        <w:t>3.</w:t>
      </w:r>
      <w:r>
        <w:rPr>
          <w:rFonts w:hint="eastAsia" w:ascii="仿宋_GB2312" w:hAnsi="仿宋_GB2312" w:eastAsia="仿宋_GB2312" w:cs="仿宋_GB2312"/>
          <w:kern w:val="0"/>
          <w:sz w:val="32"/>
          <w:szCs w:val="32"/>
        </w:rPr>
        <w:t>项目支出</w:t>
      </w:r>
      <w:r>
        <w:rPr>
          <w:rFonts w:ascii="仿宋_GB2312" w:hAnsi="仿宋_GB2312" w:eastAsia="仿宋_GB2312" w:cs="仿宋_GB2312"/>
          <w:kern w:val="0"/>
          <w:sz w:val="32"/>
          <w:szCs w:val="32"/>
        </w:rPr>
        <w:t>情况</w:t>
      </w:r>
    </w:p>
    <w:p>
      <w:pPr>
        <w:spacing w:line="560" w:lineRule="exact"/>
        <w:ind w:firstLine="640" w:firstLineChars="200"/>
        <w:rPr>
          <w:rFonts w:ascii="仿宋_GB2312" w:hAnsi="仿宋_GB2312" w:eastAsia="仿宋_GB2312" w:cs="仿宋_GB2312"/>
          <w:kern w:val="0"/>
          <w:sz w:val="32"/>
          <w:szCs w:val="32"/>
        </w:rPr>
      </w:pPr>
      <w:r>
        <w:rPr>
          <w:rFonts w:ascii="仿宋_GB2312" w:hAnsi="仿宋_GB2312" w:eastAsia="仿宋_GB2312" w:cs="仿宋_GB2312"/>
          <w:kern w:val="0"/>
          <w:sz w:val="32"/>
          <w:szCs w:val="32"/>
        </w:rPr>
        <w:t>2020年</w:t>
      </w:r>
      <w:r>
        <w:rPr>
          <w:rFonts w:hint="eastAsia" w:ascii="仿宋_GB2312" w:hAnsi="仿宋_GB2312" w:eastAsia="仿宋_GB2312" w:cs="仿宋_GB2312"/>
          <w:kern w:val="0"/>
          <w:sz w:val="32"/>
          <w:szCs w:val="32"/>
        </w:rPr>
        <w:t>项目支出</w:t>
      </w:r>
      <w:r>
        <w:rPr>
          <w:rFonts w:ascii="仿宋_GB2312" w:hAnsi="仿宋_GB2312" w:eastAsia="仿宋_GB2312" w:cs="仿宋_GB2312"/>
          <w:kern w:val="0"/>
          <w:sz w:val="32"/>
          <w:szCs w:val="32"/>
        </w:rPr>
        <w:t>381.71</w:t>
      </w:r>
      <w:r>
        <w:rPr>
          <w:rFonts w:hint="eastAsia" w:ascii="仿宋_GB2312" w:hAnsi="仿宋_GB2312" w:eastAsia="仿宋_GB2312" w:cs="仿宋_GB2312"/>
          <w:kern w:val="0"/>
          <w:sz w:val="32"/>
          <w:szCs w:val="32"/>
        </w:rPr>
        <w:t>万元，其中市场监督管理</w:t>
      </w:r>
      <w:r>
        <w:rPr>
          <w:rFonts w:ascii="仿宋_GB2312" w:hAnsi="仿宋_GB2312" w:eastAsia="仿宋_GB2312" w:cs="仿宋_GB2312"/>
          <w:kern w:val="0"/>
          <w:sz w:val="32"/>
          <w:szCs w:val="32"/>
        </w:rPr>
        <w:t>工作经费114.81万元,系保障执法办案、打击传销、</w:t>
      </w:r>
      <w:r>
        <w:rPr>
          <w:rFonts w:hint="eastAsia" w:ascii="仿宋_GB2312" w:hAnsi="仿宋_GB2312" w:eastAsia="仿宋_GB2312" w:cs="仿宋_GB2312"/>
          <w:kern w:val="0"/>
          <w:sz w:val="32"/>
          <w:szCs w:val="32"/>
        </w:rPr>
        <w:t>价格监督与反垄断</w:t>
      </w:r>
      <w:r>
        <w:rPr>
          <w:rFonts w:ascii="仿宋_GB2312" w:hAnsi="仿宋_GB2312" w:eastAsia="仿宋_GB2312" w:cs="仿宋_GB2312"/>
          <w:kern w:val="0"/>
          <w:sz w:val="32"/>
          <w:szCs w:val="32"/>
        </w:rPr>
        <w:t>等支出；质量技术监督与检验检疫工作经费22.5万元，系</w:t>
      </w:r>
      <w:r>
        <w:rPr>
          <w:rFonts w:hint="eastAsia" w:ascii="仿宋_GB2312" w:hAnsi="仿宋_GB2312" w:eastAsia="仿宋_GB2312" w:cs="仿宋_GB2312"/>
          <w:kern w:val="0"/>
          <w:sz w:val="32"/>
          <w:szCs w:val="32"/>
        </w:rPr>
        <w:t>计量检测办案经费和标准设备经费</w:t>
      </w:r>
      <w:r>
        <w:rPr>
          <w:rFonts w:ascii="仿宋_GB2312" w:hAnsi="仿宋_GB2312" w:eastAsia="仿宋_GB2312" w:cs="仿宋_GB2312"/>
          <w:kern w:val="0"/>
          <w:sz w:val="32"/>
          <w:szCs w:val="32"/>
        </w:rPr>
        <w:t>；食品药品监督管理工作经费89.4万元，系保障食品安全、科普宣传、</w:t>
      </w:r>
      <w:r>
        <w:rPr>
          <w:rFonts w:hint="eastAsia" w:ascii="仿宋_GB2312" w:hAnsi="仿宋_GB2312" w:eastAsia="仿宋_GB2312" w:cs="仿宋_GB2312"/>
          <w:kern w:val="0"/>
          <w:sz w:val="32"/>
          <w:szCs w:val="32"/>
        </w:rPr>
        <w:t>食品药品抽检</w:t>
      </w:r>
      <w:r>
        <w:rPr>
          <w:rFonts w:ascii="仿宋_GB2312" w:hAnsi="仿宋_GB2312" w:eastAsia="仿宋_GB2312" w:cs="仿宋_GB2312"/>
          <w:kern w:val="0"/>
          <w:sz w:val="32"/>
          <w:szCs w:val="32"/>
        </w:rPr>
        <w:t>、从业人员体检培训、食安办协调经费等支出</w:t>
      </w:r>
      <w:r>
        <w:rPr>
          <w:rFonts w:hint="eastAsia" w:ascii="仿宋_GB2312" w:hAnsi="仿宋_GB2312" w:eastAsia="仿宋_GB2312" w:cs="仿宋_GB2312"/>
          <w:kern w:val="0"/>
          <w:sz w:val="32"/>
          <w:szCs w:val="32"/>
        </w:rPr>
        <w:t>；知识产权专项经费1</w:t>
      </w:r>
      <w:r>
        <w:rPr>
          <w:rFonts w:ascii="仿宋_GB2312" w:hAnsi="仿宋_GB2312" w:eastAsia="仿宋_GB2312" w:cs="仿宋_GB2312"/>
          <w:kern w:val="0"/>
          <w:sz w:val="32"/>
          <w:szCs w:val="32"/>
        </w:rPr>
        <w:t>35</w:t>
      </w:r>
      <w:r>
        <w:rPr>
          <w:rFonts w:hint="eastAsia" w:ascii="仿宋_GB2312" w:hAnsi="仿宋_GB2312" w:eastAsia="仿宋_GB2312" w:cs="仿宋_GB2312"/>
          <w:kern w:val="0"/>
          <w:sz w:val="32"/>
          <w:szCs w:val="32"/>
        </w:rPr>
        <w:t>万元，新冠抗议专项经费2</w:t>
      </w:r>
      <w:r>
        <w:rPr>
          <w:rFonts w:ascii="仿宋_GB2312" w:hAnsi="仿宋_GB2312" w:eastAsia="仿宋_GB2312" w:cs="仿宋_GB2312"/>
          <w:kern w:val="0"/>
          <w:sz w:val="32"/>
          <w:szCs w:val="32"/>
        </w:rPr>
        <w:t>0</w:t>
      </w:r>
      <w:r>
        <w:rPr>
          <w:rFonts w:hint="eastAsia" w:ascii="仿宋_GB2312" w:hAnsi="仿宋_GB2312" w:eastAsia="仿宋_GB2312" w:cs="仿宋_GB2312"/>
          <w:kern w:val="0"/>
          <w:sz w:val="32"/>
          <w:szCs w:val="32"/>
        </w:rPr>
        <w:t>万元</w:t>
      </w:r>
      <w:r>
        <w:rPr>
          <w:rFonts w:ascii="仿宋_GB2312" w:hAnsi="仿宋_GB2312" w:eastAsia="仿宋_GB2312" w:cs="仿宋_GB2312"/>
          <w:kern w:val="0"/>
          <w:sz w:val="32"/>
          <w:szCs w:val="32"/>
        </w:rPr>
        <w:t>。</w:t>
      </w:r>
    </w:p>
    <w:p>
      <w:pPr>
        <w:spacing w:line="560" w:lineRule="exact"/>
        <w:ind w:firstLine="640" w:firstLineChars="200"/>
        <w:rPr>
          <w:rFonts w:ascii="仿宋_GB2312" w:hAnsi="仿宋_GB2312" w:eastAsia="仿宋_GB2312" w:cs="仿宋_GB2312"/>
          <w:b/>
          <w:bCs/>
          <w:kern w:val="0"/>
          <w:sz w:val="32"/>
          <w:szCs w:val="32"/>
        </w:rPr>
      </w:pPr>
      <w:r>
        <w:rPr>
          <w:rFonts w:hint="eastAsia" w:ascii="仿宋_GB2312" w:hAnsi="仿宋_GB2312" w:eastAsia="仿宋_GB2312" w:cs="仿宋_GB2312"/>
          <w:b/>
          <w:bCs/>
          <w:kern w:val="0"/>
          <w:sz w:val="32"/>
          <w:szCs w:val="32"/>
        </w:rPr>
        <w:t>三、部门整体支出绩效评价情况</w:t>
      </w:r>
    </w:p>
    <w:p>
      <w:pPr>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我局严格按照国家财经法律法规和制度的要求，围绕县委、县政府中心工作，积极履职，强化管理，较好的完成了年度工作目标，加强了对各项资金的绩效管理。成立了内部控制领导小组，严格遵循专款专用、独立核算的管理原则。专项项目的申报严格按照县财政资金管理的要求进行，专项资金财政拨款到位后及时进行了项目开支和资金投入。</w:t>
      </w:r>
    </w:p>
    <w:p>
      <w:pPr>
        <w:spacing w:line="560" w:lineRule="exact"/>
        <w:ind w:firstLine="640" w:firstLineChars="200"/>
        <w:rPr>
          <w:rFonts w:ascii="仿宋_GB2312" w:hAnsi="仿宋_GB2312" w:eastAsia="仿宋_GB2312" w:cs="仿宋_GB2312"/>
          <w:kern w:val="0"/>
          <w:sz w:val="32"/>
          <w:szCs w:val="32"/>
        </w:rPr>
      </w:pPr>
      <w:r>
        <w:rPr>
          <w:rFonts w:ascii="仿宋_GB2312" w:hAnsi="仿宋_GB2312" w:eastAsia="仿宋_GB2312" w:cs="仿宋_GB2312"/>
          <w:kern w:val="0"/>
          <w:sz w:val="32"/>
          <w:szCs w:val="32"/>
        </w:rPr>
        <w:t>2020年我局通过加强预算收支管理，不断建立健全内部管理制度，梳理内部管理流程，部门整体支出管理情况得到提升。根据2020年部门整体支出状况的概述和分析，部门整体支出绩效情况如下：</w:t>
      </w:r>
    </w:p>
    <w:p>
      <w:pPr>
        <w:spacing w:line="560" w:lineRule="exact"/>
        <w:ind w:left="567" w:leftChars="270" w:firstLine="70" w:firstLineChars="22"/>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1、</w:t>
      </w:r>
      <w:r>
        <w:rPr>
          <w:rFonts w:ascii="仿宋_GB2312" w:hAnsi="仿宋_GB2312" w:eastAsia="仿宋_GB2312" w:cs="仿宋_GB2312"/>
          <w:kern w:val="0"/>
          <w:sz w:val="32"/>
          <w:szCs w:val="32"/>
        </w:rPr>
        <w:t>财政供养人员控制在预算编制以内，编制内在职人员控制率</w:t>
      </w:r>
      <w:r>
        <w:rPr>
          <w:rFonts w:hint="eastAsia" w:ascii="仿宋_GB2312" w:hAnsi="仿宋_GB2312" w:eastAsia="仿宋_GB2312" w:cs="仿宋_GB2312"/>
          <w:kern w:val="0"/>
          <w:sz w:val="32"/>
          <w:szCs w:val="32"/>
        </w:rPr>
        <w:t>为</w:t>
      </w:r>
      <w:r>
        <w:rPr>
          <w:rFonts w:ascii="仿宋_GB2312" w:hAnsi="仿宋_GB2312" w:eastAsia="仿宋_GB2312" w:cs="仿宋_GB2312"/>
          <w:kern w:val="0"/>
          <w:sz w:val="32"/>
          <w:szCs w:val="32"/>
        </w:rPr>
        <w:t>100%；</w:t>
      </w:r>
    </w:p>
    <w:p>
      <w:pPr>
        <w:spacing w:line="560" w:lineRule="exact"/>
        <w:ind w:left="567" w:firstLine="70" w:firstLineChars="22"/>
        <w:rPr>
          <w:rFonts w:ascii="仿宋_GB2312" w:hAnsi="仿宋_GB2312" w:eastAsia="仿宋_GB2312" w:cs="仿宋_GB2312"/>
          <w:kern w:val="0"/>
          <w:sz w:val="32"/>
          <w:szCs w:val="32"/>
        </w:rPr>
      </w:pPr>
      <w:r>
        <w:rPr>
          <w:rFonts w:ascii="仿宋_GB2312" w:hAnsi="仿宋_GB2312" w:eastAsia="仿宋_GB2312" w:cs="仿宋_GB2312"/>
          <w:kern w:val="0"/>
          <w:sz w:val="32"/>
          <w:szCs w:val="32"/>
        </w:rPr>
        <w:t>2</w:t>
      </w:r>
      <w:r>
        <w:rPr>
          <w:rFonts w:hint="eastAsia" w:ascii="仿宋_GB2312" w:hAnsi="仿宋_GB2312" w:eastAsia="仿宋_GB2312" w:cs="仿宋_GB2312"/>
          <w:kern w:val="0"/>
          <w:sz w:val="32"/>
          <w:szCs w:val="32"/>
        </w:rPr>
        <w:t>、</w:t>
      </w:r>
      <w:r>
        <w:rPr>
          <w:rFonts w:ascii="仿宋_GB2312" w:hAnsi="仿宋_GB2312" w:eastAsia="仿宋_GB2312" w:cs="仿宋_GB2312"/>
          <w:kern w:val="0"/>
          <w:sz w:val="32"/>
          <w:szCs w:val="32"/>
        </w:rPr>
        <w:t>“三公”经费变动率小于0，</w:t>
      </w:r>
      <w:r>
        <w:rPr>
          <w:rFonts w:hint="eastAsia" w:ascii="仿宋_GB2312" w:hAnsi="仿宋_GB2312" w:eastAsia="仿宋_GB2312" w:cs="仿宋_GB2312"/>
          <w:kern w:val="0"/>
          <w:sz w:val="32"/>
          <w:szCs w:val="32"/>
        </w:rPr>
        <w:t>控制率为1</w:t>
      </w:r>
      <w:r>
        <w:rPr>
          <w:rFonts w:ascii="仿宋_GB2312" w:hAnsi="仿宋_GB2312" w:eastAsia="仿宋_GB2312" w:cs="仿宋_GB2312"/>
          <w:kern w:val="0"/>
          <w:sz w:val="32"/>
          <w:szCs w:val="32"/>
        </w:rPr>
        <w:t>00</w:t>
      </w:r>
      <w:r>
        <w:rPr>
          <w:rFonts w:hint="eastAsia" w:ascii="仿宋_GB2312" w:hAnsi="仿宋_GB2312" w:eastAsia="仿宋_GB2312" w:cs="仿宋_GB2312"/>
          <w:kern w:val="0"/>
          <w:sz w:val="32"/>
          <w:szCs w:val="32"/>
        </w:rPr>
        <w:t>%，</w:t>
      </w:r>
      <w:r>
        <w:rPr>
          <w:rFonts w:ascii="仿宋_GB2312" w:hAnsi="仿宋_GB2312" w:eastAsia="仿宋_GB2312" w:cs="仿宋_GB2312"/>
          <w:kern w:val="0"/>
          <w:sz w:val="32"/>
          <w:szCs w:val="32"/>
        </w:rPr>
        <w:t>主要因为我局在2020年</w:t>
      </w:r>
      <w:r>
        <w:rPr>
          <w:rFonts w:hint="eastAsia" w:ascii="仿宋_GB2312" w:hAnsi="仿宋_GB2312" w:eastAsia="仿宋_GB2312" w:cs="仿宋_GB2312"/>
          <w:kern w:val="0"/>
          <w:sz w:val="32"/>
          <w:szCs w:val="32"/>
        </w:rPr>
        <w:t>按照规定</w:t>
      </w:r>
      <w:r>
        <w:rPr>
          <w:rFonts w:ascii="仿宋_GB2312" w:hAnsi="仿宋_GB2312" w:eastAsia="仿宋_GB2312" w:cs="仿宋_GB2312"/>
          <w:kern w:val="0"/>
          <w:sz w:val="32"/>
          <w:szCs w:val="32"/>
        </w:rPr>
        <w:t>严格控制招待费支出</w:t>
      </w:r>
      <w:r>
        <w:rPr>
          <w:rFonts w:hint="eastAsia" w:ascii="仿宋_GB2312" w:hAnsi="仿宋_GB2312" w:eastAsia="仿宋_GB2312" w:cs="仿宋_GB2312"/>
          <w:kern w:val="0"/>
          <w:sz w:val="32"/>
          <w:szCs w:val="32"/>
        </w:rPr>
        <w:t>，公务用车运行维护费开支也低于预算控制数</w:t>
      </w:r>
      <w:r>
        <w:rPr>
          <w:rFonts w:ascii="仿宋_GB2312" w:hAnsi="仿宋_GB2312" w:eastAsia="仿宋_GB2312" w:cs="仿宋_GB2312"/>
          <w:kern w:val="0"/>
          <w:sz w:val="32"/>
          <w:szCs w:val="32"/>
        </w:rPr>
        <w:t>。</w:t>
      </w:r>
    </w:p>
    <w:p>
      <w:pPr>
        <w:spacing w:line="560" w:lineRule="exact"/>
        <w:ind w:left="564" w:leftChars="269" w:firstLine="70" w:firstLineChars="22"/>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3、预算完成率：</w:t>
      </w:r>
      <w:r>
        <w:rPr>
          <w:rFonts w:ascii="仿宋_GB2312" w:hAnsi="仿宋_GB2312" w:eastAsia="仿宋_GB2312" w:cs="仿宋_GB2312"/>
          <w:kern w:val="0"/>
          <w:sz w:val="32"/>
          <w:szCs w:val="32"/>
        </w:rPr>
        <w:t>100%</w:t>
      </w:r>
    </w:p>
    <w:p>
      <w:pPr>
        <w:spacing w:line="560" w:lineRule="exact"/>
        <w:ind w:left="564" w:leftChars="269" w:firstLine="70" w:firstLineChars="22"/>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4、</w:t>
      </w:r>
      <w:r>
        <w:rPr>
          <w:rFonts w:ascii="仿宋_GB2312" w:hAnsi="仿宋_GB2312" w:eastAsia="仿宋_GB2312" w:cs="仿宋_GB2312"/>
          <w:kern w:val="0"/>
          <w:sz w:val="32"/>
          <w:szCs w:val="32"/>
        </w:rPr>
        <w:t>预算调整率：131.39%。2020年预算调整数3703.09万元，2020</w:t>
      </w:r>
      <w:r>
        <w:rPr>
          <w:rFonts w:hint="eastAsia" w:ascii="仿宋_GB2312" w:hAnsi="仿宋_GB2312" w:eastAsia="仿宋_GB2312" w:cs="仿宋_GB2312"/>
          <w:kern w:val="0"/>
          <w:sz w:val="32"/>
          <w:szCs w:val="32"/>
        </w:rPr>
        <w:t>年决算数</w:t>
      </w:r>
      <w:r>
        <w:rPr>
          <w:rFonts w:ascii="仿宋_GB2312" w:hAnsi="仿宋_GB2312" w:eastAsia="仿宋_GB2312" w:cs="仿宋_GB2312"/>
          <w:kern w:val="0"/>
          <w:sz w:val="32"/>
          <w:szCs w:val="32"/>
        </w:rPr>
        <w:t>3703.09</w:t>
      </w:r>
      <w:r>
        <w:rPr>
          <w:rFonts w:hint="eastAsia" w:ascii="仿宋_GB2312" w:hAnsi="仿宋_GB2312" w:eastAsia="仿宋_GB2312" w:cs="仿宋_GB2312"/>
          <w:kern w:val="0"/>
          <w:sz w:val="32"/>
          <w:szCs w:val="32"/>
        </w:rPr>
        <w:t>万元。</w:t>
      </w:r>
      <w:r>
        <w:rPr>
          <w:rFonts w:ascii="仿宋_GB2312" w:hAnsi="仿宋_GB2312" w:eastAsia="仿宋_GB2312" w:cs="仿宋_GB2312"/>
          <w:kern w:val="0"/>
          <w:sz w:val="32"/>
          <w:szCs w:val="32"/>
        </w:rPr>
        <w:t>年初预算2540.53万元，为全年预算的131.39%，主要原因是</w:t>
      </w:r>
      <w:r>
        <w:rPr>
          <w:rFonts w:hint="eastAsia" w:ascii="仿宋_GB2312" w:hAnsi="仿宋_GB2312" w:eastAsia="仿宋_GB2312" w:cs="仿宋_GB2312"/>
          <w:kern w:val="0"/>
          <w:sz w:val="32"/>
          <w:szCs w:val="32"/>
        </w:rPr>
        <w:t>综合治税平台建设</w:t>
      </w:r>
      <w:r>
        <w:rPr>
          <w:rFonts w:ascii="仿宋_GB2312" w:hAnsi="仿宋_GB2312" w:eastAsia="仿宋_GB2312" w:cs="仿宋_GB2312"/>
          <w:kern w:val="0"/>
          <w:sz w:val="32"/>
          <w:szCs w:val="32"/>
        </w:rPr>
        <w:t>等项目资金没有进入预算。“三公经费”支出25.7万元，“三公经费”厉行节约成效显著。2020年年初预算2540.53万元，年中追加财政预算1162.56万元，追加原因：1、政策性追加人员经费（其中:行政事业单位基本工资提标、目标管理考核奖）,2、</w:t>
      </w:r>
      <w:r>
        <w:rPr>
          <w:rFonts w:hint="eastAsia" w:ascii="仿宋_GB2312" w:hAnsi="仿宋_GB2312" w:eastAsia="仿宋_GB2312" w:cs="仿宋_GB2312"/>
          <w:kern w:val="0"/>
          <w:sz w:val="32"/>
          <w:szCs w:val="32"/>
        </w:rPr>
        <w:t>我局2</w:t>
      </w:r>
      <w:r>
        <w:rPr>
          <w:rFonts w:ascii="仿宋_GB2312" w:hAnsi="仿宋_GB2312" w:eastAsia="仿宋_GB2312" w:cs="仿宋_GB2312"/>
          <w:kern w:val="0"/>
          <w:sz w:val="32"/>
          <w:szCs w:val="32"/>
        </w:rPr>
        <w:t>020</w:t>
      </w:r>
      <w:r>
        <w:rPr>
          <w:rFonts w:hint="eastAsia" w:ascii="仿宋_GB2312" w:hAnsi="仿宋_GB2312" w:eastAsia="仿宋_GB2312" w:cs="仿宋_GB2312"/>
          <w:kern w:val="0"/>
          <w:sz w:val="32"/>
          <w:szCs w:val="32"/>
        </w:rPr>
        <w:t>年合并知识产权和价格监督业务，追加必要项目资金</w:t>
      </w:r>
      <w:r>
        <w:rPr>
          <w:rFonts w:ascii="仿宋_GB2312" w:hAnsi="仿宋_GB2312" w:eastAsia="仿宋_GB2312" w:cs="仿宋_GB2312"/>
          <w:kern w:val="0"/>
          <w:sz w:val="32"/>
          <w:szCs w:val="32"/>
        </w:rPr>
        <w:t>。</w:t>
      </w:r>
    </w:p>
    <w:p>
      <w:pPr>
        <w:spacing w:line="560" w:lineRule="exact"/>
        <w:ind w:left="564" w:leftChars="269" w:firstLine="70" w:firstLineChars="22"/>
        <w:rPr>
          <w:rFonts w:ascii="仿宋_GB2312" w:hAnsi="仿宋_GB2312" w:eastAsia="仿宋_GB2312" w:cs="仿宋_GB2312"/>
          <w:kern w:val="0"/>
          <w:sz w:val="32"/>
          <w:szCs w:val="32"/>
        </w:rPr>
      </w:pPr>
      <w:r>
        <w:rPr>
          <w:rFonts w:ascii="仿宋_GB2312" w:hAnsi="仿宋_GB2312" w:eastAsia="仿宋_GB2312" w:cs="仿宋_GB2312"/>
          <w:kern w:val="0"/>
          <w:sz w:val="32"/>
          <w:szCs w:val="32"/>
        </w:rPr>
        <w:t>5</w:t>
      </w:r>
      <w:r>
        <w:rPr>
          <w:rFonts w:hint="eastAsia" w:ascii="仿宋_GB2312" w:hAnsi="仿宋_GB2312" w:eastAsia="仿宋_GB2312" w:cs="仿宋_GB2312"/>
          <w:kern w:val="0"/>
          <w:sz w:val="32"/>
          <w:szCs w:val="32"/>
        </w:rPr>
        <w:t>、</w:t>
      </w:r>
      <w:r>
        <w:rPr>
          <w:rFonts w:ascii="仿宋_GB2312" w:hAnsi="仿宋_GB2312" w:eastAsia="仿宋_GB2312" w:cs="仿宋_GB2312"/>
          <w:kern w:val="0"/>
          <w:sz w:val="32"/>
          <w:szCs w:val="32"/>
        </w:rPr>
        <w:t>政府采购执行率100%</w:t>
      </w:r>
      <w:r>
        <w:rPr>
          <w:rFonts w:hint="eastAsia" w:ascii="仿宋_GB2312" w:hAnsi="仿宋_GB2312" w:eastAsia="仿宋_GB2312" w:cs="仿宋_GB2312"/>
          <w:kern w:val="0"/>
          <w:sz w:val="32"/>
          <w:szCs w:val="32"/>
        </w:rPr>
        <w:t>；</w:t>
      </w:r>
    </w:p>
    <w:p>
      <w:pPr>
        <w:spacing w:line="560" w:lineRule="exact"/>
        <w:ind w:left="564" w:leftChars="269" w:firstLine="70" w:firstLineChars="22"/>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6、在资金管理上，我局制定了一系列的财务管理制度。</w:t>
      </w:r>
    </w:p>
    <w:p>
      <w:pPr>
        <w:spacing w:line="560" w:lineRule="exact"/>
        <w:ind w:firstLine="640" w:firstLineChars="200"/>
        <w:rPr>
          <w:rFonts w:ascii="仿宋_GB2312" w:hAnsi="仿宋_GB2312" w:eastAsia="仿宋_GB2312" w:cs="仿宋_GB2312"/>
          <w:b/>
          <w:bCs/>
          <w:kern w:val="0"/>
          <w:sz w:val="32"/>
          <w:szCs w:val="32"/>
        </w:rPr>
      </w:pPr>
      <w:r>
        <w:rPr>
          <w:rFonts w:hint="eastAsia" w:ascii="仿宋_GB2312" w:hAnsi="仿宋_GB2312" w:eastAsia="仿宋_GB2312" w:cs="仿宋_GB2312"/>
          <w:b/>
          <w:bCs/>
          <w:kern w:val="0"/>
          <w:sz w:val="32"/>
          <w:szCs w:val="32"/>
        </w:rPr>
        <w:t>四、存在的主要问题</w:t>
      </w:r>
    </w:p>
    <w:p>
      <w:pPr>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1、预算收支方面。年初预算与部门决算仍存在偏差，在预算执行过程中，由于各种客观原因存在指标之间调剂使用的现象，预算编制、下达需要更加科学、及时。同时，内部控制制度还待于进一步完善，行政运行成本控制方面还有一定压缩空间。</w:t>
      </w:r>
    </w:p>
    <w:p>
      <w:pPr>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2、结转结余方面。今年我局结转结余率和结转结余变动率为0.</w:t>
      </w:r>
      <w:r>
        <w:rPr>
          <w:rFonts w:ascii="仿宋_GB2312" w:hAnsi="仿宋_GB2312" w:eastAsia="仿宋_GB2312" w:cs="仿宋_GB2312"/>
          <w:kern w:val="0"/>
          <w:sz w:val="32"/>
          <w:szCs w:val="32"/>
        </w:rPr>
        <w:t>03</w:t>
      </w:r>
      <w:r>
        <w:rPr>
          <w:rFonts w:hint="eastAsia" w:ascii="仿宋_GB2312" w:hAnsi="仿宋_GB2312" w:eastAsia="仿宋_GB2312" w:cs="仿宋_GB2312"/>
          <w:kern w:val="0"/>
          <w:sz w:val="32"/>
          <w:szCs w:val="32"/>
        </w:rPr>
        <w:t>%</w:t>
      </w:r>
      <w:r>
        <w:rPr>
          <w:rFonts w:ascii="仿宋_GB2312" w:hAnsi="仿宋_GB2312" w:eastAsia="仿宋_GB2312" w:cs="仿宋_GB2312"/>
          <w:kern w:val="0"/>
          <w:sz w:val="32"/>
          <w:szCs w:val="32"/>
        </w:rPr>
        <w:t>。</w:t>
      </w:r>
      <w:r>
        <w:rPr>
          <w:rFonts w:hint="eastAsia" w:ascii="仿宋_GB2312" w:hAnsi="仿宋_GB2312" w:eastAsia="仿宋_GB2312" w:cs="仿宋_GB2312"/>
          <w:kern w:val="0"/>
          <w:sz w:val="32"/>
          <w:szCs w:val="32"/>
        </w:rPr>
        <w:t>预算管理方面，制度执行总体较为有效，仍需进一步强化；资金使用管理需进一步加强。</w:t>
      </w:r>
    </w:p>
    <w:p>
      <w:pPr>
        <w:spacing w:line="560" w:lineRule="exact"/>
        <w:ind w:firstLine="640" w:firstLineChars="200"/>
        <w:rPr>
          <w:rFonts w:ascii="仿宋_GB2312" w:hAnsi="仿宋_GB2312" w:eastAsia="仿宋_GB2312" w:cs="仿宋_GB2312"/>
          <w:b/>
          <w:bCs/>
          <w:kern w:val="0"/>
          <w:sz w:val="32"/>
          <w:szCs w:val="32"/>
        </w:rPr>
      </w:pPr>
      <w:r>
        <w:rPr>
          <w:rFonts w:hint="eastAsia" w:ascii="仿宋_GB2312" w:hAnsi="仿宋_GB2312" w:eastAsia="仿宋_GB2312" w:cs="仿宋_GB2312"/>
          <w:b/>
          <w:bCs/>
          <w:kern w:val="0"/>
          <w:sz w:val="32"/>
          <w:szCs w:val="32"/>
        </w:rPr>
        <w:t>五、改进措施及建议</w:t>
      </w:r>
    </w:p>
    <w:p>
      <w:pPr>
        <w:adjustRightInd w:val="0"/>
        <w:snapToGrid w:val="0"/>
        <w:spacing w:line="600" w:lineRule="exact"/>
        <w:ind w:firstLine="600" w:firstLineChars="200"/>
        <w:rPr>
          <w:rFonts w:ascii="仿宋" w:hAnsi="仿宋" w:eastAsia="仿宋" w:cs="仿宋"/>
          <w:sz w:val="30"/>
          <w:szCs w:val="30"/>
        </w:rPr>
      </w:pPr>
      <w:r>
        <w:rPr>
          <w:rFonts w:hint="eastAsia" w:ascii="仿宋" w:hAnsi="仿宋" w:eastAsia="仿宋" w:cs="仿宋"/>
          <w:sz w:val="30"/>
          <w:szCs w:val="30"/>
        </w:rPr>
        <w:t>1、加强财务预算管理，严格执行财务管理制度，充分发挥监督作用，严格做好预算控制，精打细算执行资金管理。</w:t>
      </w:r>
    </w:p>
    <w:p>
      <w:pPr>
        <w:adjustRightInd w:val="0"/>
        <w:snapToGrid w:val="0"/>
        <w:spacing w:line="600" w:lineRule="exact"/>
        <w:ind w:firstLine="600" w:firstLineChars="200"/>
        <w:rPr>
          <w:rFonts w:ascii="仿宋" w:hAnsi="仿宋" w:eastAsia="仿宋" w:cs="仿宋"/>
          <w:sz w:val="30"/>
          <w:szCs w:val="30"/>
        </w:rPr>
      </w:pPr>
      <w:r>
        <w:rPr>
          <w:rFonts w:hint="eastAsia" w:ascii="仿宋" w:hAnsi="仿宋" w:eastAsia="仿宋" w:cs="仿宋"/>
          <w:sz w:val="30"/>
          <w:szCs w:val="30"/>
        </w:rPr>
        <w:t>2、严格财务支出审批。抓好审核和审批两个环节，在审核审批中严把支出关，切实维护财务纪律的严肃性。</w:t>
      </w:r>
    </w:p>
    <w:p>
      <w:pPr>
        <w:adjustRightInd w:val="0"/>
        <w:snapToGrid w:val="0"/>
        <w:spacing w:line="600" w:lineRule="exact"/>
        <w:ind w:firstLine="600" w:firstLineChars="200"/>
        <w:rPr>
          <w:rFonts w:ascii="仿宋" w:hAnsi="仿宋" w:eastAsia="仿宋" w:cs="仿宋"/>
          <w:sz w:val="30"/>
          <w:szCs w:val="30"/>
        </w:rPr>
      </w:pPr>
      <w:r>
        <w:rPr>
          <w:rFonts w:hint="eastAsia" w:ascii="仿宋" w:hAnsi="仿宋" w:eastAsia="仿宋" w:cs="仿宋"/>
          <w:sz w:val="30"/>
          <w:szCs w:val="30"/>
        </w:rPr>
        <w:t>3、强化经费管理。重点加强公用经费管理，严格控制支出，降低行政运行成本。继续厉行节约“三公经费”，控制招待费和公务运行用车维护费开支。</w:t>
      </w:r>
    </w:p>
    <w:p>
      <w:pPr>
        <w:adjustRightInd w:val="0"/>
        <w:snapToGrid w:val="0"/>
        <w:spacing w:line="600" w:lineRule="exact"/>
        <w:ind w:firstLine="600" w:firstLineChars="200"/>
        <w:rPr>
          <w:rFonts w:ascii="仿宋" w:hAnsi="仿宋" w:eastAsia="仿宋" w:cs="仿宋"/>
          <w:sz w:val="30"/>
          <w:szCs w:val="30"/>
        </w:rPr>
      </w:pPr>
    </w:p>
    <w:p>
      <w:pPr>
        <w:adjustRightInd w:val="0"/>
        <w:snapToGrid w:val="0"/>
        <w:spacing w:line="600" w:lineRule="exact"/>
        <w:ind w:firstLine="600" w:firstLineChars="200"/>
        <w:rPr>
          <w:rFonts w:ascii="仿宋" w:hAnsi="仿宋" w:eastAsia="仿宋" w:cs="仿宋"/>
          <w:sz w:val="30"/>
          <w:szCs w:val="30"/>
        </w:rPr>
      </w:pPr>
    </w:p>
    <w:p>
      <w:pPr>
        <w:jc w:val="left"/>
        <w:rPr>
          <w:b/>
          <w:sz w:val="28"/>
          <w:szCs w:val="28"/>
        </w:rPr>
      </w:pPr>
      <w:r>
        <w:rPr>
          <w:rFonts w:hint="eastAsia" w:ascii="仿宋" w:hAnsi="仿宋" w:eastAsia="仿宋" w:cs="仿宋"/>
          <w:sz w:val="30"/>
          <w:szCs w:val="30"/>
        </w:rPr>
        <w:t>、</w:t>
      </w:r>
    </w:p>
    <w:p>
      <w:pPr>
        <w:jc w:val="center"/>
      </w:pPr>
    </w:p>
    <w:p>
      <w:pPr>
        <w:jc w:val="left"/>
        <w:rPr>
          <w:rFonts w:cs="黑体" w:asciiTheme="minorEastAsia" w:hAnsiTheme="minorEastAsia"/>
          <w:color w:val="000000"/>
          <w:kern w:val="0"/>
          <w:sz w:val="32"/>
          <w:szCs w:val="32"/>
        </w:rPr>
      </w:pPr>
    </w:p>
    <w:sectPr>
      <w:pgSz w:w="11906" w:h="16838"/>
      <w:pgMar w:top="1440" w:right="1800" w:bottom="1440" w:left="1800"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8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73518C1"/>
    <w:multiLevelType w:val="multilevel"/>
    <w:tmpl w:val="373518C1"/>
    <w:lvl w:ilvl="0" w:tentative="0">
      <w:start w:val="1"/>
      <w:numFmt w:val="none"/>
      <w:lvlText w:val="一、"/>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4506F9"/>
    <w:rsid w:val="000103F3"/>
    <w:rsid w:val="0002229B"/>
    <w:rsid w:val="000273BD"/>
    <w:rsid w:val="000415B7"/>
    <w:rsid w:val="000658A3"/>
    <w:rsid w:val="00074155"/>
    <w:rsid w:val="00082A2B"/>
    <w:rsid w:val="00092608"/>
    <w:rsid w:val="000A3F69"/>
    <w:rsid w:val="000F578C"/>
    <w:rsid w:val="001060AC"/>
    <w:rsid w:val="001331C6"/>
    <w:rsid w:val="00152C6D"/>
    <w:rsid w:val="00162D39"/>
    <w:rsid w:val="001635D0"/>
    <w:rsid w:val="001A67DB"/>
    <w:rsid w:val="001A6B12"/>
    <w:rsid w:val="001D51E5"/>
    <w:rsid w:val="001F0C3B"/>
    <w:rsid w:val="00214427"/>
    <w:rsid w:val="0021589B"/>
    <w:rsid w:val="0021738D"/>
    <w:rsid w:val="00226E73"/>
    <w:rsid w:val="0023728E"/>
    <w:rsid w:val="00265724"/>
    <w:rsid w:val="0027426B"/>
    <w:rsid w:val="003479BD"/>
    <w:rsid w:val="003768D5"/>
    <w:rsid w:val="003E74E9"/>
    <w:rsid w:val="00403EB3"/>
    <w:rsid w:val="004438A0"/>
    <w:rsid w:val="00443941"/>
    <w:rsid w:val="004506F9"/>
    <w:rsid w:val="004717A2"/>
    <w:rsid w:val="00491741"/>
    <w:rsid w:val="004F0298"/>
    <w:rsid w:val="004F2035"/>
    <w:rsid w:val="00500E5F"/>
    <w:rsid w:val="005122EF"/>
    <w:rsid w:val="00517C33"/>
    <w:rsid w:val="0052229C"/>
    <w:rsid w:val="00523644"/>
    <w:rsid w:val="00530383"/>
    <w:rsid w:val="0054069E"/>
    <w:rsid w:val="00571F27"/>
    <w:rsid w:val="00574260"/>
    <w:rsid w:val="005767CC"/>
    <w:rsid w:val="00590D9F"/>
    <w:rsid w:val="00595D26"/>
    <w:rsid w:val="005A74C6"/>
    <w:rsid w:val="005A74E6"/>
    <w:rsid w:val="005B7EBD"/>
    <w:rsid w:val="005D23BF"/>
    <w:rsid w:val="005D4D55"/>
    <w:rsid w:val="005D78D9"/>
    <w:rsid w:val="005E2CFB"/>
    <w:rsid w:val="00620C70"/>
    <w:rsid w:val="0062378F"/>
    <w:rsid w:val="00651EEC"/>
    <w:rsid w:val="006A351B"/>
    <w:rsid w:val="006B0422"/>
    <w:rsid w:val="006C1B53"/>
    <w:rsid w:val="006D7730"/>
    <w:rsid w:val="006E5284"/>
    <w:rsid w:val="006F3EB5"/>
    <w:rsid w:val="00702E34"/>
    <w:rsid w:val="00704395"/>
    <w:rsid w:val="00720FF1"/>
    <w:rsid w:val="007627C2"/>
    <w:rsid w:val="007B57F7"/>
    <w:rsid w:val="007C03A2"/>
    <w:rsid w:val="007C259F"/>
    <w:rsid w:val="007D71C6"/>
    <w:rsid w:val="007F24B6"/>
    <w:rsid w:val="00812ED5"/>
    <w:rsid w:val="008277D9"/>
    <w:rsid w:val="00842413"/>
    <w:rsid w:val="00843938"/>
    <w:rsid w:val="00865577"/>
    <w:rsid w:val="0087289E"/>
    <w:rsid w:val="0089029B"/>
    <w:rsid w:val="008A3E8D"/>
    <w:rsid w:val="008E7FE2"/>
    <w:rsid w:val="008F4F7D"/>
    <w:rsid w:val="009237C4"/>
    <w:rsid w:val="009358E3"/>
    <w:rsid w:val="00941C9D"/>
    <w:rsid w:val="00946421"/>
    <w:rsid w:val="00950252"/>
    <w:rsid w:val="00967F5D"/>
    <w:rsid w:val="009A0F95"/>
    <w:rsid w:val="009B3ADF"/>
    <w:rsid w:val="009C3B52"/>
    <w:rsid w:val="009D19F8"/>
    <w:rsid w:val="00A35B8A"/>
    <w:rsid w:val="00A36AEA"/>
    <w:rsid w:val="00A42218"/>
    <w:rsid w:val="00A70249"/>
    <w:rsid w:val="00A8179D"/>
    <w:rsid w:val="00AA671B"/>
    <w:rsid w:val="00B0405A"/>
    <w:rsid w:val="00B33661"/>
    <w:rsid w:val="00B33BEA"/>
    <w:rsid w:val="00B456E7"/>
    <w:rsid w:val="00B57C9F"/>
    <w:rsid w:val="00B6181E"/>
    <w:rsid w:val="00B8186C"/>
    <w:rsid w:val="00B845B3"/>
    <w:rsid w:val="00B85D8B"/>
    <w:rsid w:val="00BA298D"/>
    <w:rsid w:val="00BE3674"/>
    <w:rsid w:val="00C3049A"/>
    <w:rsid w:val="00C31B1E"/>
    <w:rsid w:val="00C75242"/>
    <w:rsid w:val="00C77645"/>
    <w:rsid w:val="00C969A1"/>
    <w:rsid w:val="00CE04C3"/>
    <w:rsid w:val="00CE76A0"/>
    <w:rsid w:val="00D148C6"/>
    <w:rsid w:val="00D44312"/>
    <w:rsid w:val="00D6299B"/>
    <w:rsid w:val="00D72B59"/>
    <w:rsid w:val="00D8205E"/>
    <w:rsid w:val="00DA1062"/>
    <w:rsid w:val="00DD06FF"/>
    <w:rsid w:val="00DD5FE9"/>
    <w:rsid w:val="00E00C7A"/>
    <w:rsid w:val="00E06992"/>
    <w:rsid w:val="00E33AC8"/>
    <w:rsid w:val="00E55B68"/>
    <w:rsid w:val="00ED7377"/>
    <w:rsid w:val="00EE215B"/>
    <w:rsid w:val="00EF3D13"/>
    <w:rsid w:val="00F0419C"/>
    <w:rsid w:val="00F058C5"/>
    <w:rsid w:val="00F74360"/>
    <w:rsid w:val="00F961D5"/>
    <w:rsid w:val="00FB462F"/>
    <w:rsid w:val="00FD5A25"/>
    <w:rsid w:val="00FE16FA"/>
    <w:rsid w:val="00FE328A"/>
    <w:rsid w:val="01881CA0"/>
    <w:rsid w:val="0A733E75"/>
    <w:rsid w:val="0ADC55C5"/>
    <w:rsid w:val="0BE41085"/>
    <w:rsid w:val="0DEC7CC8"/>
    <w:rsid w:val="0F32512C"/>
    <w:rsid w:val="10E8280F"/>
    <w:rsid w:val="1DF62A21"/>
    <w:rsid w:val="25AF1D37"/>
    <w:rsid w:val="27E866A5"/>
    <w:rsid w:val="27FB0E4F"/>
    <w:rsid w:val="2A2C24F5"/>
    <w:rsid w:val="2E7B750C"/>
    <w:rsid w:val="308120C6"/>
    <w:rsid w:val="3A320E60"/>
    <w:rsid w:val="45AC070B"/>
    <w:rsid w:val="45D620B7"/>
    <w:rsid w:val="47E51DBE"/>
    <w:rsid w:val="490F5C37"/>
    <w:rsid w:val="4982720A"/>
    <w:rsid w:val="4B913C65"/>
    <w:rsid w:val="4D05056F"/>
    <w:rsid w:val="51376913"/>
    <w:rsid w:val="5DC16477"/>
    <w:rsid w:val="6029625E"/>
    <w:rsid w:val="663722B2"/>
    <w:rsid w:val="6A8D1A3E"/>
    <w:rsid w:val="6C2A1812"/>
    <w:rsid w:val="6D024E42"/>
    <w:rsid w:val="6DC742B3"/>
    <w:rsid w:val="6FD0529E"/>
    <w:rsid w:val="710E6906"/>
    <w:rsid w:val="76EB0AE1"/>
    <w:rsid w:val="77043661"/>
    <w:rsid w:val="78D9292B"/>
    <w:rsid w:val="79A61692"/>
    <w:rsid w:val="7BC6538D"/>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uiPriority w:val="1"/>
  </w:style>
  <w:style w:type="table" w:default="1" w:styleId="5">
    <w:name w:val="Normal Table"/>
    <w:semiHidden/>
    <w:unhideWhenUsed/>
    <w:uiPriority w:val="99"/>
    <w:tblPr>
      <w:tblLayout w:type="fixed"/>
      <w:tblCellMar>
        <w:top w:w="0" w:type="dxa"/>
        <w:left w:w="108" w:type="dxa"/>
        <w:bottom w:w="0" w:type="dxa"/>
        <w:right w:w="108" w:type="dxa"/>
      </w:tblCellMar>
    </w:tblPr>
  </w:style>
  <w:style w:type="paragraph" w:styleId="2">
    <w:name w:val="Balloon Text"/>
    <w:basedOn w:val="1"/>
    <w:link w:val="11"/>
    <w:semiHidden/>
    <w:unhideWhenUsed/>
    <w:qFormat/>
    <w:uiPriority w:val="99"/>
    <w:rPr>
      <w:sz w:val="18"/>
      <w:szCs w:val="18"/>
    </w:rPr>
  </w:style>
  <w:style w:type="paragraph" w:styleId="3">
    <w:name w:val="footer"/>
    <w:basedOn w:val="1"/>
    <w:link w:val="8"/>
    <w:unhideWhenUsed/>
    <w:qFormat/>
    <w:uiPriority w:val="99"/>
    <w:pPr>
      <w:tabs>
        <w:tab w:val="center" w:pos="4153"/>
        <w:tab w:val="right" w:pos="8306"/>
      </w:tabs>
      <w:snapToGrid w:val="0"/>
      <w:jc w:val="left"/>
    </w:pPr>
    <w:rPr>
      <w:sz w:val="18"/>
      <w:szCs w:val="18"/>
    </w:rPr>
  </w:style>
  <w:style w:type="paragraph" w:styleId="4">
    <w:name w:val="header"/>
    <w:basedOn w:val="1"/>
    <w:link w:val="7"/>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7">
    <w:name w:val="页眉 Char"/>
    <w:basedOn w:val="6"/>
    <w:link w:val="4"/>
    <w:qFormat/>
    <w:uiPriority w:val="99"/>
    <w:rPr>
      <w:sz w:val="18"/>
      <w:szCs w:val="18"/>
    </w:rPr>
  </w:style>
  <w:style w:type="character" w:customStyle="1" w:styleId="8">
    <w:name w:val="页脚 Char"/>
    <w:basedOn w:val="6"/>
    <w:link w:val="3"/>
    <w:qFormat/>
    <w:uiPriority w:val="99"/>
    <w:rPr>
      <w:sz w:val="18"/>
      <w:szCs w:val="18"/>
    </w:rPr>
  </w:style>
  <w:style w:type="paragraph" w:customStyle="1" w:styleId="9">
    <w:name w:val="Default"/>
    <w:qFormat/>
    <w:uiPriority w:val="0"/>
    <w:pPr>
      <w:widowControl w:val="0"/>
      <w:autoSpaceDE w:val="0"/>
      <w:autoSpaceDN w:val="0"/>
      <w:adjustRightInd w:val="0"/>
    </w:pPr>
    <w:rPr>
      <w:rFonts w:ascii="黑体" w:eastAsia="黑体" w:cs="黑体" w:hAnsiTheme="minorHAnsi"/>
      <w:color w:val="000000"/>
      <w:sz w:val="24"/>
      <w:szCs w:val="24"/>
      <w:lang w:val="en-US" w:eastAsia="zh-CN" w:bidi="ar-SA"/>
    </w:rPr>
  </w:style>
  <w:style w:type="paragraph" w:styleId="10">
    <w:name w:val="List Paragraph"/>
    <w:basedOn w:val="1"/>
    <w:qFormat/>
    <w:uiPriority w:val="34"/>
    <w:pPr>
      <w:ind w:firstLine="420" w:firstLineChars="200"/>
    </w:pPr>
  </w:style>
  <w:style w:type="character" w:customStyle="1" w:styleId="11">
    <w:name w:val="批注框文本 Char"/>
    <w:basedOn w:val="6"/>
    <w:link w:val="2"/>
    <w:semiHidden/>
    <w:qFormat/>
    <w:uiPriority w:val="99"/>
    <w:rPr>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D58AF5A-D0E2-4EA6-9F93-4629B9E64AD7}">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26</Pages>
  <Words>1471</Words>
  <Characters>8387</Characters>
  <Lines>69</Lines>
  <Paragraphs>19</Paragraphs>
  <TotalTime>1</TotalTime>
  <ScaleCrop>false</ScaleCrop>
  <LinksUpToDate>false</LinksUpToDate>
  <CharactersWithSpaces>9839</CharactersWithSpaces>
  <Application>WPS Office_11.3.0.8775_F1E327BC-269C-435d-A152-05C5408002CA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2020-09-24T01:06:00Z</dcterms:created>
  <dc:creator>李航 null</dc:creator>
  <cp:lastModifiedBy>茜茜</cp:lastModifiedBy>
  <cp:lastPrinted>2020-10-29T02:06:00Z</cp:lastPrinted>
  <dcterms:modified xsi:type="dcterms:W3CDTF">2023-09-18T03:10:59Z</dcterms:modified>
  <cp:revision>50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2052-11.3.0.8775</vt:lpwstr>
  </property>
  <property fmtid="{D5CDD505-2E9C-101B-9397-08002B2CF9AE}" pid="3" name="ICV">
    <vt:lpwstr>695B638C0E1F493DA95C68E6E867D882</vt:lpwstr>
  </property>
</Properties>
</file>