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48"/>
          <w:szCs w:val="48"/>
        </w:rPr>
      </w:pPr>
      <w:r>
        <w:rPr>
          <w:rFonts w:hint="eastAsia"/>
          <w:color w:val="000000" w:themeColor="text1"/>
          <w:sz w:val="48"/>
          <w:szCs w:val="48"/>
        </w:rPr>
        <w:t>2020年度</w:t>
      </w:r>
    </w:p>
    <w:p>
      <w:pPr>
        <w:pStyle w:val="12"/>
        <w:jc w:val="center"/>
        <w:rPr>
          <w:color w:val="000000" w:themeColor="text1"/>
          <w:sz w:val="48"/>
          <w:szCs w:val="48"/>
        </w:rPr>
      </w:pPr>
      <w:r>
        <w:rPr>
          <w:rFonts w:hint="eastAsia"/>
          <w:color w:val="000000" w:themeColor="text1"/>
          <w:sz w:val="48"/>
          <w:szCs w:val="48"/>
        </w:rPr>
        <w:t>中共衡南县委巡察工作领导小组办公室</w:t>
      </w:r>
    </w:p>
    <w:p>
      <w:pPr>
        <w:pStyle w:val="12"/>
        <w:jc w:val="center"/>
        <w:rPr>
          <w:color w:val="000000" w:themeColor="text1"/>
          <w:sz w:val="48"/>
          <w:szCs w:val="48"/>
        </w:rPr>
      </w:pPr>
      <w:r>
        <w:rPr>
          <w:rFonts w:hint="eastAsia"/>
          <w:color w:val="000000" w:themeColor="text1"/>
          <w:sz w:val="48"/>
          <w:szCs w:val="48"/>
        </w:rPr>
        <w:t>部门决算</w:t>
      </w: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color w:val="000000" w:themeColor="text1"/>
          <w:sz w:val="28"/>
          <w:szCs w:val="28"/>
        </w:rPr>
      </w:pPr>
    </w:p>
    <w:p>
      <w:pPr>
        <w:pStyle w:val="12"/>
        <w:jc w:val="center"/>
        <w:rPr>
          <w:rFonts w:asciiTheme="minorEastAsia" w:hAnsiTheme="minorEastAsia" w:eastAsiaTheme="minorEastAsia" w:cstheme="minorEastAsia"/>
          <w:color w:val="000000" w:themeColor="text1"/>
          <w:sz w:val="28"/>
          <w:szCs w:val="28"/>
        </w:rPr>
      </w:pPr>
    </w:p>
    <w:p>
      <w:pPr>
        <w:pStyle w:val="12"/>
        <w:jc w:val="center"/>
        <w:rPr>
          <w:rFonts w:asciiTheme="minorEastAsia" w:hAnsiTheme="minorEastAsia" w:eastAsiaTheme="minorEastAsia" w:cstheme="minorEastAsia"/>
          <w:color w:val="000000" w:themeColor="text1"/>
          <w:sz w:val="28"/>
          <w:szCs w:val="28"/>
        </w:rPr>
      </w:pPr>
    </w:p>
    <w:p>
      <w:pPr>
        <w:pStyle w:val="12"/>
        <w:jc w:val="center"/>
        <w:rPr>
          <w:rFonts w:asciiTheme="minorEastAsia" w:hAnsiTheme="minorEastAsia" w:eastAsiaTheme="minorEastAsia" w:cstheme="minorEastAsia"/>
          <w:color w:val="000000" w:themeColor="text1"/>
          <w:sz w:val="28"/>
          <w:szCs w:val="28"/>
        </w:rPr>
      </w:pPr>
    </w:p>
    <w:p>
      <w:pPr>
        <w:pStyle w:val="12"/>
        <w:jc w:val="center"/>
        <w:rPr>
          <w:rFonts w:asciiTheme="minorEastAsia" w:hAnsiTheme="minorEastAsia" w:eastAsiaTheme="minorEastAsia" w:cstheme="minorEastAsia"/>
          <w:color w:val="000000" w:themeColor="text1"/>
          <w:sz w:val="28"/>
          <w:szCs w:val="28"/>
        </w:rPr>
      </w:pPr>
    </w:p>
    <w:p>
      <w:pPr>
        <w:pStyle w:val="12"/>
        <w:jc w:val="center"/>
        <w:rPr>
          <w:rFonts w:asciiTheme="minorEastAsia" w:hAnsiTheme="minorEastAsia" w:eastAsiaTheme="minorEastAsia" w:cstheme="minorEastAsia"/>
          <w:color w:val="000000" w:themeColor="text1"/>
          <w:sz w:val="28"/>
          <w:szCs w:val="28"/>
        </w:rPr>
      </w:pPr>
    </w:p>
    <w:p>
      <w:pPr>
        <w:pStyle w:val="12"/>
        <w:spacing w:line="560" w:lineRule="exact"/>
        <w:jc w:val="center"/>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目录</w:t>
      </w:r>
    </w:p>
    <w:p>
      <w:pPr>
        <w:pStyle w:val="12"/>
        <w:spacing w:line="560" w:lineRule="exact"/>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第一部分巡察办单位概况</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一、部门职责</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二、机构设置</w:t>
      </w:r>
    </w:p>
    <w:p>
      <w:pPr>
        <w:pStyle w:val="12"/>
        <w:spacing w:line="560" w:lineRule="exact"/>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第二部分2020年度部门决算表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一、收入支出决算总表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二、收入决算表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三、支出决算表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四、财政拨款收入支出决算总表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五、一般公共预算财政拨款支出决算表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六、一般公共预算财政拨款基本支出决算表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七、一般公共预算财政拨款“三公”经费支出决算表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八、政府性基金预算财政拨款收入支出决算表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九、国有资本经营预算财政拨款支出决算表</w:t>
      </w:r>
    </w:p>
    <w:p>
      <w:pPr>
        <w:pStyle w:val="12"/>
        <w:spacing w:line="560" w:lineRule="exact"/>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第三部分2020年度部门决算情况说明</w:t>
      </w:r>
    </w:p>
    <w:p>
      <w:pPr>
        <w:pStyle w:val="12"/>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Theme="minorEastAsia" w:hAnsiTheme="minorEastAsia" w:cstheme="minorEastAsia"/>
          <w:b/>
          <w:bCs/>
          <w:color w:val="000000" w:themeColor="text1"/>
          <w:kern w:val="0"/>
          <w:sz w:val="28"/>
          <w:szCs w:val="28"/>
        </w:rPr>
        <w:t>第四部分名词解释</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Theme="minorEastAsia" w:hAnsiTheme="minorEastAsia" w:cstheme="minorEastAsia"/>
          <w:b/>
          <w:bCs/>
          <w:color w:val="000000" w:themeColor="text1"/>
          <w:kern w:val="0"/>
          <w:sz w:val="28"/>
          <w:szCs w:val="28"/>
        </w:rPr>
        <w:t>第五部分附件</w:t>
      </w: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spacing w:line="560" w:lineRule="exact"/>
        <w:rPr>
          <w:rFonts w:asciiTheme="minorEastAsia" w:hAnsiTheme="minorEastAsia" w:cstheme="minorEastAsia"/>
          <w:color w:val="000000" w:themeColor="text1"/>
          <w:sz w:val="28"/>
          <w:szCs w:val="28"/>
        </w:rPr>
      </w:pPr>
    </w:p>
    <w:p>
      <w:pPr>
        <w:pStyle w:val="12"/>
        <w:spacing w:line="560" w:lineRule="exact"/>
        <w:jc w:val="center"/>
        <w:rPr>
          <w:rFonts w:asciiTheme="minorEastAsia" w:hAnsiTheme="minorEastAsia" w:eastAsiaTheme="minorEastAsia" w:cstheme="minorEastAsia"/>
          <w:color w:val="000000" w:themeColor="text1"/>
          <w:sz w:val="28"/>
          <w:szCs w:val="28"/>
        </w:rPr>
      </w:pPr>
    </w:p>
    <w:p>
      <w:pPr>
        <w:pStyle w:val="12"/>
        <w:spacing w:line="560" w:lineRule="exact"/>
        <w:jc w:val="center"/>
        <w:rPr>
          <w:rFonts w:asciiTheme="minorEastAsia" w:hAnsiTheme="minorEastAsia" w:eastAsiaTheme="minorEastAsia" w:cstheme="minorEastAsia"/>
          <w:color w:val="000000" w:themeColor="text1"/>
          <w:sz w:val="28"/>
          <w:szCs w:val="28"/>
        </w:rPr>
      </w:pPr>
    </w:p>
    <w:p>
      <w:pPr>
        <w:pStyle w:val="12"/>
        <w:spacing w:line="560" w:lineRule="exact"/>
        <w:jc w:val="center"/>
        <w:rPr>
          <w:rFonts w:asciiTheme="minorEastAsia" w:hAnsiTheme="minorEastAsia" w:eastAsiaTheme="minorEastAsia" w:cstheme="minorEastAsia"/>
          <w:color w:val="000000" w:themeColor="text1"/>
          <w:sz w:val="28"/>
          <w:szCs w:val="28"/>
        </w:rPr>
      </w:pPr>
    </w:p>
    <w:p>
      <w:pPr>
        <w:pStyle w:val="12"/>
        <w:spacing w:line="560" w:lineRule="exact"/>
        <w:jc w:val="center"/>
        <w:rPr>
          <w:rFonts w:asciiTheme="minorEastAsia" w:hAnsiTheme="minorEastAsia" w:eastAsiaTheme="minorEastAsia" w:cstheme="minorEastAsia"/>
          <w:color w:val="000000" w:themeColor="text1"/>
          <w:sz w:val="28"/>
          <w:szCs w:val="28"/>
        </w:rPr>
      </w:pPr>
    </w:p>
    <w:p>
      <w:pPr>
        <w:pStyle w:val="12"/>
        <w:spacing w:line="560" w:lineRule="exact"/>
        <w:jc w:val="center"/>
        <w:rPr>
          <w:rFonts w:asciiTheme="minorEastAsia" w:hAnsiTheme="minorEastAsia" w:eastAsiaTheme="minorEastAsia" w:cstheme="minorEastAsia"/>
          <w:b/>
          <w:bCs/>
          <w:color w:val="000000" w:themeColor="text1"/>
          <w:sz w:val="28"/>
          <w:szCs w:val="2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第一部分</w:t>
      </w:r>
    </w:p>
    <w:p>
      <w:pPr>
        <w:pStyle w:val="12"/>
        <w:jc w:val="center"/>
        <w:rPr>
          <w:color w:val="000000" w:themeColor="text1"/>
          <w:sz w:val="48"/>
          <w:szCs w:val="48"/>
        </w:rPr>
      </w:pPr>
      <w:r>
        <w:rPr>
          <w:rFonts w:hint="eastAsia"/>
          <w:color w:val="000000" w:themeColor="text1"/>
          <w:sz w:val="48"/>
          <w:szCs w:val="48"/>
        </w:rPr>
        <w:t>中共衡南县委巡察工作领导小组办公室</w:t>
      </w:r>
    </w:p>
    <w:p>
      <w:pPr>
        <w:pStyle w:val="12"/>
        <w:jc w:val="center"/>
        <w:rPr>
          <w:color w:val="000000" w:themeColor="text1"/>
          <w:sz w:val="48"/>
          <w:szCs w:val="48"/>
        </w:rPr>
      </w:pPr>
      <w:r>
        <w:rPr>
          <w:rFonts w:hint="eastAsia"/>
          <w:color w:val="000000" w:themeColor="text1"/>
          <w:sz w:val="48"/>
          <w:szCs w:val="48"/>
        </w:rPr>
        <w:t>单位概况</w:t>
      </w: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pStyle w:val="13"/>
        <w:spacing w:line="560" w:lineRule="exact"/>
        <w:ind w:firstLine="0" w:firstLineChars="0"/>
        <w:jc w:val="left"/>
        <w:rPr>
          <w:rFonts w:asciiTheme="minorEastAsia" w:hAnsiTheme="minorEastAsia" w:cstheme="minorEastAsia"/>
          <w:b/>
          <w:bCs/>
          <w:color w:val="000000" w:themeColor="text1"/>
          <w:sz w:val="28"/>
          <w:szCs w:val="28"/>
        </w:rPr>
      </w:pPr>
      <w:r>
        <w:rPr>
          <w:rFonts w:hint="eastAsia" w:asciiTheme="minorEastAsia" w:hAnsiTheme="minorEastAsia" w:cstheme="minorEastAsia"/>
          <w:b/>
          <w:bCs/>
          <w:color w:val="000000" w:themeColor="text1"/>
          <w:sz w:val="28"/>
          <w:szCs w:val="28"/>
        </w:rPr>
        <w:t>一、部门职责</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中共衡南县委巡察工作领导小组办公室（简称县委巡察办）既是县委工作部门，又是县委巡工作领导小组日常办事机构，设在县纪委。县委巡察办设主任、副主任和其他工作职位。</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县委巡察办的职责是：</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（一）向县委巡察工作领导小组、市委巡察工作领导小组办公室报告巡察工作情况，传达贯彻中央和县委、县委巡察工作领导小组的决策和部署；</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（二）承担巡察工作有关政策研究、制度建设等工作；</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（三）统筹、协调、指导县委巡察组开展工作；</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（四）对县委、县委巡察工作领导小组决定的事项及巡察移交事项进行督办；</w:t>
      </w:r>
    </w:p>
    <w:p>
      <w:pPr>
        <w:pStyle w:val="6"/>
        <w:spacing w:before="0" w:beforeAutospacing="0" w:after="0" w:afterAutospacing="0" w:line="560" w:lineRule="exact"/>
        <w:ind w:firstLine="560" w:firstLineChars="200"/>
        <w:rPr>
          <w:rFonts w:asciiTheme="minorEastAsia" w:hAnsiTheme="minorEastAsia" w:cstheme="minorEastAsia"/>
          <w:color w:val="000000" w:themeColor="text1"/>
          <w:sz w:val="28"/>
          <w:szCs w:val="28"/>
          <w:shd w:val="clear" w:color="auto" w:fill="FFFFFF"/>
        </w:rPr>
      </w:pPr>
      <w:r>
        <w:rPr>
          <w:rFonts w:hint="eastAsia" w:asciiTheme="minorEastAsia" w:hAnsiTheme="minorEastAsia" w:cstheme="minorEastAsia"/>
          <w:color w:val="000000" w:themeColor="text1"/>
          <w:sz w:val="28"/>
          <w:szCs w:val="28"/>
        </w:rPr>
        <w:t>（五）</w:t>
      </w:r>
      <w:r>
        <w:rPr>
          <w:rFonts w:hint="eastAsia" w:asciiTheme="minorEastAsia" w:hAnsiTheme="minorEastAsia" w:cstheme="minorEastAsia"/>
          <w:color w:val="000000" w:themeColor="text1"/>
          <w:sz w:val="28"/>
          <w:szCs w:val="28"/>
          <w:shd w:val="clear" w:color="auto" w:fill="FFFFFF"/>
        </w:rPr>
        <w:t>根据县委巡察工作领导小组的统一安排，承担常规巡察、专项巡察、交叉巡察任务，向领导小组负责并报告工作</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（六）完成县委和县委巡察工作领导小组交办的其他任务。</w:t>
      </w:r>
    </w:p>
    <w:p>
      <w:pPr>
        <w:widowControl/>
        <w:spacing w:line="560" w:lineRule="exact"/>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二、机构设置及决算单位构成</w:t>
      </w:r>
    </w:p>
    <w:p>
      <w:pPr>
        <w:pStyle w:val="13"/>
        <w:widowControl/>
        <w:spacing w:line="560" w:lineRule="exact"/>
        <w:ind w:firstLine="56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（一）内设机构设置。现设有巡察办和三个巡察组及一个信息中心，县委巡察办为县委巡察工作领导小组的日常办事机构，为正科级机构。</w:t>
      </w:r>
    </w:p>
    <w:p>
      <w:pPr>
        <w:pStyle w:val="13"/>
        <w:widowControl/>
        <w:spacing w:line="560" w:lineRule="exact"/>
        <w:ind w:firstLine="56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（二）决算单位构成。县委巡察办2020年部门决算汇总公开单位构成包括：县委巡察办本级。</w:t>
      </w:r>
    </w:p>
    <w:p>
      <w:pPr>
        <w:spacing w:line="560" w:lineRule="exact"/>
        <w:jc w:val="left"/>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pStyle w:val="12"/>
        <w:jc w:val="center"/>
        <w:rPr>
          <w:color w:val="000000" w:themeColor="text1"/>
          <w:sz w:val="48"/>
          <w:szCs w:val="48"/>
        </w:rPr>
      </w:pPr>
      <w:r>
        <w:rPr>
          <w:rFonts w:hint="eastAsia"/>
          <w:color w:val="000000" w:themeColor="text1"/>
          <w:sz w:val="48"/>
          <w:szCs w:val="48"/>
        </w:rPr>
        <w:t>第二部分</w:t>
      </w: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部门决算表</w:t>
      </w: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(部门决算公示表附后)</w:t>
      </w: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spacing w:line="560" w:lineRule="exact"/>
        <w:jc w:val="center"/>
        <w:rPr>
          <w:rFonts w:asciiTheme="minorEastAsia" w:hAnsiTheme="minorEastAsia" w:cstheme="minorEastAsia"/>
          <w:color w:val="000000" w:themeColor="text1"/>
          <w:sz w:val="28"/>
          <w:szCs w:val="28"/>
        </w:rPr>
      </w:pPr>
    </w:p>
    <w:p>
      <w:pPr>
        <w:pStyle w:val="12"/>
        <w:jc w:val="center"/>
        <w:rPr>
          <w:color w:val="000000" w:themeColor="text1"/>
          <w:sz w:val="48"/>
          <w:szCs w:val="48"/>
        </w:rPr>
      </w:pPr>
      <w:r>
        <w:rPr>
          <w:rFonts w:hint="eastAsia"/>
          <w:color w:val="000000" w:themeColor="text1"/>
          <w:sz w:val="48"/>
          <w:szCs w:val="48"/>
        </w:rPr>
        <w:t>第三部分</w:t>
      </w: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2020年度部门决算情况说明</w:t>
      </w:r>
    </w:p>
    <w:p>
      <w:pPr>
        <w:widowControl/>
        <w:spacing w:line="560" w:lineRule="exact"/>
        <w:jc w:val="left"/>
        <w:rPr>
          <w:rFonts w:asciiTheme="minorEastAsia" w:hAnsiTheme="minorEastAsia" w:cstheme="minorEastAsia"/>
          <w:color w:val="000000" w:themeColor="text1"/>
          <w:kern w:val="0"/>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一、收入支出决算总体情况说明</w:t>
      </w:r>
    </w:p>
    <w:p>
      <w:pPr>
        <w:spacing w:line="520" w:lineRule="exact"/>
        <w:ind w:firstLine="640"/>
        <w:rPr>
          <w:rFonts w:asciiTheme="minorEastAsia" w:hAnsiTheme="minorEastAsia"/>
          <w:sz w:val="28"/>
          <w:szCs w:val="28"/>
        </w:rPr>
      </w:pPr>
      <w:r>
        <w:rPr>
          <w:rFonts w:hint="eastAsia" w:asciiTheme="minorEastAsia" w:hAnsiTheme="minorEastAsia"/>
          <w:sz w:val="28"/>
          <w:szCs w:val="28"/>
        </w:rPr>
        <w:t>2020年度收、支总计331.07万元。与2019年相比，减少68.42万元，减少17.12</w:t>
      </w:r>
      <w:r>
        <w:rPr>
          <w:rFonts w:hint="eastAsia" w:asciiTheme="minorEastAsia" w:hAnsiTheme="minorEastAsia"/>
          <w:sz w:val="28"/>
          <w:szCs w:val="28"/>
          <w:lang w:val="zh-CN"/>
        </w:rPr>
        <w:t>%</w:t>
      </w:r>
      <w:r>
        <w:rPr>
          <w:rFonts w:hint="eastAsia" w:asciiTheme="minorEastAsia" w:hAnsiTheme="minorEastAsia"/>
          <w:sz w:val="28"/>
          <w:szCs w:val="28"/>
        </w:rPr>
        <w:t>，</w:t>
      </w:r>
      <w:r>
        <w:rPr>
          <w:rFonts w:hint="eastAsia" w:asciiTheme="minorEastAsia" w:hAnsiTheme="minorEastAsia"/>
          <w:sz w:val="28"/>
          <w:szCs w:val="28"/>
          <w:lang w:val="zh-CN"/>
        </w:rPr>
        <w:t>变化的主要原因是：</w:t>
      </w:r>
      <w:r>
        <w:rPr>
          <w:rFonts w:hint="eastAsia" w:asciiTheme="minorEastAsia" w:hAnsiTheme="minorEastAsia"/>
          <w:sz w:val="28"/>
          <w:szCs w:val="28"/>
        </w:rPr>
        <w:t>政策性调整。</w:t>
      </w: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二、收入决算情况说明</w:t>
      </w:r>
    </w:p>
    <w:p>
      <w:pPr>
        <w:pStyle w:val="12"/>
        <w:spacing w:line="560" w:lineRule="exact"/>
        <w:ind w:firstLine="560" w:firstLineChars="200"/>
        <w:rPr>
          <w:rFonts w:asciiTheme="minorEastAsia" w:hAnsiTheme="minorEastAsia" w:eastAsiaTheme="minorEastAsia" w:cstheme="minorEastAsia"/>
          <w:color w:val="000000" w:themeColor="text1"/>
          <w:sz w:val="28"/>
          <w:szCs w:val="28"/>
        </w:rPr>
      </w:pPr>
      <w:r>
        <w:rPr>
          <w:rFonts w:hint="eastAsia" w:ascii="宋体" w:hAnsi="宋体" w:eastAsia="宋体" w:cs="宋体"/>
          <w:sz w:val="28"/>
          <w:szCs w:val="28"/>
        </w:rPr>
        <w:t>2020年收入合计</w:t>
      </w:r>
      <w:r>
        <w:rPr>
          <w:rFonts w:hint="eastAsia" w:cs="宋体" w:asciiTheme="minorEastAsia" w:hAnsiTheme="minorEastAsia" w:eastAsiaTheme="minorEastAsia"/>
          <w:sz w:val="28"/>
          <w:szCs w:val="28"/>
        </w:rPr>
        <w:t>331.07</w:t>
      </w:r>
      <w:r>
        <w:rPr>
          <w:rFonts w:hint="eastAsia" w:ascii="宋体" w:hAnsi="宋体" w:eastAsia="宋体" w:cs="宋体"/>
          <w:sz w:val="28"/>
          <w:szCs w:val="28"/>
        </w:rPr>
        <w:t>万元,其中：一般公共预算拨款收入</w:t>
      </w:r>
      <w:r>
        <w:rPr>
          <w:rFonts w:hint="eastAsia" w:cs="宋体" w:asciiTheme="minorEastAsia" w:hAnsiTheme="minorEastAsia" w:eastAsiaTheme="minorEastAsia"/>
          <w:sz w:val="28"/>
          <w:szCs w:val="28"/>
        </w:rPr>
        <w:t>33.07</w:t>
      </w:r>
      <w:r>
        <w:rPr>
          <w:rFonts w:hint="eastAsia" w:ascii="宋体" w:hAnsi="宋体" w:eastAsia="宋体" w:cs="宋体"/>
          <w:sz w:val="28"/>
          <w:szCs w:val="28"/>
        </w:rPr>
        <w:t>万元，占比</w:t>
      </w:r>
      <w:r>
        <w:rPr>
          <w:rFonts w:hint="eastAsia" w:cs="宋体" w:asciiTheme="minorEastAsia" w:hAnsiTheme="minorEastAsia" w:eastAsiaTheme="minorEastAsia"/>
          <w:sz w:val="28"/>
          <w:szCs w:val="28"/>
        </w:rPr>
        <w:t>100</w:t>
      </w:r>
      <w:r>
        <w:rPr>
          <w:rFonts w:hint="eastAsia" w:ascii="宋体" w:hAnsi="宋体" w:eastAsia="宋体" w:cs="宋体"/>
          <w:sz w:val="28"/>
          <w:szCs w:val="28"/>
        </w:rPr>
        <w:t>%。与2019年相比，减少68.42万元，减少17.12%，变化的主要原因是：政策性调整。</w:t>
      </w: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三、支出决算情况说明</w:t>
      </w:r>
    </w:p>
    <w:p>
      <w:pPr>
        <w:pStyle w:val="12"/>
        <w:spacing w:line="560" w:lineRule="exact"/>
        <w:ind w:firstLine="560" w:firstLineChars="200"/>
        <w:rPr>
          <w:rFonts w:cs="宋体" w:asciiTheme="minorEastAsia" w:hAnsiTheme="minorEastAsia" w:eastAsiaTheme="minorEastAsia"/>
          <w:sz w:val="28"/>
          <w:szCs w:val="28"/>
        </w:rPr>
      </w:pPr>
      <w:r>
        <w:rPr>
          <w:rFonts w:hint="eastAsia" w:ascii="宋体" w:hAnsi="宋体" w:eastAsia="宋体" w:cs="宋体"/>
          <w:sz w:val="28"/>
          <w:szCs w:val="28"/>
        </w:rPr>
        <w:t>2020年度本年支出合计</w:t>
      </w:r>
      <w:r>
        <w:rPr>
          <w:rFonts w:hint="eastAsia" w:cs="宋体" w:asciiTheme="minorEastAsia" w:hAnsiTheme="minorEastAsia" w:eastAsiaTheme="minorEastAsia"/>
          <w:sz w:val="28"/>
          <w:szCs w:val="28"/>
        </w:rPr>
        <w:t>331.07</w:t>
      </w:r>
      <w:r>
        <w:rPr>
          <w:rFonts w:hint="eastAsia" w:ascii="宋体" w:hAnsi="宋体" w:eastAsia="宋体" w:cs="宋体"/>
          <w:sz w:val="28"/>
          <w:szCs w:val="28"/>
        </w:rPr>
        <w:t>万元，较上年决算数</w:t>
      </w:r>
      <w:r>
        <w:rPr>
          <w:rFonts w:hint="eastAsia" w:cs="宋体" w:asciiTheme="minorEastAsia" w:hAnsiTheme="minorEastAsia" w:eastAsiaTheme="minorEastAsia"/>
          <w:sz w:val="28"/>
          <w:szCs w:val="28"/>
        </w:rPr>
        <w:t>399.49万元减少68.42</w:t>
      </w:r>
      <w:r>
        <w:rPr>
          <w:rFonts w:hint="eastAsia" w:ascii="宋体" w:hAnsi="宋体" w:eastAsia="宋体" w:cs="宋体"/>
          <w:sz w:val="28"/>
          <w:szCs w:val="28"/>
        </w:rPr>
        <w:t>万元，</w:t>
      </w:r>
      <w:r>
        <w:rPr>
          <w:rFonts w:hint="eastAsia" w:cs="宋体" w:asciiTheme="minorEastAsia" w:hAnsiTheme="minorEastAsia" w:eastAsiaTheme="minorEastAsia"/>
          <w:sz w:val="28"/>
          <w:szCs w:val="28"/>
        </w:rPr>
        <w:t>减少17.12</w:t>
      </w:r>
      <w:r>
        <w:rPr>
          <w:rFonts w:hint="eastAsia" w:ascii="宋体" w:hAnsi="宋体" w:eastAsia="宋体" w:cs="宋体"/>
          <w:sz w:val="28"/>
          <w:szCs w:val="28"/>
        </w:rPr>
        <w:t>%。本年支出按支出性质和经济分类：基本支出</w:t>
      </w:r>
      <w:r>
        <w:rPr>
          <w:rFonts w:hint="eastAsia" w:cs="宋体" w:asciiTheme="minorEastAsia" w:hAnsiTheme="minorEastAsia" w:eastAsiaTheme="minorEastAsia"/>
          <w:sz w:val="28"/>
          <w:szCs w:val="28"/>
        </w:rPr>
        <w:t>245.07</w:t>
      </w:r>
      <w:r>
        <w:rPr>
          <w:rFonts w:hint="eastAsia" w:ascii="宋体" w:hAnsi="宋体" w:eastAsia="宋体" w:cs="宋体"/>
          <w:sz w:val="28"/>
          <w:szCs w:val="28"/>
        </w:rPr>
        <w:t>万元，占比</w:t>
      </w:r>
      <w:r>
        <w:rPr>
          <w:rFonts w:hint="eastAsia" w:cs="宋体" w:asciiTheme="minorEastAsia" w:hAnsiTheme="minorEastAsia" w:eastAsiaTheme="minorEastAsia"/>
          <w:sz w:val="28"/>
          <w:szCs w:val="28"/>
        </w:rPr>
        <w:t>74.03</w:t>
      </w:r>
      <w:r>
        <w:rPr>
          <w:rFonts w:hint="eastAsia" w:ascii="宋体" w:hAnsi="宋体" w:eastAsia="宋体" w:cs="宋体"/>
          <w:sz w:val="28"/>
          <w:szCs w:val="28"/>
        </w:rPr>
        <w:t>%；项目支出</w:t>
      </w:r>
      <w:r>
        <w:rPr>
          <w:rFonts w:hint="eastAsia" w:cs="宋体" w:asciiTheme="minorEastAsia" w:hAnsiTheme="minorEastAsia" w:eastAsiaTheme="minorEastAsia"/>
          <w:sz w:val="28"/>
          <w:szCs w:val="28"/>
        </w:rPr>
        <w:t>86</w:t>
      </w:r>
      <w:r>
        <w:rPr>
          <w:rFonts w:hint="eastAsia" w:ascii="宋体" w:hAnsi="宋体" w:eastAsia="宋体" w:cs="宋体"/>
          <w:sz w:val="28"/>
          <w:szCs w:val="28"/>
        </w:rPr>
        <w:t>万元，占比</w:t>
      </w:r>
      <w:r>
        <w:rPr>
          <w:rFonts w:hint="eastAsia" w:cs="宋体" w:asciiTheme="minorEastAsia" w:hAnsiTheme="minorEastAsia" w:eastAsiaTheme="minorEastAsia"/>
          <w:sz w:val="28"/>
          <w:szCs w:val="28"/>
        </w:rPr>
        <w:t>25.97</w:t>
      </w:r>
      <w:r>
        <w:rPr>
          <w:rFonts w:hint="eastAsia" w:ascii="宋体" w:hAnsi="宋体" w:eastAsia="宋体" w:cs="宋体"/>
          <w:sz w:val="28"/>
          <w:szCs w:val="28"/>
        </w:rPr>
        <w:t>%。本年支出按功能分类各项构成及占比情况如下：</w:t>
      </w:r>
    </w:p>
    <w:p>
      <w:pPr>
        <w:pStyle w:val="12"/>
        <w:spacing w:line="56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1、一般公共服务支出</w:t>
      </w:r>
      <w:r>
        <w:rPr>
          <w:rFonts w:hint="eastAsia" w:ascii="宋体" w:hAnsi="宋体" w:cs="宋体"/>
          <w:sz w:val="28"/>
          <w:szCs w:val="28"/>
        </w:rPr>
        <w:t>308.01</w:t>
      </w:r>
      <w:r>
        <w:rPr>
          <w:rFonts w:hint="eastAsia" w:cs="宋体" w:asciiTheme="minorEastAsia" w:hAnsiTheme="minorEastAsia" w:eastAsiaTheme="minorEastAsia"/>
          <w:sz w:val="28"/>
          <w:szCs w:val="28"/>
        </w:rPr>
        <w:t>万元，占比93.04%；</w:t>
      </w:r>
    </w:p>
    <w:p>
      <w:pPr>
        <w:pStyle w:val="12"/>
        <w:spacing w:line="56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2、社会保障和就业支出20.18万元，占比6.1%；</w:t>
      </w:r>
    </w:p>
    <w:p>
      <w:pPr>
        <w:pStyle w:val="12"/>
        <w:spacing w:line="560" w:lineRule="exact"/>
        <w:ind w:firstLine="560" w:firstLineChars="20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3、卫生健康支出2.88万元，占比0.86%。</w:t>
      </w:r>
    </w:p>
    <w:p>
      <w:pPr>
        <w:pStyle w:val="12"/>
        <w:spacing w:line="560" w:lineRule="exact"/>
        <w:ind w:firstLine="560" w:firstLineChars="200"/>
        <w:rPr>
          <w:rFonts w:asciiTheme="minorEastAsia" w:hAnsiTheme="minorEastAsia" w:eastAsiaTheme="minorEastAsia" w:cstheme="minorEastAsia"/>
          <w:b/>
          <w:color w:val="000000" w:themeColor="text1"/>
          <w:sz w:val="28"/>
          <w:szCs w:val="28"/>
        </w:rPr>
      </w:pPr>
      <w:r>
        <w:rPr>
          <w:rFonts w:hint="eastAsia" w:asciiTheme="minorEastAsia" w:hAnsiTheme="minorEastAsia" w:eastAsiaTheme="minorEastAsia" w:cstheme="minorEastAsia"/>
          <w:b/>
          <w:color w:val="000000" w:themeColor="text1"/>
          <w:sz w:val="28"/>
          <w:szCs w:val="28"/>
        </w:rPr>
        <w:t>四、财政拨款收入支出决算总体情况说明</w:t>
      </w:r>
    </w:p>
    <w:p>
      <w:pPr>
        <w:pStyle w:val="12"/>
        <w:spacing w:line="560" w:lineRule="exact"/>
        <w:ind w:firstLine="560" w:firstLineChars="200"/>
        <w:rPr>
          <w:rFonts w:cs="仿宋_GB2312" w:asciiTheme="minorEastAsia" w:hAnsiTheme="minorEastAsia" w:eastAsiaTheme="minorEastAsia"/>
          <w:sz w:val="28"/>
          <w:szCs w:val="28"/>
        </w:rPr>
      </w:pPr>
      <w:r>
        <w:rPr>
          <w:rFonts w:cs="TimesNewRomanPSMT" w:asciiTheme="minorEastAsia" w:hAnsiTheme="minorEastAsia" w:eastAsiaTheme="minorEastAsia"/>
          <w:sz w:val="28"/>
          <w:szCs w:val="28"/>
        </w:rPr>
        <w:t>2020</w:t>
      </w:r>
      <w:r>
        <w:rPr>
          <w:rFonts w:hint="eastAsia" w:cs="仿宋_GB2312" w:asciiTheme="minorEastAsia" w:hAnsiTheme="minorEastAsia" w:eastAsiaTheme="minorEastAsia"/>
          <w:sz w:val="28"/>
          <w:szCs w:val="28"/>
        </w:rPr>
        <w:t>年度财政拨款收、支总计</w:t>
      </w:r>
      <w:r>
        <w:rPr>
          <w:rFonts w:hint="eastAsia" w:cs="TimesNewRomanPSMT" w:asciiTheme="minorEastAsia" w:hAnsiTheme="minorEastAsia" w:eastAsiaTheme="minorEastAsia"/>
          <w:sz w:val="28"/>
          <w:szCs w:val="28"/>
        </w:rPr>
        <w:t>331.07</w:t>
      </w:r>
      <w:r>
        <w:rPr>
          <w:rFonts w:hint="eastAsia" w:cs="仿宋_GB2312" w:asciiTheme="minorEastAsia" w:hAnsiTheme="minorEastAsia" w:eastAsiaTheme="minorEastAsia"/>
          <w:sz w:val="28"/>
          <w:szCs w:val="28"/>
        </w:rPr>
        <w:t>万元，与上年相比，减少68.42万元，减少17.12</w:t>
      </w:r>
      <w:r>
        <w:rPr>
          <w:rFonts w:cs="仿宋_GB2312" w:asciiTheme="minorEastAsia" w:hAnsiTheme="minorEastAsia" w:eastAsiaTheme="minorEastAsia"/>
          <w:sz w:val="28"/>
          <w:szCs w:val="28"/>
        </w:rPr>
        <w:t>%</w:t>
      </w:r>
      <w:r>
        <w:rPr>
          <w:rFonts w:hint="eastAsia" w:cs="仿宋_GB2312" w:asciiTheme="minorEastAsia" w:hAnsiTheme="minorEastAsia" w:eastAsiaTheme="minorEastAsia"/>
          <w:sz w:val="28"/>
          <w:szCs w:val="28"/>
        </w:rPr>
        <w:t>，主要是因为：贯彻落实国家过“紧日子”要求，压减了一般性支出；</w:t>
      </w:r>
    </w:p>
    <w:p>
      <w:pPr>
        <w:pStyle w:val="12"/>
        <w:spacing w:line="560" w:lineRule="exact"/>
        <w:ind w:firstLine="56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五、一般公共预算财政拨款支出决算情况说明</w:t>
      </w:r>
    </w:p>
    <w:p>
      <w:pPr>
        <w:pStyle w:val="12"/>
        <w:spacing w:line="560" w:lineRule="exact"/>
        <w:ind w:firstLine="560"/>
        <w:rPr>
          <w:rFonts w:cs="楷体_GB2312" w:asciiTheme="minorEastAsia" w:hAnsiTheme="minorEastAsia" w:eastAsiaTheme="minorEastAsia"/>
          <w:sz w:val="28"/>
          <w:szCs w:val="28"/>
        </w:rPr>
      </w:pPr>
      <w:r>
        <w:rPr>
          <w:rFonts w:hint="eastAsia" w:cs="楷体_GB2312" w:asciiTheme="minorEastAsia" w:hAnsiTheme="minorEastAsia" w:eastAsiaTheme="minorEastAsia"/>
          <w:sz w:val="28"/>
          <w:szCs w:val="28"/>
        </w:rPr>
        <w:t>（一）财政拨款支出决算总体情况</w:t>
      </w:r>
    </w:p>
    <w:p>
      <w:pPr>
        <w:pStyle w:val="12"/>
        <w:spacing w:line="560" w:lineRule="exact"/>
        <w:ind w:firstLine="560"/>
        <w:rPr>
          <w:rFonts w:cs="仿宋_GB2312" w:asciiTheme="minorEastAsia" w:hAnsiTheme="minorEastAsia" w:eastAsiaTheme="minorEastAsia"/>
          <w:sz w:val="28"/>
          <w:szCs w:val="28"/>
        </w:rPr>
      </w:pPr>
      <w:r>
        <w:rPr>
          <w:rFonts w:cs="TimesNewRomanPSMT" w:asciiTheme="minorEastAsia" w:hAnsiTheme="minorEastAsia" w:eastAsiaTheme="minorEastAsia"/>
          <w:sz w:val="28"/>
          <w:szCs w:val="28"/>
        </w:rPr>
        <w:t>2020</w:t>
      </w:r>
      <w:r>
        <w:rPr>
          <w:rFonts w:hint="eastAsia" w:cs="仿宋_GB2312" w:asciiTheme="minorEastAsia" w:hAnsiTheme="minorEastAsia" w:eastAsiaTheme="minorEastAsia"/>
          <w:sz w:val="28"/>
          <w:szCs w:val="28"/>
        </w:rPr>
        <w:t>年度财政拨款支出</w:t>
      </w:r>
      <w:r>
        <w:rPr>
          <w:rFonts w:hint="eastAsia" w:cs="TimesNewRomanPSMT" w:asciiTheme="minorEastAsia" w:hAnsiTheme="minorEastAsia" w:eastAsiaTheme="minorEastAsia"/>
          <w:sz w:val="28"/>
          <w:szCs w:val="28"/>
        </w:rPr>
        <w:t>331.07</w:t>
      </w:r>
      <w:r>
        <w:rPr>
          <w:rFonts w:hint="eastAsia" w:cs="仿宋_GB2312" w:asciiTheme="minorEastAsia" w:hAnsiTheme="minorEastAsia" w:eastAsiaTheme="minorEastAsia"/>
          <w:sz w:val="28"/>
          <w:szCs w:val="28"/>
        </w:rPr>
        <w:t>万元，占本年支出合计的</w:t>
      </w:r>
      <w:r>
        <w:rPr>
          <w:rFonts w:hint="eastAsia" w:cs="TimesNewRomanPSMT" w:asciiTheme="minorEastAsia" w:hAnsiTheme="minorEastAsia"/>
          <w:sz w:val="28"/>
          <w:szCs w:val="28"/>
        </w:rPr>
        <w:t>100</w:t>
      </w:r>
      <w:r>
        <w:rPr>
          <w:rFonts w:cs="TimesNewRomanPSMT" w:asciiTheme="minorEastAsia" w:hAnsiTheme="minorEastAsia" w:eastAsiaTheme="minorEastAsia"/>
          <w:sz w:val="28"/>
          <w:szCs w:val="28"/>
        </w:rPr>
        <w:t>%</w:t>
      </w:r>
      <w:r>
        <w:rPr>
          <w:rFonts w:hint="eastAsia" w:cs="仿宋_GB2312" w:asciiTheme="minorEastAsia" w:hAnsiTheme="minorEastAsia" w:eastAsiaTheme="minorEastAsia"/>
          <w:sz w:val="28"/>
          <w:szCs w:val="28"/>
        </w:rPr>
        <w:t>，与上年相比，财政拨款支出减少</w:t>
      </w:r>
      <w:r>
        <w:rPr>
          <w:rFonts w:hint="eastAsia" w:cs="TimesNewRomanPSMT" w:asciiTheme="minorEastAsia" w:hAnsiTheme="minorEastAsia" w:eastAsiaTheme="minorEastAsia"/>
          <w:sz w:val="28"/>
          <w:szCs w:val="28"/>
        </w:rPr>
        <w:t>68.42</w:t>
      </w:r>
      <w:r>
        <w:rPr>
          <w:rFonts w:hint="eastAsia" w:cs="仿宋_GB2312" w:asciiTheme="minorEastAsia" w:hAnsiTheme="minorEastAsia" w:eastAsiaTheme="minorEastAsia"/>
          <w:sz w:val="28"/>
          <w:szCs w:val="28"/>
        </w:rPr>
        <w:t>万元，减少</w:t>
      </w:r>
      <w:r>
        <w:rPr>
          <w:rFonts w:hint="eastAsia" w:cs="TimesNewRomanPSMT" w:asciiTheme="minorEastAsia" w:hAnsiTheme="minorEastAsia" w:eastAsiaTheme="minorEastAsia"/>
          <w:sz w:val="28"/>
          <w:szCs w:val="28"/>
        </w:rPr>
        <w:t>17.12</w:t>
      </w:r>
      <w:r>
        <w:rPr>
          <w:rFonts w:cs="TimesNewRomanPSMT" w:asciiTheme="minorEastAsia" w:hAnsiTheme="minorEastAsia" w:eastAsiaTheme="minorEastAsia"/>
          <w:sz w:val="28"/>
          <w:szCs w:val="28"/>
        </w:rPr>
        <w:t>%</w:t>
      </w:r>
      <w:r>
        <w:rPr>
          <w:rFonts w:hint="eastAsia" w:cs="仿宋_GB2312" w:asciiTheme="minorEastAsia" w:hAnsiTheme="minorEastAsia" w:eastAsiaTheme="minorEastAsia"/>
          <w:sz w:val="28"/>
          <w:szCs w:val="28"/>
        </w:rPr>
        <w:t>，主要是因为：厉行节约，压减了一般性支出。</w:t>
      </w:r>
    </w:p>
    <w:p>
      <w:pPr>
        <w:pStyle w:val="12"/>
        <w:spacing w:line="560" w:lineRule="exact"/>
        <w:ind w:firstLine="560"/>
        <w:rPr>
          <w:rFonts w:cs="楷体_GB2312" w:asciiTheme="minorEastAsia" w:hAnsiTheme="minorEastAsia" w:eastAsiaTheme="minorEastAsia"/>
          <w:b/>
          <w:sz w:val="28"/>
          <w:szCs w:val="28"/>
        </w:rPr>
      </w:pPr>
      <w:r>
        <w:rPr>
          <w:rFonts w:hint="eastAsia" w:cs="楷体_GB2312" w:asciiTheme="minorEastAsia" w:hAnsiTheme="minorEastAsia" w:eastAsiaTheme="minorEastAsia"/>
          <w:b/>
          <w:sz w:val="28"/>
          <w:szCs w:val="28"/>
        </w:rPr>
        <w:t>（二）财政拨款支出决算结构情况</w:t>
      </w:r>
    </w:p>
    <w:p>
      <w:pPr>
        <w:pStyle w:val="12"/>
        <w:spacing w:line="560" w:lineRule="exact"/>
        <w:ind w:firstLine="560"/>
        <w:rPr>
          <w:rFonts w:cs="仿宋_GB2312" w:asciiTheme="minorEastAsia" w:hAnsiTheme="minorEastAsia" w:eastAsiaTheme="minorEastAsia"/>
          <w:b/>
          <w:sz w:val="28"/>
          <w:szCs w:val="28"/>
        </w:rPr>
      </w:pPr>
      <w:r>
        <w:rPr>
          <w:rFonts w:cs="TimesNewRomanPSMT" w:asciiTheme="minorEastAsia" w:hAnsiTheme="minorEastAsia" w:eastAsiaTheme="minorEastAsia"/>
          <w:sz w:val="28"/>
          <w:szCs w:val="28"/>
        </w:rPr>
        <w:t>2020</w:t>
      </w:r>
      <w:r>
        <w:rPr>
          <w:rFonts w:hint="eastAsia" w:cs="仿宋_GB2312" w:asciiTheme="minorEastAsia" w:hAnsiTheme="minorEastAsia" w:eastAsiaTheme="minorEastAsia"/>
          <w:sz w:val="28"/>
          <w:szCs w:val="28"/>
        </w:rPr>
        <w:t>年度财政拨款支出</w:t>
      </w:r>
      <w:r>
        <w:rPr>
          <w:rFonts w:hint="eastAsia" w:cs="TimesNewRomanPSMT" w:asciiTheme="minorEastAsia" w:hAnsiTheme="minorEastAsia" w:eastAsiaTheme="minorEastAsia"/>
          <w:sz w:val="28"/>
          <w:szCs w:val="28"/>
        </w:rPr>
        <w:t>331.07</w:t>
      </w:r>
      <w:r>
        <w:rPr>
          <w:rFonts w:hint="eastAsia" w:cs="仿宋_GB2312" w:asciiTheme="minorEastAsia" w:hAnsiTheme="minorEastAsia" w:eastAsiaTheme="minorEastAsia"/>
          <w:sz w:val="28"/>
          <w:szCs w:val="28"/>
        </w:rPr>
        <w:t>万元，主要用于以下方面：一般公共服务（类）支出</w:t>
      </w:r>
      <w:r>
        <w:rPr>
          <w:rFonts w:hint="eastAsia" w:cs="TimesNewRomanPSMT" w:asciiTheme="minorEastAsia" w:hAnsiTheme="minorEastAsia"/>
          <w:sz w:val="28"/>
          <w:szCs w:val="28"/>
        </w:rPr>
        <w:t>308.12</w:t>
      </w:r>
      <w:r>
        <w:rPr>
          <w:rFonts w:hint="eastAsia" w:cs="仿宋_GB2312" w:asciiTheme="minorEastAsia" w:hAnsiTheme="minorEastAsia" w:eastAsiaTheme="minorEastAsia"/>
          <w:sz w:val="28"/>
          <w:szCs w:val="28"/>
        </w:rPr>
        <w:t>万元，占</w:t>
      </w:r>
      <w:r>
        <w:rPr>
          <w:rFonts w:hint="eastAsia" w:cs="TimesNewRomanPSMT" w:asciiTheme="minorEastAsia" w:hAnsiTheme="minorEastAsia"/>
          <w:sz w:val="28"/>
          <w:szCs w:val="28"/>
        </w:rPr>
        <w:t>93.04</w:t>
      </w:r>
      <w:r>
        <w:rPr>
          <w:rFonts w:cs="TimesNewRomanPSMT" w:asciiTheme="minorEastAsia" w:hAnsiTheme="minorEastAsia" w:eastAsiaTheme="minorEastAsia"/>
          <w:sz w:val="28"/>
          <w:szCs w:val="28"/>
        </w:rPr>
        <w:t>%</w:t>
      </w:r>
      <w:r>
        <w:rPr>
          <w:rFonts w:hint="eastAsia" w:cs="仿宋_GB2312" w:asciiTheme="minorEastAsia" w:hAnsiTheme="minorEastAsia" w:eastAsiaTheme="minorEastAsia"/>
          <w:sz w:val="28"/>
          <w:szCs w:val="28"/>
        </w:rPr>
        <w:t>；社会保障和就业（类）支出</w:t>
      </w:r>
      <w:r>
        <w:rPr>
          <w:rFonts w:hint="eastAsia" w:cs="TimesNewRomanPSMT" w:asciiTheme="minorEastAsia" w:hAnsiTheme="minorEastAsia"/>
          <w:sz w:val="28"/>
          <w:szCs w:val="28"/>
        </w:rPr>
        <w:t>20.18</w:t>
      </w:r>
      <w:r>
        <w:rPr>
          <w:rFonts w:hint="eastAsia" w:cs="仿宋_GB2312" w:asciiTheme="minorEastAsia" w:hAnsiTheme="minorEastAsia" w:eastAsiaTheme="minorEastAsia"/>
          <w:sz w:val="28"/>
          <w:szCs w:val="28"/>
        </w:rPr>
        <w:t>万元，占</w:t>
      </w:r>
      <w:r>
        <w:rPr>
          <w:rFonts w:hint="eastAsia" w:cs="TimesNewRomanPSMT" w:asciiTheme="minorEastAsia" w:hAnsiTheme="minorEastAsia"/>
          <w:sz w:val="28"/>
          <w:szCs w:val="28"/>
        </w:rPr>
        <w:t>6.1</w:t>
      </w:r>
      <w:r>
        <w:rPr>
          <w:rFonts w:cs="TimesNewRomanPSMT" w:asciiTheme="minorEastAsia" w:hAnsiTheme="minorEastAsia" w:eastAsiaTheme="minorEastAsia"/>
          <w:sz w:val="28"/>
          <w:szCs w:val="28"/>
        </w:rPr>
        <w:t>%</w:t>
      </w:r>
      <w:r>
        <w:rPr>
          <w:rFonts w:hint="eastAsia" w:cs="仿宋_GB2312" w:asciiTheme="minorEastAsia" w:hAnsiTheme="minorEastAsia" w:eastAsiaTheme="minorEastAsia"/>
          <w:sz w:val="28"/>
          <w:szCs w:val="28"/>
        </w:rPr>
        <w:t>；卫生健康（类）支出</w:t>
      </w:r>
      <w:r>
        <w:rPr>
          <w:rFonts w:hint="eastAsia" w:cs="TimesNewRomanPSMT" w:asciiTheme="minorEastAsia" w:hAnsiTheme="minorEastAsia"/>
          <w:sz w:val="28"/>
          <w:szCs w:val="28"/>
        </w:rPr>
        <w:t>2.88</w:t>
      </w:r>
      <w:r>
        <w:rPr>
          <w:rFonts w:hint="eastAsia" w:cs="仿宋_GB2312" w:asciiTheme="minorEastAsia" w:hAnsiTheme="minorEastAsia" w:eastAsiaTheme="minorEastAsia"/>
          <w:sz w:val="28"/>
          <w:szCs w:val="28"/>
        </w:rPr>
        <w:t>万元，占</w:t>
      </w:r>
      <w:r>
        <w:rPr>
          <w:rFonts w:hint="eastAsia" w:cs="TimesNewRomanPSMT" w:asciiTheme="minorEastAsia" w:hAnsiTheme="minorEastAsia"/>
          <w:sz w:val="28"/>
          <w:szCs w:val="28"/>
        </w:rPr>
        <w:t>0.86</w:t>
      </w:r>
      <w:r>
        <w:rPr>
          <w:rFonts w:cs="TimesNewRomanPSMT" w:asciiTheme="minorEastAsia" w:hAnsiTheme="minorEastAsia" w:eastAsiaTheme="minorEastAsia"/>
          <w:sz w:val="28"/>
          <w:szCs w:val="28"/>
        </w:rPr>
        <w:t>%</w:t>
      </w:r>
      <w:r>
        <w:rPr>
          <w:rFonts w:hint="eastAsia" w:cs="仿宋_GB2312" w:asciiTheme="minorEastAsia" w:hAnsiTheme="minorEastAsia" w:eastAsiaTheme="minorEastAsia"/>
          <w:sz w:val="28"/>
          <w:szCs w:val="28"/>
        </w:rPr>
        <w:t>。</w:t>
      </w:r>
    </w:p>
    <w:p>
      <w:pPr>
        <w:pStyle w:val="12"/>
        <w:spacing w:line="560" w:lineRule="exact"/>
        <w:ind w:firstLine="700" w:firstLineChars="25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（三）财政拨款支出决算具体情况</w:t>
      </w:r>
    </w:p>
    <w:p>
      <w:pPr>
        <w:pStyle w:val="12"/>
        <w:spacing w:line="560" w:lineRule="exact"/>
        <w:ind w:firstLine="700" w:firstLineChars="250"/>
        <w:rPr>
          <w:rFonts w:cs="仿宋_GB2312" w:asciiTheme="minorEastAsia" w:hAnsiTheme="minorEastAsia" w:eastAsiaTheme="minorEastAsia"/>
          <w:sz w:val="28"/>
          <w:szCs w:val="28"/>
        </w:rPr>
      </w:pPr>
      <w:r>
        <w:rPr>
          <w:rFonts w:cs="TimesNewRomanPSMT" w:asciiTheme="minorEastAsia" w:hAnsiTheme="minorEastAsia" w:eastAsiaTheme="minorEastAsia"/>
          <w:sz w:val="28"/>
          <w:szCs w:val="28"/>
        </w:rPr>
        <w:t>2020</w:t>
      </w:r>
      <w:r>
        <w:rPr>
          <w:rFonts w:hint="eastAsia" w:cs="仿宋_GB2312" w:asciiTheme="minorEastAsia" w:hAnsiTheme="minorEastAsia" w:eastAsiaTheme="minorEastAsia"/>
          <w:sz w:val="28"/>
          <w:szCs w:val="28"/>
        </w:rPr>
        <w:t>年度财政拨款支出年初预算数为</w:t>
      </w:r>
      <w:r>
        <w:rPr>
          <w:rFonts w:hint="eastAsia" w:cs="TimesNewRomanPSMT" w:asciiTheme="minorEastAsia" w:hAnsiTheme="minorEastAsia" w:eastAsiaTheme="minorEastAsia"/>
          <w:sz w:val="28"/>
          <w:szCs w:val="28"/>
        </w:rPr>
        <w:t>281.46</w:t>
      </w:r>
      <w:r>
        <w:rPr>
          <w:rFonts w:hint="eastAsia" w:cs="仿宋_GB2312" w:asciiTheme="minorEastAsia" w:hAnsiTheme="minorEastAsia" w:eastAsiaTheme="minorEastAsia"/>
          <w:sz w:val="28"/>
          <w:szCs w:val="28"/>
        </w:rPr>
        <w:t>万元，支出决算数为</w:t>
      </w:r>
      <w:r>
        <w:rPr>
          <w:rFonts w:hint="eastAsia" w:cs="TimesNewRomanPSMT" w:asciiTheme="minorEastAsia" w:hAnsiTheme="minorEastAsia"/>
          <w:sz w:val="28"/>
          <w:szCs w:val="28"/>
        </w:rPr>
        <w:t>331.07</w:t>
      </w:r>
      <w:r>
        <w:rPr>
          <w:rFonts w:hint="eastAsia" w:cs="仿宋_GB2312" w:asciiTheme="minorEastAsia" w:hAnsiTheme="minorEastAsia" w:eastAsiaTheme="minorEastAsia"/>
          <w:sz w:val="28"/>
          <w:szCs w:val="28"/>
        </w:rPr>
        <w:t>万元，完成年初预算</w:t>
      </w:r>
      <w:r>
        <w:rPr>
          <w:rFonts w:hint="eastAsia" w:cs="TimesNewRomanPSMT" w:asciiTheme="minorEastAsia" w:hAnsiTheme="minorEastAsia" w:eastAsiaTheme="minorEastAsia"/>
          <w:sz w:val="28"/>
          <w:szCs w:val="28"/>
        </w:rPr>
        <w:t>117.62</w:t>
      </w:r>
      <w:r>
        <w:rPr>
          <w:rFonts w:cs="TimesNewRomanPSMT" w:asciiTheme="minorEastAsia" w:hAnsiTheme="minorEastAsia" w:eastAsiaTheme="minorEastAsia"/>
          <w:sz w:val="28"/>
          <w:szCs w:val="28"/>
        </w:rPr>
        <w:t>%</w:t>
      </w:r>
      <w:r>
        <w:rPr>
          <w:rFonts w:hint="eastAsia" w:cs="仿宋_GB2312" w:asciiTheme="minorEastAsia" w:hAnsiTheme="minorEastAsia" w:eastAsiaTheme="minorEastAsia"/>
          <w:sz w:val="28"/>
          <w:szCs w:val="28"/>
        </w:rPr>
        <w:t>，其中：</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1、一般公共服务（类）</w:t>
      </w:r>
      <w:r>
        <w:rPr>
          <w:rFonts w:hint="eastAsia" w:asciiTheme="minorEastAsia" w:hAnsiTheme="minorEastAsia" w:eastAsiaTheme="minorEastAsia" w:cstheme="minorEastAsia"/>
          <w:color w:val="000000" w:themeColor="text1"/>
          <w:kern w:val="2"/>
          <w:sz w:val="28"/>
          <w:szCs w:val="28"/>
        </w:rPr>
        <w:t>纪检监察事务</w:t>
      </w:r>
      <w:r>
        <w:rPr>
          <w:rFonts w:hint="eastAsia" w:asciiTheme="minorEastAsia" w:hAnsiTheme="minorEastAsia" w:eastAsiaTheme="minorEastAsia" w:cstheme="minorEastAsia"/>
          <w:color w:val="000000" w:themeColor="text1"/>
          <w:sz w:val="28"/>
          <w:szCs w:val="28"/>
        </w:rPr>
        <w:t>（款）</w:t>
      </w:r>
      <w:r>
        <w:rPr>
          <w:rFonts w:hint="eastAsia" w:asciiTheme="minorEastAsia" w:hAnsiTheme="minorEastAsia" w:eastAsiaTheme="minorEastAsia" w:cstheme="minorEastAsia"/>
          <w:color w:val="000000" w:themeColor="text1"/>
          <w:kern w:val="2"/>
          <w:sz w:val="28"/>
          <w:szCs w:val="28"/>
        </w:rPr>
        <w:t>行政运行</w:t>
      </w:r>
      <w:r>
        <w:rPr>
          <w:rFonts w:hint="eastAsia" w:asciiTheme="minorEastAsia" w:hAnsiTheme="minorEastAsia" w:eastAsiaTheme="minorEastAsia" w:cstheme="minorEastAsia"/>
          <w:color w:val="000000" w:themeColor="text1"/>
          <w:sz w:val="28"/>
          <w:szCs w:val="28"/>
        </w:rPr>
        <w:t>（项）。年初预算为107.77万元，支出决算为91.06万元，完成年初预算的84.5%，决算数小于年初预算数的主要原因是：人员异动。</w:t>
      </w:r>
    </w:p>
    <w:p>
      <w:pPr>
        <w:pStyle w:val="12"/>
        <w:spacing w:line="560" w:lineRule="exact"/>
        <w:ind w:firstLine="700" w:firstLineChars="25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2、一般公共服务（类）纪检监察事务（款）</w:t>
      </w:r>
      <w:r>
        <w:rPr>
          <w:rFonts w:hint="eastAsia" w:cs="Arial" w:asciiTheme="minorEastAsia" w:hAnsiTheme="minorEastAsia" w:eastAsiaTheme="minorEastAsia"/>
          <w:sz w:val="28"/>
          <w:szCs w:val="28"/>
        </w:rPr>
        <w:t>巡视工作</w:t>
      </w:r>
      <w:r>
        <w:rPr>
          <w:rFonts w:hint="eastAsia" w:asciiTheme="minorEastAsia" w:hAnsiTheme="minorEastAsia" w:eastAsiaTheme="minorEastAsia" w:cstheme="minorEastAsia"/>
          <w:color w:val="000000" w:themeColor="text1"/>
          <w:sz w:val="28"/>
          <w:szCs w:val="28"/>
        </w:rPr>
        <w:t>（项）。年初预算为48万元，支出决算为1.05万元，完成年初预算的2.19%，决算数小于年初预算数的主要原因是：资金申报不及时。</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3、一般公共服务（类）纪检监察事务（款）其他纪检监察事务支出（项）。年初预算为86万元，支出决算为185.05万元，完成年初预算的215.17%，决算数大于年初预算数的主要原因是：一是抽调巡察工作人员40人对21个单位机关、12个乡镇党组织进行常规巡察。按照市委巡察工作领导小组统一部署，进行法院系统提级交叉巡察工作。积极配合市委第八轮专项巡察信访、生态环境督察整改和优化营商环境三项重点工作等项目的支出。二是工作人员的人员支出计入项目支出。</w:t>
      </w:r>
    </w:p>
    <w:p>
      <w:pPr>
        <w:spacing w:line="560" w:lineRule="exact"/>
        <w:ind w:firstLine="560" w:firstLineChars="200"/>
        <w:rPr>
          <w:rFonts w:cs="TimesNewRomanPSMT" w:asciiTheme="minorEastAsia" w:hAnsiTheme="minorEastAsia"/>
          <w:kern w:val="0"/>
          <w:sz w:val="28"/>
          <w:szCs w:val="28"/>
        </w:rPr>
      </w:pPr>
      <w:r>
        <w:rPr>
          <w:rFonts w:hint="eastAsia" w:cs="TimesNewRomanPSMT" w:asciiTheme="minorEastAsia" w:hAnsiTheme="minorEastAsia"/>
          <w:kern w:val="0"/>
          <w:sz w:val="28"/>
          <w:szCs w:val="28"/>
        </w:rPr>
        <w:t>4、</w:t>
      </w:r>
      <w:r>
        <w:rPr>
          <w:rFonts w:hint="eastAsia" w:asciiTheme="minorEastAsia" w:hAnsiTheme="minorEastAsia" w:cstheme="minorEastAsia"/>
          <w:sz w:val="28"/>
          <w:szCs w:val="28"/>
        </w:rPr>
        <w:t>一般公共服务（类）商贸事务（款）行政运行（项）。</w:t>
      </w:r>
      <w:r>
        <w:rPr>
          <w:rFonts w:hint="eastAsia" w:ascii="宋体" w:hAnsi="宋体" w:cs="宋体"/>
          <w:kern w:val="0"/>
          <w:sz w:val="28"/>
          <w:szCs w:val="28"/>
        </w:rPr>
        <w:t>决算数30.85万元，大于预算数的主要原因是：</w:t>
      </w:r>
      <w:r>
        <w:rPr>
          <w:rFonts w:hint="eastAsia" w:cs="仿宋_GB2312" w:asciiTheme="minorEastAsia" w:hAnsiTheme="minorEastAsia"/>
          <w:kern w:val="0"/>
          <w:sz w:val="28"/>
          <w:szCs w:val="28"/>
        </w:rPr>
        <w:t>财政追加安排了行政运行预算资金。</w:t>
      </w:r>
    </w:p>
    <w:p>
      <w:pPr>
        <w:spacing w:line="560" w:lineRule="exact"/>
        <w:ind w:firstLine="560" w:firstLineChars="200"/>
        <w:rPr>
          <w:rFonts w:asciiTheme="minorEastAsia" w:hAnsiTheme="minorEastAsia" w:cstheme="minorEastAsia"/>
          <w:color w:val="000000" w:themeColor="text1"/>
          <w:sz w:val="28"/>
          <w:szCs w:val="28"/>
        </w:rPr>
      </w:pPr>
      <w:r>
        <w:rPr>
          <w:rFonts w:hint="eastAsia" w:cs="TimesNewRomanPSMT" w:asciiTheme="minorEastAsia" w:hAnsiTheme="minorEastAsia"/>
          <w:kern w:val="0"/>
          <w:sz w:val="28"/>
          <w:szCs w:val="28"/>
        </w:rPr>
        <w:t>5、</w:t>
      </w:r>
      <w:r>
        <w:rPr>
          <w:rFonts w:hint="eastAsia" w:cs="仿宋_GB2312" w:asciiTheme="minorEastAsia" w:hAnsiTheme="minorEastAsia"/>
          <w:kern w:val="0"/>
          <w:sz w:val="28"/>
          <w:szCs w:val="28"/>
        </w:rPr>
        <w:t>社会保障和就业支出（类）行政事业单位养老支出（款）机关事业单位基本养老保险缴费支出（项）。年初预算为</w:t>
      </w:r>
      <w:r>
        <w:rPr>
          <w:rFonts w:hint="eastAsia" w:cs="TimesNewRomanPSMT" w:asciiTheme="minorEastAsia" w:hAnsiTheme="minorEastAsia"/>
          <w:kern w:val="0"/>
          <w:sz w:val="28"/>
          <w:szCs w:val="28"/>
        </w:rPr>
        <w:t>17.25</w:t>
      </w:r>
      <w:r>
        <w:rPr>
          <w:rFonts w:hint="eastAsia" w:cs="仿宋_GB2312" w:asciiTheme="minorEastAsia" w:hAnsiTheme="minorEastAsia"/>
          <w:kern w:val="0"/>
          <w:sz w:val="28"/>
          <w:szCs w:val="28"/>
        </w:rPr>
        <w:t>万元，支出决算为</w:t>
      </w:r>
      <w:r>
        <w:rPr>
          <w:rFonts w:hint="eastAsia" w:cs="TimesNewRomanPSMT" w:asciiTheme="minorEastAsia" w:hAnsiTheme="minorEastAsia"/>
          <w:kern w:val="0"/>
          <w:sz w:val="28"/>
          <w:szCs w:val="28"/>
        </w:rPr>
        <w:t>19.1</w:t>
      </w:r>
      <w:r>
        <w:rPr>
          <w:rFonts w:hint="eastAsia" w:cs="仿宋_GB2312" w:asciiTheme="minorEastAsia" w:hAnsiTheme="minorEastAsia"/>
          <w:kern w:val="0"/>
          <w:sz w:val="28"/>
          <w:szCs w:val="28"/>
        </w:rPr>
        <w:t>万元，完成年初预算数的</w:t>
      </w:r>
      <w:r>
        <w:rPr>
          <w:rFonts w:hint="eastAsia" w:cs="TimesNewRomanPSMT" w:asciiTheme="minorEastAsia" w:hAnsiTheme="minorEastAsia"/>
          <w:kern w:val="0"/>
          <w:sz w:val="28"/>
          <w:szCs w:val="28"/>
        </w:rPr>
        <w:t>110.72</w:t>
      </w:r>
      <w:r>
        <w:rPr>
          <w:rFonts w:cs="TimesNewRomanPSMT" w:asciiTheme="minorEastAsia" w:hAnsiTheme="minorEastAsia"/>
          <w:kern w:val="0"/>
          <w:sz w:val="28"/>
          <w:szCs w:val="28"/>
        </w:rPr>
        <w:t>%</w:t>
      </w:r>
      <w:r>
        <w:rPr>
          <w:rFonts w:hint="eastAsia" w:cs="仿宋_GB2312" w:asciiTheme="minorEastAsia" w:hAnsiTheme="minorEastAsia"/>
          <w:kern w:val="0"/>
          <w:sz w:val="28"/>
          <w:szCs w:val="28"/>
        </w:rPr>
        <w:t>。</w:t>
      </w:r>
    </w:p>
    <w:p>
      <w:pPr>
        <w:spacing w:line="560" w:lineRule="exact"/>
        <w:ind w:firstLine="560" w:firstLineChars="200"/>
        <w:rPr>
          <w:rFonts w:cs="仿宋_GB2312" w:asciiTheme="minorEastAsia" w:hAnsiTheme="minorEastAsia"/>
          <w:kern w:val="0"/>
          <w:sz w:val="28"/>
          <w:szCs w:val="28"/>
        </w:rPr>
      </w:pPr>
      <w:r>
        <w:rPr>
          <w:rFonts w:hint="eastAsia" w:asciiTheme="minorEastAsia" w:hAnsiTheme="minorEastAsia" w:cstheme="minorEastAsia"/>
          <w:color w:val="000000" w:themeColor="text1"/>
          <w:sz w:val="28"/>
          <w:szCs w:val="28"/>
        </w:rPr>
        <w:t>6、</w:t>
      </w:r>
      <w:r>
        <w:rPr>
          <w:rFonts w:hint="eastAsia" w:cs="仿宋_GB2312" w:asciiTheme="minorEastAsia" w:hAnsiTheme="minorEastAsia"/>
          <w:kern w:val="0"/>
          <w:sz w:val="28"/>
          <w:szCs w:val="28"/>
        </w:rPr>
        <w:t>社会保障和就业支出（类）行政事业单位养老支出（款）机关事业单位职业年金缴费支出（项）。年初预算为</w:t>
      </w:r>
      <w:r>
        <w:rPr>
          <w:rFonts w:hint="eastAsia" w:cs="TimesNewRomanPSMT" w:asciiTheme="minorEastAsia" w:hAnsiTheme="minorEastAsia"/>
          <w:kern w:val="0"/>
          <w:sz w:val="28"/>
          <w:szCs w:val="28"/>
        </w:rPr>
        <w:t>8.66</w:t>
      </w:r>
      <w:r>
        <w:rPr>
          <w:rFonts w:hint="eastAsia" w:cs="仿宋_GB2312" w:asciiTheme="minorEastAsia" w:hAnsiTheme="minorEastAsia"/>
          <w:kern w:val="0"/>
          <w:sz w:val="28"/>
          <w:szCs w:val="28"/>
        </w:rPr>
        <w:t>万元，支出决算为</w:t>
      </w:r>
      <w:r>
        <w:rPr>
          <w:rFonts w:hint="eastAsia" w:cs="TimesNewRomanPSMT" w:asciiTheme="minorEastAsia" w:hAnsiTheme="minorEastAsia"/>
          <w:kern w:val="0"/>
          <w:sz w:val="28"/>
          <w:szCs w:val="28"/>
        </w:rPr>
        <w:t>0</w:t>
      </w:r>
      <w:r>
        <w:rPr>
          <w:rFonts w:hint="eastAsia" w:cs="仿宋_GB2312" w:asciiTheme="minorEastAsia" w:hAnsiTheme="minorEastAsia"/>
          <w:kern w:val="0"/>
          <w:sz w:val="28"/>
          <w:szCs w:val="28"/>
        </w:rPr>
        <w:t>万元，决算数小于年初预算数的主要原因是：县财政职业年金未拨付。</w:t>
      </w:r>
    </w:p>
    <w:p>
      <w:pPr>
        <w:spacing w:line="560" w:lineRule="exact"/>
        <w:ind w:firstLine="560" w:firstLineChars="200"/>
        <w:rPr>
          <w:rFonts w:ascii="宋体" w:hAnsi="宋体" w:eastAsia="宋体" w:cs="宋体"/>
          <w:sz w:val="28"/>
          <w:szCs w:val="28"/>
        </w:rPr>
      </w:pPr>
      <w:r>
        <w:rPr>
          <w:rFonts w:hint="eastAsia" w:cs="仿宋_GB2312" w:asciiTheme="minorEastAsia" w:hAnsiTheme="minorEastAsia"/>
          <w:kern w:val="0"/>
          <w:sz w:val="28"/>
          <w:szCs w:val="28"/>
        </w:rPr>
        <w:t>7、社会保障和就业支出（类）</w:t>
      </w:r>
      <w:r>
        <w:rPr>
          <w:rFonts w:hint="eastAsia" w:ascii="宋体" w:hAnsi="宋体" w:eastAsia="宋体" w:cs="宋体"/>
          <w:sz w:val="28"/>
          <w:szCs w:val="28"/>
        </w:rPr>
        <w:t>财政对其他社会保险基金的补助（款）财政对工伤保险基金的补助（项）。年初预算0.81万元，支出决算为0.66万元，完成年初预算的81.48%。</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8、财政对其他社会保险基金的补助（款）财政对生育保险基金的补助（项）3.3万元。年初预算0.56万元，支出决算为0.42万元，完成年初预算的75%。</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9、卫生健康支出（类）行政事业单位医疗（款）行政单位医疗（项）。年初预算为6.45万元，支出决算为2.88万元，完成年初预算的44.65%。决算数小于年初预算数的主要原因是：资金申报不及时。</w:t>
      </w:r>
    </w:p>
    <w:p>
      <w:pPr>
        <w:spacing w:line="560" w:lineRule="exact"/>
        <w:ind w:firstLine="560" w:firstLineChars="200"/>
        <w:rPr>
          <w:rFonts w:ascii="宋体" w:hAnsi="宋体" w:eastAsia="宋体" w:cs="宋体"/>
          <w:sz w:val="28"/>
          <w:szCs w:val="28"/>
        </w:rPr>
      </w:pPr>
      <w:r>
        <w:rPr>
          <w:rFonts w:hint="eastAsia" w:ascii="宋体" w:hAnsi="宋体" w:eastAsia="宋体" w:cs="宋体"/>
          <w:sz w:val="28"/>
          <w:szCs w:val="28"/>
        </w:rPr>
        <w:t>10、住房保障支出（类）住房改革支出（款）住房公</w:t>
      </w:r>
      <w:r>
        <w:rPr>
          <w:rFonts w:hint="eastAsia" w:ascii="宋体" w:hAnsi="宋体" w:eastAsia="宋体" w:cs="宋体"/>
          <w:kern w:val="0"/>
          <w:sz w:val="28"/>
          <w:szCs w:val="28"/>
        </w:rPr>
        <w:t>积金（项）。</w:t>
      </w:r>
      <w:r>
        <w:rPr>
          <w:rFonts w:hint="eastAsia" w:ascii="宋体" w:hAnsi="宋体" w:eastAsia="宋体" w:cs="宋体"/>
          <w:sz w:val="28"/>
          <w:szCs w:val="28"/>
        </w:rPr>
        <w:t>年初预算为</w:t>
      </w:r>
      <w:r>
        <w:rPr>
          <w:rFonts w:hint="eastAsia" w:ascii="宋体" w:hAnsi="宋体" w:cs="宋体"/>
          <w:sz w:val="28"/>
          <w:szCs w:val="28"/>
        </w:rPr>
        <w:t>5.96</w:t>
      </w:r>
      <w:r>
        <w:rPr>
          <w:rFonts w:hint="eastAsia" w:ascii="宋体" w:hAnsi="宋体" w:eastAsia="宋体" w:cs="宋体"/>
          <w:sz w:val="28"/>
          <w:szCs w:val="28"/>
        </w:rPr>
        <w:t>万元，支出决算为</w:t>
      </w:r>
      <w:r>
        <w:rPr>
          <w:rFonts w:hint="eastAsia" w:ascii="宋体" w:hAnsi="宋体" w:cs="宋体"/>
          <w:sz w:val="28"/>
          <w:szCs w:val="28"/>
        </w:rPr>
        <w:t>0</w:t>
      </w:r>
      <w:r>
        <w:rPr>
          <w:rFonts w:hint="eastAsia" w:ascii="宋体" w:hAnsi="宋体" w:eastAsia="宋体" w:cs="宋体"/>
          <w:sz w:val="28"/>
          <w:szCs w:val="28"/>
        </w:rPr>
        <w:t>万元。决算数小于年初预算数的主要原因是：资金申报不及时。</w:t>
      </w:r>
    </w:p>
    <w:p>
      <w:pPr>
        <w:spacing w:line="560" w:lineRule="exact"/>
        <w:ind w:firstLine="560" w:firstLineChars="200"/>
        <w:rPr>
          <w:rFonts w:ascii="宋体" w:hAnsi="宋体" w:eastAsia="宋体" w:cs="宋体"/>
          <w:b/>
          <w:sz w:val="28"/>
          <w:szCs w:val="28"/>
        </w:rPr>
      </w:pPr>
      <w:r>
        <w:rPr>
          <w:rFonts w:hint="eastAsia" w:ascii="宋体" w:hAnsi="宋体" w:eastAsia="宋体" w:cs="宋体"/>
          <w:b/>
          <w:sz w:val="28"/>
          <w:szCs w:val="28"/>
        </w:rPr>
        <w:t>六、一般公共预算财政拨款基本支出决算情况说明</w:t>
      </w:r>
    </w:p>
    <w:p>
      <w:pPr>
        <w:pStyle w:val="12"/>
        <w:spacing w:line="560" w:lineRule="exact"/>
        <w:ind w:firstLine="560" w:firstLineChars="20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kern w:val="2"/>
          <w:sz w:val="28"/>
          <w:szCs w:val="28"/>
        </w:rPr>
        <w:t>2020年度一般公共预算基本支出245.08万元，其中：人员经费支出196.89万元，占基本支出的80.33%，主要包括基本工资、津贴补贴、奖金、伙食补助、机关事业单位基本养老保险费、职工基本医疗保险缴费、其他社会保障缴费、住房公积金、对个人和家庭的补助支出；日常公用经费支出48.19万元，占基本支出的19.67%，主要包括办公费、印刷费、水费、电费、邮电费、差旅费、维修（护）费、租赁费、公务接待费、劳务费、工会经费、福利费、公务用车运行维护费、其他交通费、其他商品和服务支出、办公设备购置、资本性支出、专用设备购置、信息网络及软件购置更新等。</w:t>
      </w: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七、一般公共预算财政拨款三公经费支出决算情况说明</w:t>
      </w:r>
    </w:p>
    <w:p>
      <w:pPr>
        <w:pStyle w:val="12"/>
        <w:spacing w:line="560" w:lineRule="exact"/>
        <w:ind w:firstLine="560" w:firstLineChars="20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（一）“三公”经费财政拨款支出决算总体情况说明</w:t>
      </w:r>
    </w:p>
    <w:p>
      <w:pPr>
        <w:pStyle w:val="12"/>
        <w:spacing w:line="560" w:lineRule="exact"/>
        <w:ind w:firstLine="560" w:firstLineChars="20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kern w:val="2"/>
          <w:sz w:val="28"/>
          <w:szCs w:val="28"/>
        </w:rPr>
        <w:t>“三公”经费财政拨款支出预算为0.8万元，支出决算为0万元。</w:t>
      </w:r>
      <w:r>
        <w:rPr>
          <w:rFonts w:hint="eastAsia" w:asciiTheme="minorEastAsia" w:hAnsiTheme="minorEastAsia" w:eastAsiaTheme="minorEastAsia" w:cstheme="minorEastAsia"/>
          <w:color w:val="000000" w:themeColor="text1"/>
          <w:sz w:val="28"/>
          <w:szCs w:val="28"/>
        </w:rPr>
        <w:t>决算数小于年初预算数的主要原因是：</w:t>
      </w:r>
      <w:r>
        <w:rPr>
          <w:rFonts w:hint="eastAsia" w:asciiTheme="minorEastAsia" w:hAnsiTheme="minorEastAsia" w:eastAsiaTheme="minorEastAsia" w:cstheme="minorEastAsia"/>
          <w:color w:val="000000" w:themeColor="text1"/>
          <w:kern w:val="2"/>
          <w:sz w:val="28"/>
          <w:szCs w:val="28"/>
        </w:rPr>
        <w:t>认真贯彻落实中央八项”规定精神、《党政机关厉行节约反对浪费条例》、县委“九项”规定精神，严格报销制度，规范公务支出，严格控制“三公”经费开支。</w:t>
      </w:r>
    </w:p>
    <w:p>
      <w:pPr>
        <w:pStyle w:val="12"/>
        <w:spacing w:line="560" w:lineRule="exact"/>
        <w:ind w:firstLine="560" w:firstLineChars="20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sz w:val="28"/>
          <w:szCs w:val="28"/>
        </w:rPr>
        <w:t>（二）“三公”经费财政拨款支出决算具体情况说明</w:t>
      </w:r>
    </w:p>
    <w:p>
      <w:pPr>
        <w:pStyle w:val="12"/>
        <w:ind w:firstLine="560" w:firstLineChars="20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1、因公出国（境）费支出决算为0万元，全年安排因公出国（境）团组0个，累计0人次。</w:t>
      </w:r>
    </w:p>
    <w:p>
      <w:pPr>
        <w:pStyle w:val="12"/>
        <w:ind w:firstLine="560" w:firstLineChars="20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2、2020年度“三公”经费财政拨款支出决算中，公务接待费支出决算0万元。</w:t>
      </w:r>
    </w:p>
    <w:p>
      <w:pPr>
        <w:pStyle w:val="12"/>
        <w:spacing w:line="560" w:lineRule="exact"/>
        <w:ind w:firstLine="560" w:firstLineChars="20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3、2020年度无公务用车运行维护费。</w:t>
      </w:r>
      <w:bookmarkStart w:id="0" w:name="_GoBack"/>
      <w:bookmarkEnd w:id="0"/>
      <w:r>
        <w:rPr>
          <w:rFonts w:hint="eastAsia" w:asciiTheme="minorEastAsia" w:hAnsiTheme="minorEastAsia" w:eastAsiaTheme="minorEastAsia" w:cstheme="minorEastAsia"/>
          <w:color w:val="000000" w:themeColor="text1"/>
          <w:sz w:val="28"/>
          <w:szCs w:val="28"/>
        </w:rPr>
        <w:t>至2020年12月31日，本单位公务用车保有量为0辆，当年新增公务用车为0辆。</w:t>
      </w: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八、政府性基金预算收入支出决算情况</w:t>
      </w:r>
    </w:p>
    <w:p>
      <w:pPr>
        <w:pStyle w:val="12"/>
        <w:spacing w:line="560" w:lineRule="exact"/>
        <w:ind w:firstLine="560" w:firstLineChars="20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kern w:val="2"/>
          <w:sz w:val="28"/>
          <w:szCs w:val="28"/>
        </w:rPr>
        <w:t>2020年度县委巡察办无政府性基金预算收入支出。</w:t>
      </w:r>
    </w:p>
    <w:p>
      <w:pPr>
        <w:pStyle w:val="12"/>
        <w:spacing w:line="560" w:lineRule="exact"/>
        <w:ind w:firstLine="560" w:firstLineChars="200"/>
        <w:rPr>
          <w:rFonts w:asciiTheme="minorEastAsia" w:hAnsiTheme="minorEastAsia" w:eastAsiaTheme="minorEastAsia" w:cstheme="minorEastAsia"/>
          <w:b/>
          <w:bCs/>
          <w:color w:val="000000" w:themeColor="text1"/>
          <w:sz w:val="28"/>
          <w:szCs w:val="28"/>
        </w:rPr>
      </w:pPr>
      <w:r>
        <w:rPr>
          <w:rFonts w:hint="eastAsia" w:asciiTheme="minorEastAsia" w:hAnsiTheme="minorEastAsia" w:eastAsiaTheme="minorEastAsia" w:cstheme="minorEastAsia"/>
          <w:b/>
          <w:bCs/>
          <w:color w:val="000000" w:themeColor="text1"/>
          <w:sz w:val="28"/>
          <w:szCs w:val="28"/>
        </w:rPr>
        <w:t>九、国有资本经营预算财政拨款支出决算情况</w:t>
      </w:r>
    </w:p>
    <w:p>
      <w:pPr>
        <w:pStyle w:val="12"/>
        <w:spacing w:line="560" w:lineRule="exact"/>
        <w:ind w:firstLine="560" w:firstLineChars="20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kern w:val="2"/>
          <w:sz w:val="28"/>
          <w:szCs w:val="28"/>
        </w:rPr>
        <w:t>本单位2020年没有国有资本经营预算财政拨款支出。</w:t>
      </w:r>
    </w:p>
    <w:p>
      <w:pPr>
        <w:pStyle w:val="12"/>
        <w:ind w:firstLine="560" w:firstLineChars="200"/>
        <w:rPr>
          <w:rFonts w:ascii="宋体" w:hAnsi="宋体" w:eastAsia="宋体"/>
          <w:b/>
          <w:sz w:val="28"/>
          <w:szCs w:val="28"/>
        </w:rPr>
      </w:pPr>
      <w:r>
        <w:rPr>
          <w:rFonts w:hint="eastAsia" w:ascii="宋体" w:hAnsi="宋体" w:eastAsia="宋体"/>
          <w:b/>
          <w:sz w:val="28"/>
          <w:szCs w:val="28"/>
        </w:rPr>
        <w:t>十、关于机关运行经费支出说明</w:t>
      </w:r>
    </w:p>
    <w:p>
      <w:pPr>
        <w:pStyle w:val="12"/>
        <w:ind w:firstLine="560" w:firstLineChars="200"/>
        <w:rPr>
          <w:rFonts w:ascii="宋体" w:hAnsi="宋体" w:eastAsia="宋体" w:cs="仿宋_GB2312"/>
          <w:sz w:val="28"/>
          <w:szCs w:val="28"/>
        </w:rPr>
      </w:pPr>
      <w:r>
        <w:rPr>
          <w:rFonts w:hint="eastAsia" w:ascii="宋体" w:hAnsi="宋体" w:eastAsia="宋体" w:cs="仿宋_GB2312"/>
          <w:sz w:val="28"/>
          <w:szCs w:val="28"/>
        </w:rPr>
        <w:t>本部门</w:t>
      </w:r>
      <w:r>
        <w:rPr>
          <w:rFonts w:ascii="宋体" w:hAnsi="宋体" w:eastAsia="宋体" w:cs="TimesNewRomanPSMT"/>
          <w:sz w:val="28"/>
          <w:szCs w:val="28"/>
        </w:rPr>
        <w:t>2020</w:t>
      </w:r>
      <w:r>
        <w:rPr>
          <w:rFonts w:hint="eastAsia" w:ascii="宋体" w:hAnsi="宋体" w:eastAsia="宋体" w:cs="仿宋_GB2312"/>
          <w:sz w:val="28"/>
          <w:szCs w:val="28"/>
        </w:rPr>
        <w:t>年度机关运行经费支出</w:t>
      </w:r>
      <w:r>
        <w:rPr>
          <w:rFonts w:hint="eastAsia" w:ascii="宋体" w:hAnsi="宋体" w:eastAsia="宋体" w:cs="TimesNewRomanPSMT"/>
          <w:sz w:val="28"/>
          <w:szCs w:val="28"/>
        </w:rPr>
        <w:t>48.19</w:t>
      </w:r>
      <w:r>
        <w:rPr>
          <w:rFonts w:hint="eastAsia" w:ascii="宋体" w:hAnsi="宋体" w:eastAsia="宋体" w:cs="仿宋_GB2312"/>
          <w:sz w:val="28"/>
          <w:szCs w:val="28"/>
        </w:rPr>
        <w:t>万元，比年初预算数增加</w:t>
      </w:r>
      <w:r>
        <w:rPr>
          <w:rFonts w:hint="eastAsia" w:ascii="宋体" w:hAnsi="宋体" w:eastAsia="宋体" w:cs="TimesNewRomanPSMT"/>
          <w:sz w:val="28"/>
          <w:szCs w:val="28"/>
        </w:rPr>
        <w:t>0.19</w:t>
      </w:r>
      <w:r>
        <w:rPr>
          <w:rFonts w:hint="eastAsia" w:ascii="宋体" w:hAnsi="宋体" w:eastAsia="宋体" w:cs="仿宋_GB2312"/>
          <w:sz w:val="28"/>
          <w:szCs w:val="28"/>
        </w:rPr>
        <w:t>万元，增加0.39</w:t>
      </w:r>
      <w:r>
        <w:rPr>
          <w:rFonts w:ascii="宋体" w:hAnsi="宋体" w:eastAsia="宋体" w:cs="TimesNewRomanPSMT"/>
          <w:sz w:val="28"/>
          <w:szCs w:val="28"/>
        </w:rPr>
        <w:t>%</w:t>
      </w:r>
      <w:r>
        <w:rPr>
          <w:rFonts w:hint="eastAsia" w:ascii="宋体" w:hAnsi="宋体" w:eastAsia="宋体" w:cs="仿宋_GB2312"/>
          <w:sz w:val="28"/>
          <w:szCs w:val="28"/>
        </w:rPr>
        <w:t>。主要原因是：2020年工作量增加，但我部门认真贯彻落实中央八项规定及其实施细则精神，厉行节约，进一步从严控制机关运行经费开支。</w:t>
      </w:r>
    </w:p>
    <w:p>
      <w:pPr>
        <w:pStyle w:val="12"/>
        <w:ind w:firstLine="560" w:firstLineChars="200"/>
        <w:rPr>
          <w:rFonts w:ascii="宋体" w:hAnsi="宋体" w:eastAsia="宋体" w:cs="仿宋_GB2312"/>
          <w:sz w:val="28"/>
          <w:szCs w:val="28"/>
        </w:rPr>
      </w:pPr>
      <w:r>
        <w:rPr>
          <w:rFonts w:hint="eastAsia" w:ascii="宋体" w:hAnsi="宋体" w:eastAsia="宋体"/>
          <w:b/>
          <w:sz w:val="28"/>
          <w:szCs w:val="28"/>
        </w:rPr>
        <w:t>十一、一般性支出情况</w:t>
      </w:r>
    </w:p>
    <w:p>
      <w:pPr>
        <w:pStyle w:val="12"/>
        <w:ind w:firstLine="560" w:firstLineChars="200"/>
        <w:rPr>
          <w:rFonts w:ascii="宋体" w:hAnsi="宋体" w:eastAsia="宋体" w:cs="Times New Roman"/>
          <w:color w:val="auto"/>
          <w:kern w:val="2"/>
          <w:sz w:val="28"/>
          <w:szCs w:val="28"/>
          <w:lang w:val="zh-CN"/>
        </w:rPr>
      </w:pPr>
      <w:r>
        <w:rPr>
          <w:rFonts w:hint="eastAsia" w:asciiTheme="minorEastAsia" w:hAnsiTheme="minorEastAsia" w:eastAsiaTheme="minorEastAsia" w:cstheme="minorEastAsia"/>
          <w:color w:val="000000" w:themeColor="text1"/>
          <w:sz w:val="28"/>
          <w:szCs w:val="28"/>
        </w:rPr>
        <w:t>2020年本部门开支会议费0万元，用于召开会议，人数0人；开支培训费0.027万元，用于开展巡察人员培训，人数1人，内容为购买文具用品、文件袋、资料费。</w:t>
      </w:r>
    </w:p>
    <w:p>
      <w:pPr>
        <w:pStyle w:val="12"/>
        <w:ind w:firstLine="560" w:firstLineChars="200"/>
        <w:rPr>
          <w:rFonts w:ascii="宋体" w:hAnsi="宋体" w:eastAsia="宋体"/>
          <w:b/>
          <w:sz w:val="28"/>
          <w:szCs w:val="28"/>
        </w:rPr>
      </w:pPr>
      <w:r>
        <w:rPr>
          <w:rFonts w:hint="eastAsia" w:ascii="宋体" w:hAnsi="宋体" w:eastAsia="宋体"/>
          <w:b/>
          <w:sz w:val="28"/>
          <w:szCs w:val="28"/>
        </w:rPr>
        <w:t>十二、关于政府采购支出说明</w:t>
      </w:r>
    </w:p>
    <w:p>
      <w:pPr>
        <w:spacing w:line="560" w:lineRule="exact"/>
        <w:ind w:firstLine="560" w:firstLineChars="200"/>
        <w:rPr>
          <w:rFonts w:asciiTheme="minorEastAsia" w:hAnsiTheme="minorEastAsia" w:cstheme="minorEastAsia"/>
          <w:i/>
          <w:color w:val="000000" w:themeColor="text1"/>
          <w:kern w:val="0"/>
          <w:sz w:val="28"/>
          <w:szCs w:val="28"/>
        </w:rPr>
      </w:pPr>
      <w:r>
        <w:rPr>
          <w:rFonts w:hint="eastAsia" w:asciiTheme="minorEastAsia" w:hAnsiTheme="minorEastAsia" w:cstheme="minorEastAsia"/>
          <w:color w:val="000000" w:themeColor="text1"/>
          <w:sz w:val="28"/>
          <w:szCs w:val="28"/>
        </w:rPr>
        <w:t>政府采购支出的主要内容是业务活动中，必要的商品及服务采购支出。县委巡察办</w:t>
      </w:r>
      <w:r>
        <w:rPr>
          <w:rFonts w:hint="eastAsia" w:asciiTheme="minorEastAsia" w:hAnsiTheme="minorEastAsia" w:cstheme="minorEastAsia"/>
          <w:color w:val="000000" w:themeColor="text1"/>
          <w:kern w:val="0"/>
          <w:sz w:val="28"/>
          <w:szCs w:val="28"/>
        </w:rPr>
        <w:t>2020年度政府采购支出总额0万元，其中：政府采购货物支出0万元、政府采购工程支出0万元、政府采购服务支出0万元。</w:t>
      </w:r>
    </w:p>
    <w:p>
      <w:pPr>
        <w:pStyle w:val="12"/>
        <w:ind w:firstLine="560" w:firstLineChars="200"/>
        <w:rPr>
          <w:rFonts w:ascii="宋体" w:hAnsi="宋体" w:eastAsia="宋体"/>
          <w:b/>
          <w:sz w:val="28"/>
          <w:szCs w:val="28"/>
        </w:rPr>
      </w:pPr>
      <w:r>
        <w:rPr>
          <w:rFonts w:hint="eastAsia" w:ascii="宋体" w:hAnsi="宋体" w:eastAsia="宋体"/>
          <w:b/>
          <w:sz w:val="28"/>
          <w:szCs w:val="28"/>
        </w:rPr>
        <w:t>十三、关于国有资产占用情况说明</w:t>
      </w:r>
    </w:p>
    <w:p>
      <w:pPr>
        <w:ind w:firstLine="560" w:firstLineChars="200"/>
        <w:rPr>
          <w:rFonts w:ascii="宋体" w:hAnsi="宋体" w:eastAsia="宋体" w:cs="宋体"/>
          <w:kern w:val="0"/>
          <w:sz w:val="28"/>
          <w:szCs w:val="28"/>
        </w:rPr>
      </w:pPr>
      <w:r>
        <w:rPr>
          <w:rFonts w:hint="eastAsia" w:asciiTheme="minorEastAsia" w:hAnsiTheme="minorEastAsia" w:cstheme="minorEastAsia"/>
          <w:color w:val="000000" w:themeColor="text1"/>
          <w:kern w:val="0"/>
          <w:sz w:val="28"/>
          <w:szCs w:val="28"/>
        </w:rPr>
        <w:t>截至2020年12月31日，本单位共有车辆0辆，其中：特种专业技术用车0辆。单位价值50万元以上通用设备0台（套）；单位价值100万元以上专用设备0台（套）</w:t>
      </w:r>
      <w:r>
        <w:rPr>
          <w:rFonts w:hint="eastAsia" w:ascii="宋体" w:hAnsi="宋体" w:eastAsia="宋体" w:cs="宋体"/>
          <w:kern w:val="0"/>
          <w:sz w:val="28"/>
          <w:szCs w:val="28"/>
        </w:rPr>
        <w:t>。</w:t>
      </w:r>
    </w:p>
    <w:p>
      <w:pPr>
        <w:pStyle w:val="12"/>
        <w:ind w:firstLine="560" w:firstLineChars="200"/>
        <w:rPr>
          <w:rFonts w:ascii="宋体" w:hAnsi="宋体" w:eastAsia="宋体" w:cs="宋体"/>
          <w:b/>
          <w:bCs/>
          <w:color w:val="auto"/>
          <w:sz w:val="28"/>
          <w:szCs w:val="28"/>
        </w:rPr>
      </w:pPr>
      <w:r>
        <w:rPr>
          <w:rFonts w:hint="eastAsia" w:ascii="宋体" w:hAnsi="宋体" w:eastAsia="宋体" w:cs="宋体"/>
          <w:b/>
          <w:bCs/>
          <w:color w:val="auto"/>
          <w:sz w:val="28"/>
          <w:szCs w:val="28"/>
        </w:rPr>
        <w:t>十四、关于2020年度预算绩效情况说明</w:t>
      </w:r>
    </w:p>
    <w:p>
      <w:pPr>
        <w:widowControl/>
        <w:spacing w:line="600" w:lineRule="exact"/>
        <w:ind w:firstLine="560" w:firstLineChars="200"/>
        <w:rPr>
          <w:rFonts w:ascii="宋体" w:hAnsi="宋体" w:eastAsia="宋体" w:cs="宋体"/>
          <w:b/>
          <w:position w:val="2"/>
          <w:sz w:val="28"/>
          <w:szCs w:val="28"/>
        </w:rPr>
      </w:pPr>
      <w:r>
        <w:rPr>
          <w:rFonts w:hint="eastAsia" w:ascii="宋体" w:hAnsi="宋体" w:eastAsia="宋体" w:cs="楷体_GB2312"/>
          <w:b/>
          <w:kern w:val="0"/>
          <w:sz w:val="28"/>
          <w:szCs w:val="28"/>
        </w:rPr>
        <w:t>（一）预算绩效管理工作开展情况</w:t>
      </w:r>
    </w:p>
    <w:p>
      <w:pPr>
        <w:widowControl/>
        <w:spacing w:line="600" w:lineRule="exact"/>
        <w:ind w:firstLine="560" w:firstLineChars="200"/>
        <w:rPr>
          <w:rFonts w:ascii="宋体" w:hAnsi="宋体" w:eastAsia="宋体" w:cs="宋体"/>
          <w:position w:val="2"/>
          <w:sz w:val="28"/>
          <w:szCs w:val="28"/>
        </w:rPr>
      </w:pPr>
      <w:r>
        <w:rPr>
          <w:rFonts w:hint="eastAsia" w:ascii="宋体" w:hAnsi="宋体" w:eastAsia="宋体" w:cs="仿宋_GB2312"/>
          <w:kern w:val="0"/>
          <w:sz w:val="28"/>
          <w:szCs w:val="28"/>
        </w:rPr>
        <w:t>为进一步规范财政资金管理，强化绩效和责任意识，切实提高财政资金使用效益，根据《衡南县财政局关于开展年度部门整体支出绩效自评工作的通知》要求，对本单位2020年</w:t>
      </w:r>
      <w:r>
        <w:rPr>
          <w:rFonts w:hint="eastAsia" w:ascii="宋体" w:hAnsi="宋体" w:eastAsia="宋体" w:cs="宋体"/>
          <w:position w:val="2"/>
          <w:sz w:val="28"/>
          <w:szCs w:val="28"/>
        </w:rPr>
        <w:t>度部门整体支出认真开展绩效自评</w:t>
      </w:r>
      <w:r>
        <w:rPr>
          <w:rFonts w:hint="eastAsia" w:ascii="宋体" w:hAnsi="宋体" w:eastAsia="宋体" w:cs="仿宋_GB2312"/>
          <w:kern w:val="0"/>
          <w:sz w:val="28"/>
          <w:szCs w:val="28"/>
        </w:rPr>
        <w:t>工作，形成了自评报告。</w:t>
      </w:r>
    </w:p>
    <w:p>
      <w:pPr>
        <w:autoSpaceDE w:val="0"/>
        <w:autoSpaceDN w:val="0"/>
        <w:adjustRightInd w:val="0"/>
        <w:ind w:firstLine="560" w:firstLineChars="200"/>
        <w:jc w:val="left"/>
        <w:rPr>
          <w:rFonts w:ascii="宋体" w:hAnsi="宋体" w:eastAsia="宋体" w:cs="仿宋_GB2312"/>
          <w:kern w:val="0"/>
          <w:sz w:val="28"/>
          <w:szCs w:val="28"/>
        </w:rPr>
      </w:pPr>
      <w:r>
        <w:rPr>
          <w:rFonts w:hint="eastAsia" w:ascii="宋体" w:hAnsi="宋体" w:eastAsia="宋体" w:cs="楷体_GB2312"/>
          <w:kern w:val="0"/>
          <w:sz w:val="28"/>
          <w:szCs w:val="28"/>
        </w:rPr>
        <w:t>（二）部门整体支出绩效自评结果</w:t>
      </w:r>
    </w:p>
    <w:p>
      <w:pPr>
        <w:autoSpaceDE w:val="0"/>
        <w:autoSpaceDN w:val="0"/>
        <w:adjustRightInd w:val="0"/>
        <w:ind w:firstLine="560" w:firstLineChars="200"/>
        <w:jc w:val="left"/>
        <w:rPr>
          <w:rFonts w:ascii="宋体" w:hAnsi="宋体" w:eastAsia="宋体" w:cs="仿宋_GB2312"/>
          <w:kern w:val="0"/>
          <w:sz w:val="28"/>
          <w:szCs w:val="28"/>
        </w:rPr>
      </w:pPr>
      <w:r>
        <w:rPr>
          <w:rFonts w:hint="eastAsia" w:ascii="宋体" w:hAnsi="宋体" w:eastAsia="宋体" w:cs="宋体"/>
          <w:sz w:val="28"/>
          <w:szCs w:val="28"/>
        </w:rPr>
        <w:t>2020年中共衡南县委巡察工作领导小组办公室严格落实县委、县政府的有关要求，</w:t>
      </w:r>
      <w:r>
        <w:rPr>
          <w:rFonts w:hint="eastAsia" w:ascii="宋体" w:hAnsi="宋体" w:eastAsia="宋体" w:cs="宋体"/>
          <w:kern w:val="0"/>
          <w:sz w:val="28"/>
          <w:szCs w:val="28"/>
        </w:rPr>
        <w:t>精打细算、勤俭节约，优化支出结构，大力压减一般性支出，保障重点支出，严格审核把关，加强“三公”经费管理，优化资产配置，切实规范有关资产管理，严格政府采购，强化国有资产信息化管理和动态监控，完善内控制度，切实严肃财经纪律，圆满完成了全年各项工作任务。</w:t>
      </w:r>
      <w:r>
        <w:rPr>
          <w:rFonts w:hint="eastAsia" w:ascii="宋体" w:hAnsi="宋体" w:eastAsia="宋体" w:cs="仿宋_GB2312"/>
          <w:kern w:val="0"/>
          <w:sz w:val="28"/>
          <w:szCs w:val="28"/>
        </w:rPr>
        <w:t>根据部门整体支出绩效评价指标，部门整体支出绩效得分</w:t>
      </w:r>
      <w:r>
        <w:rPr>
          <w:rFonts w:ascii="宋体" w:hAnsi="宋体" w:eastAsia="宋体" w:cs="TimesNewRomanPSMT"/>
          <w:kern w:val="0"/>
          <w:sz w:val="28"/>
          <w:szCs w:val="28"/>
        </w:rPr>
        <w:t>9</w:t>
      </w:r>
      <w:r>
        <w:rPr>
          <w:rFonts w:hint="eastAsia" w:ascii="宋体" w:hAnsi="宋体" w:eastAsia="宋体" w:cs="TimesNewRomanPSMT"/>
          <w:kern w:val="0"/>
          <w:sz w:val="28"/>
          <w:szCs w:val="28"/>
        </w:rPr>
        <w:t>7</w:t>
      </w:r>
      <w:r>
        <w:rPr>
          <w:rFonts w:hint="eastAsia" w:ascii="宋体" w:hAnsi="宋体" w:eastAsia="宋体" w:cs="仿宋_GB2312"/>
          <w:kern w:val="0"/>
          <w:sz w:val="28"/>
          <w:szCs w:val="28"/>
        </w:rPr>
        <w:t>分。从评价情况来看，预算执行有效，完成情况较好。</w:t>
      </w:r>
    </w:p>
    <w:p>
      <w:pPr>
        <w:spacing w:line="560" w:lineRule="exact"/>
        <w:rPr>
          <w:rFonts w:asciiTheme="minorEastAsia" w:hAnsiTheme="minorEastAsia" w:cstheme="minorEastAsia"/>
          <w:color w:val="000000" w:themeColor="text1"/>
          <w:kern w:val="0"/>
          <w:sz w:val="28"/>
          <w:szCs w:val="28"/>
        </w:rPr>
      </w:pPr>
    </w:p>
    <w:p>
      <w:pPr>
        <w:pStyle w:val="12"/>
        <w:spacing w:line="560" w:lineRule="exact"/>
        <w:rPr>
          <w:rFonts w:asciiTheme="minorEastAsia" w:hAnsiTheme="minorEastAsia" w:eastAsiaTheme="minorEastAsia" w:cstheme="minorEastAsia"/>
          <w:b/>
          <w:bCs/>
          <w:color w:val="000000" w:themeColor="text1"/>
          <w:sz w:val="28"/>
          <w:szCs w:val="28"/>
        </w:rPr>
      </w:pPr>
    </w:p>
    <w:p>
      <w:pPr>
        <w:pStyle w:val="12"/>
        <w:spacing w:line="560" w:lineRule="exact"/>
        <w:rPr>
          <w:rFonts w:asciiTheme="minorEastAsia" w:hAnsiTheme="minorEastAsia" w:eastAsiaTheme="minorEastAsia" w:cstheme="minorEastAsia"/>
          <w:b/>
          <w:bCs/>
          <w:color w:val="000000" w:themeColor="text1"/>
          <w:sz w:val="28"/>
          <w:szCs w:val="28"/>
        </w:rPr>
      </w:pPr>
    </w:p>
    <w:p>
      <w:pPr>
        <w:pStyle w:val="12"/>
        <w:spacing w:line="560" w:lineRule="exact"/>
        <w:rPr>
          <w:rFonts w:asciiTheme="minorEastAsia" w:hAnsiTheme="minorEastAsia" w:eastAsiaTheme="minorEastAsia" w:cstheme="minorEastAsia"/>
          <w:b/>
          <w:bCs/>
          <w:color w:val="000000" w:themeColor="text1"/>
          <w:sz w:val="28"/>
          <w:szCs w:val="28"/>
        </w:rPr>
      </w:pPr>
    </w:p>
    <w:p>
      <w:pPr>
        <w:pStyle w:val="12"/>
        <w:spacing w:line="560" w:lineRule="exact"/>
        <w:rPr>
          <w:rFonts w:asciiTheme="minorEastAsia" w:hAnsiTheme="minorEastAsia" w:eastAsiaTheme="minorEastAsia" w:cstheme="minorEastAsia"/>
          <w:b/>
          <w:bCs/>
          <w:color w:val="000000" w:themeColor="text1"/>
          <w:sz w:val="28"/>
          <w:szCs w:val="28"/>
        </w:rPr>
      </w:pPr>
    </w:p>
    <w:p>
      <w:pPr>
        <w:pStyle w:val="12"/>
        <w:spacing w:line="560" w:lineRule="exact"/>
        <w:jc w:val="center"/>
        <w:rPr>
          <w:rFonts w:asciiTheme="minorEastAsia" w:hAnsiTheme="minorEastAsia" w:eastAsiaTheme="minorEastAsia" w:cstheme="minorEastAsia"/>
          <w:b/>
          <w:bCs/>
          <w:color w:val="000000" w:themeColor="text1"/>
          <w:sz w:val="28"/>
          <w:szCs w:val="28"/>
        </w:rPr>
      </w:pPr>
    </w:p>
    <w:p>
      <w:pPr>
        <w:pStyle w:val="12"/>
        <w:spacing w:line="560" w:lineRule="exact"/>
        <w:jc w:val="center"/>
        <w:rPr>
          <w:rFonts w:asciiTheme="minorEastAsia" w:hAnsiTheme="minorEastAsia" w:eastAsiaTheme="minorEastAsia" w:cstheme="minorEastAsia"/>
          <w:b/>
          <w:bCs/>
          <w:color w:val="000000" w:themeColor="text1"/>
          <w:sz w:val="28"/>
          <w:szCs w:val="28"/>
        </w:rPr>
      </w:pPr>
    </w:p>
    <w:p>
      <w:pPr>
        <w:pStyle w:val="12"/>
        <w:spacing w:line="560" w:lineRule="exact"/>
        <w:jc w:val="center"/>
        <w:rPr>
          <w:rFonts w:asciiTheme="minorEastAsia" w:hAnsiTheme="minorEastAsia" w:eastAsiaTheme="minorEastAsia" w:cstheme="minorEastAsia"/>
          <w:b/>
          <w:bCs/>
          <w:color w:val="000000" w:themeColor="text1"/>
          <w:sz w:val="28"/>
          <w:szCs w:val="28"/>
        </w:rPr>
      </w:pPr>
    </w:p>
    <w:p>
      <w:pPr>
        <w:pStyle w:val="12"/>
        <w:spacing w:line="560" w:lineRule="exact"/>
        <w:jc w:val="center"/>
        <w:rPr>
          <w:rFonts w:asciiTheme="minorEastAsia" w:hAnsiTheme="minorEastAsia" w:eastAsiaTheme="minorEastAsia" w:cstheme="minorEastAsia"/>
          <w:b/>
          <w:bCs/>
          <w:color w:val="000000" w:themeColor="text1"/>
          <w:sz w:val="28"/>
          <w:szCs w:val="2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第四部分</w:t>
      </w: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名词解释</w:t>
      </w: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hint="eastAsia"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color w:val="000000" w:themeColor="text1"/>
          <w:kern w:val="0"/>
          <w:sz w:val="28"/>
          <w:szCs w:val="28"/>
        </w:rPr>
      </w:pPr>
    </w:p>
    <w:p>
      <w:pPr>
        <w:widowControl/>
        <w:jc w:val="left"/>
        <w:rPr>
          <w:color w:val="333333"/>
          <w:sz w:val="28"/>
          <w:szCs w:val="28"/>
        </w:rPr>
      </w:pP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 </w:t>
      </w:r>
    </w:p>
    <w:p>
      <w:pPr>
        <w:pStyle w:val="6"/>
        <w:shd w:val="clear" w:color="auto" w:fill="FFFFFF"/>
        <w:spacing w:before="0" w:beforeAutospacing="0" w:after="0" w:afterAutospacing="0"/>
        <w:rPr>
          <w:color w:val="333333"/>
          <w:sz w:val="28"/>
          <w:szCs w:val="28"/>
        </w:rPr>
      </w:pPr>
      <w:r>
        <w:rPr>
          <w:color w:val="333333"/>
          <w:sz w:val="28"/>
          <w:szCs w:val="28"/>
        </w:rPr>
        <w:t>三、附属单位上缴收入：指事业单位附属独立核算单位按有关规定上缴的收入。 </w:t>
      </w:r>
    </w:p>
    <w:p>
      <w:pPr>
        <w:pStyle w:val="6"/>
        <w:shd w:val="clear" w:color="auto" w:fill="FFFFFF"/>
        <w:spacing w:before="0" w:beforeAutospacing="0" w:after="0" w:afterAutospacing="0"/>
        <w:rPr>
          <w:color w:val="333333"/>
          <w:sz w:val="28"/>
          <w:szCs w:val="28"/>
        </w:rPr>
      </w:pPr>
      <w:r>
        <w:rPr>
          <w:color w:val="333333"/>
          <w:sz w:val="28"/>
          <w:szCs w:val="28"/>
        </w:rPr>
        <w:t>四、其他收入：指单位取得的除上述“财政拨款收入”、“事业收入”、“附属单位上缴收入”等以外的收入。 </w:t>
      </w:r>
    </w:p>
    <w:p>
      <w:pPr>
        <w:pStyle w:val="6"/>
        <w:shd w:val="clear" w:color="auto" w:fill="FFFFFF"/>
        <w:spacing w:before="0" w:beforeAutospacing="0" w:after="0" w:afterAutospacing="0"/>
        <w:rPr>
          <w:color w:val="333333"/>
          <w:sz w:val="28"/>
          <w:szCs w:val="28"/>
        </w:rPr>
      </w:pPr>
      <w:r>
        <w:rPr>
          <w:color w:val="333333"/>
          <w:sz w:val="28"/>
          <w:szCs w:val="28"/>
        </w:rPr>
        <w:t>五、年初结转和结余：指以前年度尚未完成、结转到本年仍按有关规定继续使用的资金。 </w:t>
      </w:r>
    </w:p>
    <w:p>
      <w:pPr>
        <w:pStyle w:val="6"/>
        <w:shd w:val="clear" w:color="auto" w:fill="FFFFFF"/>
        <w:spacing w:before="0" w:beforeAutospacing="0" w:after="0" w:afterAutospacing="0"/>
        <w:rPr>
          <w:color w:val="333333"/>
          <w:sz w:val="28"/>
          <w:szCs w:val="28"/>
        </w:rPr>
      </w:pPr>
      <w:r>
        <w:rPr>
          <w:color w:val="333333"/>
          <w:sz w:val="28"/>
          <w:szCs w:val="28"/>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6"/>
        <w:shd w:val="clear" w:color="auto" w:fill="FFFFFF"/>
        <w:spacing w:before="0" w:beforeAutospacing="0" w:after="0" w:afterAutospacing="0"/>
        <w:rPr>
          <w:color w:val="333333"/>
          <w:sz w:val="28"/>
          <w:szCs w:val="28"/>
        </w:rPr>
      </w:pPr>
      <w:r>
        <w:rPr>
          <w:color w:val="333333"/>
          <w:sz w:val="28"/>
          <w:szCs w:val="28"/>
        </w:rPr>
        <w:t>七、结余分配：指事业单位按规定提取的职工福利基金、事业基金和缴纳的所得税，以及建设单位按规定应交回的基本建设竣工项目结余资金。 </w:t>
      </w:r>
    </w:p>
    <w:p>
      <w:pPr>
        <w:pStyle w:val="6"/>
        <w:shd w:val="clear" w:color="auto" w:fill="FFFFFF"/>
        <w:spacing w:before="0" w:beforeAutospacing="0" w:after="0" w:afterAutospacing="0"/>
        <w:rPr>
          <w:color w:val="333333"/>
          <w:sz w:val="28"/>
          <w:szCs w:val="28"/>
        </w:rPr>
      </w:pPr>
      <w:r>
        <w:rPr>
          <w:color w:val="333333"/>
          <w:sz w:val="28"/>
          <w:szCs w:val="28"/>
        </w:rPr>
        <w:t>八、年末结转和结余：指本年度或以前年度预算安排、因客观条件发生变化无法按原计划实施，需延迟到以后年度按有关规定继续使用的资金。 </w:t>
      </w:r>
    </w:p>
    <w:p>
      <w:pPr>
        <w:pStyle w:val="6"/>
        <w:shd w:val="clear" w:color="auto" w:fill="FFFFFF"/>
        <w:spacing w:before="0" w:beforeAutospacing="0" w:after="0" w:afterAutospacing="0"/>
        <w:rPr>
          <w:color w:val="333333"/>
          <w:sz w:val="28"/>
          <w:szCs w:val="28"/>
        </w:rPr>
      </w:pPr>
      <w:r>
        <w:rPr>
          <w:color w:val="333333"/>
          <w:sz w:val="28"/>
          <w:szCs w:val="28"/>
        </w:rPr>
        <w:t>九、基本支出：指为保障机构正常运转、完成日常工作任务而发生的人员支出和公用支出。 </w:t>
      </w:r>
    </w:p>
    <w:p>
      <w:pPr>
        <w:pStyle w:val="6"/>
        <w:shd w:val="clear" w:color="auto" w:fill="FFFFFF"/>
        <w:spacing w:before="0" w:beforeAutospacing="0" w:after="0" w:afterAutospacing="0"/>
        <w:rPr>
          <w:color w:val="333333"/>
          <w:sz w:val="28"/>
          <w:szCs w:val="28"/>
        </w:rPr>
      </w:pPr>
      <w:r>
        <w:rPr>
          <w:color w:val="333333"/>
          <w:sz w:val="28"/>
          <w:szCs w:val="28"/>
        </w:rPr>
        <w:t>十、项目支出：指在基本支出之外，为完成特定行政任务和事业发展目标所发生的支出。 </w:t>
      </w:r>
    </w:p>
    <w:p>
      <w:pPr>
        <w:pStyle w:val="6"/>
        <w:shd w:val="clear" w:color="auto" w:fill="FFFFFF"/>
        <w:spacing w:before="0" w:beforeAutospacing="0" w:after="0" w:afterAutospacing="0"/>
        <w:rPr>
          <w:color w:val="333333"/>
          <w:sz w:val="28"/>
          <w:szCs w:val="28"/>
        </w:rPr>
      </w:pPr>
      <w:r>
        <w:rPr>
          <w:color w:val="333333"/>
          <w:sz w:val="28"/>
          <w:szCs w:val="28"/>
        </w:rPr>
        <w:t>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Style w:val="12"/>
        <w:spacing w:line="560" w:lineRule="exact"/>
        <w:rPr>
          <w:rFonts w:ascii="宋体" w:hAnsi="宋体" w:cs="宋体" w:eastAsiaTheme="minorEastAsia"/>
          <w:color w:val="333333"/>
          <w:sz w:val="28"/>
          <w:szCs w:val="28"/>
        </w:rPr>
      </w:pPr>
      <w:r>
        <w:rPr>
          <w:rFonts w:hint="eastAsia" w:ascii="宋体" w:hAnsi="宋体" w:cs="宋体" w:eastAsiaTheme="minorEastAsia"/>
          <w:color w:val="333333"/>
          <w:sz w:val="28"/>
          <w:szCs w:val="28"/>
        </w:rPr>
        <w:t>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spacing w:line="560" w:lineRule="exact"/>
        <w:jc w:val="center"/>
        <w:rPr>
          <w:rFonts w:asciiTheme="minorEastAsia" w:hAnsiTheme="minorEastAsia" w:eastAsiaTheme="minorEastAsia" w:cstheme="minorEastAsia"/>
          <w:b/>
          <w:bCs/>
          <w:color w:val="000000" w:themeColor="text1"/>
          <w:sz w:val="32"/>
          <w:szCs w:val="32"/>
        </w:rPr>
      </w:pPr>
    </w:p>
    <w:p>
      <w:pPr>
        <w:pStyle w:val="12"/>
        <w:jc w:val="center"/>
        <w:rPr>
          <w:color w:val="000000" w:themeColor="text1"/>
          <w:sz w:val="48"/>
          <w:szCs w:val="48"/>
        </w:rPr>
      </w:pPr>
      <w:r>
        <w:rPr>
          <w:rFonts w:hint="eastAsia"/>
          <w:color w:val="000000" w:themeColor="text1"/>
          <w:sz w:val="48"/>
          <w:szCs w:val="48"/>
        </w:rPr>
        <w:t>第五部分</w:t>
      </w:r>
    </w:p>
    <w:p>
      <w:pPr>
        <w:pStyle w:val="12"/>
        <w:jc w:val="center"/>
        <w:rPr>
          <w:color w:val="000000" w:themeColor="text1"/>
          <w:sz w:val="48"/>
          <w:szCs w:val="48"/>
        </w:rPr>
      </w:pPr>
    </w:p>
    <w:p>
      <w:pPr>
        <w:pStyle w:val="12"/>
        <w:jc w:val="center"/>
        <w:rPr>
          <w:color w:val="000000" w:themeColor="text1"/>
          <w:sz w:val="48"/>
          <w:szCs w:val="48"/>
        </w:rPr>
      </w:pPr>
      <w:r>
        <w:rPr>
          <w:rFonts w:hint="eastAsia"/>
          <w:color w:val="000000" w:themeColor="text1"/>
          <w:sz w:val="48"/>
          <w:szCs w:val="48"/>
        </w:rPr>
        <w:t>附件</w:t>
      </w: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jc w:val="center"/>
        <w:rPr>
          <w:rFonts w:ascii="宋体" w:hAnsi="宋体"/>
          <w:b/>
          <w:color w:val="000000" w:themeColor="text1"/>
          <w:sz w:val="28"/>
          <w:szCs w:val="28"/>
        </w:rPr>
      </w:pPr>
    </w:p>
    <w:p>
      <w:pPr>
        <w:spacing w:line="560" w:lineRule="exact"/>
        <w:ind w:firstLine="960" w:firstLineChars="300"/>
        <w:jc w:val="center"/>
        <w:rPr>
          <w:rFonts w:ascii="黑体" w:eastAsia="黑体"/>
          <w:color w:val="000000" w:themeColor="text1"/>
          <w:sz w:val="32"/>
          <w:szCs w:val="32"/>
        </w:rPr>
      </w:pPr>
      <w:r>
        <w:rPr>
          <w:rFonts w:hint="eastAsia" w:ascii="黑体" w:eastAsia="黑体"/>
          <w:color w:val="000000" w:themeColor="text1"/>
          <w:sz w:val="32"/>
          <w:szCs w:val="32"/>
        </w:rPr>
        <w:t>县委巡察工作领导小组办公室2020年部门</w:t>
      </w:r>
    </w:p>
    <w:p>
      <w:pPr>
        <w:spacing w:line="560" w:lineRule="exact"/>
        <w:ind w:firstLine="640" w:firstLineChars="200"/>
        <w:jc w:val="center"/>
        <w:rPr>
          <w:rFonts w:ascii="黑体" w:eastAsia="黑体"/>
          <w:color w:val="000000" w:themeColor="text1"/>
          <w:sz w:val="32"/>
          <w:szCs w:val="32"/>
        </w:rPr>
      </w:pPr>
      <w:r>
        <w:rPr>
          <w:rFonts w:hint="eastAsia" w:ascii="黑体" w:eastAsia="黑体"/>
          <w:color w:val="000000" w:themeColor="text1"/>
          <w:sz w:val="32"/>
          <w:szCs w:val="32"/>
        </w:rPr>
        <w:t>整体支出绩效报告</w:t>
      </w:r>
    </w:p>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为进一步规范财政资金管理，强化绩效和责任意识，切实提高财政资金使用效益，根据</w:t>
      </w:r>
      <w:r>
        <w:rPr>
          <w:rFonts w:hint="eastAsia" w:ascii="仿宋_GB2312" w:eastAsia="仿宋_GB2312"/>
          <w:kern w:val="0"/>
          <w:sz w:val="32"/>
          <w:szCs w:val="32"/>
        </w:rPr>
        <w:t>《中共湖南省委办公厅湖南省人民政府办公厅关于全面实施预算绩效管理的实施意见》（湘办发〔2019〕10号）、财政部《项目支出绩效评价管理办法》（财预〔2020〕10号）、</w:t>
      </w:r>
      <w:r>
        <w:rPr>
          <w:rFonts w:hint="eastAsia" w:ascii="仿宋_GB2312" w:eastAsia="仿宋_GB2312"/>
          <w:sz w:val="32"/>
          <w:szCs w:val="32"/>
        </w:rPr>
        <w:t>《湖南省预算支出绩效评价管理办法》（湘财绩</w:t>
      </w:r>
      <w:r>
        <w:rPr>
          <w:rFonts w:hint="eastAsia" w:ascii="仿宋_GB2312" w:eastAsia="仿宋_GB2312"/>
          <w:kern w:val="0"/>
          <w:sz w:val="32"/>
          <w:szCs w:val="32"/>
        </w:rPr>
        <w:t>〔2020〕7号</w:t>
      </w:r>
      <w:r>
        <w:rPr>
          <w:rFonts w:hint="eastAsia" w:ascii="仿宋_GB2312" w:eastAsia="仿宋_GB2312"/>
          <w:sz w:val="32"/>
          <w:szCs w:val="32"/>
        </w:rPr>
        <w:t>）</w:t>
      </w:r>
      <w:r>
        <w:rPr>
          <w:rFonts w:hint="eastAsia" w:ascii="仿宋_GB2312" w:eastAsia="仿宋_GB2312" w:cs="仿宋_GB2312" w:hAnsiTheme="minorEastAsia"/>
          <w:sz w:val="32"/>
          <w:szCs w:val="32"/>
        </w:rPr>
        <w:t>等文件精神</w:t>
      </w:r>
      <w:r>
        <w:rPr>
          <w:rFonts w:hint="eastAsia" w:ascii="仿宋_GB2312" w:hAnsi="黑体" w:eastAsia="仿宋_GB2312"/>
          <w:sz w:val="32"/>
          <w:szCs w:val="32"/>
        </w:rPr>
        <w:t>，现将</w:t>
      </w:r>
      <w:r>
        <w:rPr>
          <w:rFonts w:hint="eastAsia" w:ascii="仿宋_GB2312" w:eastAsia="仿宋_GB2312"/>
          <w:sz w:val="32"/>
          <w:szCs w:val="32"/>
        </w:rPr>
        <w:t>中共衡南县委巡察工作领导小组办公室2020年度县级部门整体支</w:t>
      </w:r>
      <w:r>
        <w:rPr>
          <w:rFonts w:hint="eastAsia" w:ascii="仿宋_GB2312" w:hAnsi="黑体" w:eastAsia="仿宋_GB2312"/>
          <w:sz w:val="32"/>
          <w:szCs w:val="32"/>
        </w:rPr>
        <w:t>出绩效自评报告如下：</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一、部门概况</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（一）部门基本情况</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1、县委巡察机构为2018年4月成立的正科级全额拨款行政单位，设“一办三组”、巡察信息中心，核定人员编制22人，其中：巡察办5人、巡察组12人、巡察信息中心5人。截止2020年底实有在编在岗人员共计15人。</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向县委巡察工作领导小组、市委巡察工作领导小组办公室报告巡察工作情况，传达贯彻中央、省委、市委和县委、县委巡察工作领导小组的决策和部署。统筹、协调、指导县委巡察组开展工作，根据县委巡察工作领导小组的统一安排，承担常规巡察、专项巡察、交叉巡察任务，向领导小组负责并报告工作</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二）部门整体支出规模、使用方向和主要内容、涉及范围等。县委巡察工作领导小组办公室2020年度财政决算支出331.07万元，含基本支出245.07万元，项目支出86万元。项目支出主要是用于常规巡察、专项巡察、交叉巡察等开支。</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二、部门整体支出管理及使用情况</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（一）部门整体支出预算经费情况</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2020年县财政局对县委巡察办支出预算批复总金额为281.46万元，其中工资福利支出147.46万元、一般商品和服务支出48万元、专项商品和服务支出86万元。</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（二）部门整体支出经费使用情况</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2020年县委巡察办整体支出经费331.07万元，其中基本支出245.07万元，项目支出86万元。</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1、基本支出：2020年基本支出245.07万元,保障我单位机构正常运转，完成日常工作任务而发生的各项支出，包括用于在职基本工资、津贴补贴等人员经费以及办公费、印刷费、水电费、办公设备购置等日常公用经费。</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项目支出：2020年项目支出86万元，主要是抽调巡察工作人员40人对21个单位机关、12个乡镇党组织进行常规巡察。按照市委巡察工作领导小组统一部署，进行法院系统提级交叉巡察工作。积极配合市委第八轮专项巡察信访、生态环境督察整改和优化营商环境三项重点工作等项目的支出。</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三、部门整体支出绩效情况</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2020年县委巡察办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1、在职人员控制率：100%</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2、“三公经费”控制率：100%。</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预算完成率：100%</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4、政府采购执行率100%</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5、在资金管理上，单位制定了一系列的财务管理制度。</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6、在决算信息公开方面，严格按照要求将2020年的“三公经费”及预算数据在网站进行了公开。</w:t>
      </w:r>
    </w:p>
    <w:p>
      <w:pPr>
        <w:widowControl/>
        <w:spacing w:line="6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四、存在的主要问题</w:t>
      </w:r>
    </w:p>
    <w:p>
      <w:pPr>
        <w:widowControl/>
        <w:spacing w:line="600" w:lineRule="exact"/>
        <w:ind w:firstLine="645"/>
        <w:jc w:val="left"/>
        <w:rPr>
          <w:rFonts w:ascii="黑体" w:hAnsi="黑体" w:eastAsia="黑体"/>
          <w:sz w:val="32"/>
          <w:szCs w:val="32"/>
        </w:rPr>
      </w:pPr>
      <w:r>
        <w:rPr>
          <w:rFonts w:hint="eastAsia" w:ascii="黑体" w:hAnsi="黑体" w:eastAsia="黑体"/>
          <w:sz w:val="32"/>
          <w:szCs w:val="32"/>
        </w:rPr>
        <w:t>四</w:t>
      </w:r>
      <w:r>
        <w:rPr>
          <w:rFonts w:hint="eastAsia" w:ascii="仿宋_GB2312" w:hAnsi="仿宋_GB2312" w:eastAsia="仿宋_GB2312" w:cs="仿宋_GB2312"/>
          <w:b/>
          <w:bCs/>
          <w:kern w:val="0"/>
          <w:sz w:val="32"/>
          <w:szCs w:val="32"/>
        </w:rPr>
        <w:t>、存在的主要问题</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年初预算的编制较为精细，按照费用支出的使用范围和内容，进行了基本支出、项目支出的严格区分，并按照预算的最末级明细进行预算支出管理，专款专用。但对于追加的资金，没有进行预算分解，编制明细预算。</w:t>
      </w:r>
    </w:p>
    <w:p>
      <w:pPr>
        <w:pStyle w:val="13"/>
        <w:widowControl/>
        <w:spacing w:line="600" w:lineRule="exact"/>
        <w:ind w:left="620" w:firstLine="0" w:firstLineChars="0"/>
        <w:jc w:val="left"/>
        <w:rPr>
          <w:rFonts w:ascii="仿宋_GB2312" w:hAnsi="黑体" w:eastAsia="仿宋_GB2312"/>
          <w:b/>
          <w:sz w:val="32"/>
          <w:szCs w:val="32"/>
        </w:rPr>
      </w:pPr>
      <w:r>
        <w:rPr>
          <w:rFonts w:hint="eastAsia" w:ascii="仿宋_GB2312" w:hAnsi="黑体" w:eastAsia="仿宋_GB2312"/>
          <w:b/>
          <w:sz w:val="32"/>
          <w:szCs w:val="32"/>
        </w:rPr>
        <w:t>五、</w:t>
      </w:r>
      <w:r>
        <w:rPr>
          <w:rFonts w:hint="eastAsia" w:ascii="仿宋_GB2312" w:hAnsi="仿宋_GB2312" w:eastAsia="仿宋_GB2312" w:cs="仿宋_GB2312"/>
          <w:b/>
          <w:bCs/>
          <w:kern w:val="0"/>
          <w:sz w:val="32"/>
          <w:szCs w:val="32"/>
        </w:rPr>
        <w:t>改进措施及建议</w:t>
      </w:r>
    </w:p>
    <w:p>
      <w:pPr>
        <w:pStyle w:val="6"/>
        <w:spacing w:beforeAutospacing="0" w:afterAutospacing="0" w:line="600" w:lineRule="exact"/>
        <w:ind w:firstLine="640" w:firstLineChars="200"/>
        <w:jc w:val="both"/>
        <w:rPr>
          <w:rFonts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rPr>
        <w:t>1、细化预算编制工作，认真做好预算的编制。</w:t>
      </w:r>
    </w:p>
    <w:p>
      <w:pPr>
        <w:pStyle w:val="6"/>
        <w:spacing w:beforeAutospacing="0" w:afterAutospacing="0" w:line="600" w:lineRule="exact"/>
        <w:ind w:firstLine="640" w:firstLineChars="200"/>
        <w:jc w:val="both"/>
        <w:rPr>
          <w:rFonts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rPr>
        <w:t>进一步加强预算管理意识，严格按照预算编制的相关制度和要求，公用经费根据单位的年度工作重点和项目专项工作规划，本着“勤俭节约、保障运转”的原则进行预算的编制；编制范围尽可能的全面，不漏项；杜绝预算编制粗放、拍脑袋现象的发生，进一步提高预算编制的科学性、合理性、严谨性和可控性。</w:t>
      </w:r>
    </w:p>
    <w:p>
      <w:pPr>
        <w:pStyle w:val="6"/>
        <w:spacing w:beforeAutospacing="0" w:afterAutospacing="0" w:line="600" w:lineRule="exact"/>
        <w:ind w:firstLine="640" w:firstLineChars="200"/>
        <w:jc w:val="both"/>
        <w:rPr>
          <w:rFonts w:ascii="仿宋_GB2312" w:hAnsi="仿宋" w:eastAsia="仿宋_GB2312" w:cs="仿宋"/>
          <w:color w:val="000000"/>
          <w:kern w:val="2"/>
          <w:sz w:val="32"/>
          <w:szCs w:val="32"/>
        </w:rPr>
      </w:pPr>
      <w:r>
        <w:rPr>
          <w:rFonts w:hint="eastAsia" w:ascii="仿宋_GB2312" w:hAnsi="仿宋" w:eastAsia="仿宋_GB2312" w:cs="仿宋"/>
          <w:color w:val="000000"/>
          <w:kern w:val="2"/>
          <w:sz w:val="32"/>
          <w:szCs w:val="32"/>
        </w:rPr>
        <w:t>2、加强财务管理，严格财务审核，提高财务的精细化管理。在费用报账支付时，按照预算规定的费用项目和用途进行资金使用的审核，在预算金额内严格控制费用的支出，控制超支现象的发生；严格按照实际的费用支出内容进行财务核算，确保财务核算的真实、及时、准确、完整。</w:t>
      </w:r>
    </w:p>
    <w:p>
      <w:pPr>
        <w:ind w:firstLine="640" w:firstLineChars="200"/>
        <w:rPr>
          <w:rFonts w:eastAsia="仿宋_GB2312"/>
          <w:kern w:val="0"/>
          <w:sz w:val="22"/>
        </w:rPr>
      </w:pPr>
      <w:r>
        <w:rPr>
          <w:rFonts w:hint="eastAsia" w:ascii="仿宋_GB2312" w:hAnsi="仿宋" w:eastAsia="仿宋_GB2312" w:cs="仿宋"/>
          <w:color w:val="000000"/>
          <w:sz w:val="32"/>
          <w:szCs w:val="32"/>
        </w:rPr>
        <w:t>3、进一步严控三公经费支出，严格控制三公经费的规模和比例，严格三公经费支出的审核审批流程，杜绝挪用和挤占其他预算资金行为；进一步细化三公经费的管理，抓好公车的节能降耗工作，进一步压缩三公经费支出。</w:t>
      </w:r>
    </w:p>
    <w:p/>
    <w:p>
      <w:pPr>
        <w:widowControl/>
        <w:spacing w:line="600" w:lineRule="exact"/>
        <w:ind w:firstLine="640" w:firstLineChars="200"/>
        <w:jc w:val="left"/>
        <w:rPr>
          <w:rFonts w:ascii="仿宋_GB2312" w:hAnsi="黑体" w:eastAsia="仿宋_GB2312"/>
          <w:sz w:val="32"/>
          <w:szCs w:val="32"/>
        </w:rPr>
      </w:pPr>
    </w:p>
    <w:p>
      <w:pPr>
        <w:widowControl/>
        <w:spacing w:line="600" w:lineRule="exact"/>
        <w:ind w:firstLine="640" w:firstLineChars="200"/>
        <w:jc w:val="left"/>
        <w:rPr>
          <w:rFonts w:ascii="仿宋_GB2312" w:hAnsi="黑体" w:eastAsia="仿宋_GB2312"/>
          <w:sz w:val="32"/>
          <w:szCs w:val="32"/>
        </w:rPr>
      </w:pPr>
    </w:p>
    <w:p>
      <w:pPr>
        <w:spacing w:line="560" w:lineRule="exact"/>
        <w:rPr>
          <w:rFonts w:asciiTheme="minorEastAsia" w:hAnsiTheme="minorEastAsia" w:cstheme="minorEastAsia"/>
          <w:color w:val="000000" w:themeColor="text1"/>
          <w:kern w:val="0"/>
          <w:sz w:val="28"/>
          <w:szCs w:val="28"/>
        </w:rPr>
      </w:pPr>
    </w:p>
    <w:p>
      <w:pPr>
        <w:spacing w:line="560" w:lineRule="exact"/>
        <w:jc w:val="center"/>
        <w:rPr>
          <w:rFonts w:asciiTheme="minorEastAsia" w:hAnsiTheme="minorEastAsia" w:cstheme="minorEastAsia"/>
          <w:sz w:val="28"/>
          <w:szCs w:val="28"/>
        </w:rPr>
      </w:pPr>
    </w:p>
    <w:sectPr>
      <w:headerReference r:id="rId3" w:type="default"/>
      <w:footerReference r:id="rId4" w:type="default"/>
      <w:pgSz w:w="11906" w:h="16838"/>
      <w:pgMar w:top="2155" w:right="1531" w:bottom="1871" w:left="153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6751"/>
    </w:sdtPr>
    <w:sdtContent>
      <w:p>
        <w:pPr>
          <w:pStyle w:val="4"/>
          <w:jc w:val="center"/>
        </w:pPr>
        <w:r>
          <w:fldChar w:fldCharType="begin"/>
        </w:r>
        <w:r>
          <w:instrText xml:space="preserve"> PAGE   \* MERGEFORMAT </w:instrText>
        </w:r>
        <w:r>
          <w:fldChar w:fldCharType="separate"/>
        </w:r>
        <w:r>
          <w:rPr>
            <w:lang w:val="zh-CN"/>
          </w:rPr>
          <w:t>21</w:t>
        </w:r>
        <w:r>
          <w:rPr>
            <w:lang w:val="zh-CN"/>
          </w:rPr>
          <w:fldChar w:fldCharType="end"/>
        </w:r>
      </w:p>
    </w:sdtContent>
  </w:sdt>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1A2A"/>
    <w:rsid w:val="0002229B"/>
    <w:rsid w:val="000273BD"/>
    <w:rsid w:val="000415B7"/>
    <w:rsid w:val="00052DC3"/>
    <w:rsid w:val="000658A3"/>
    <w:rsid w:val="00074155"/>
    <w:rsid w:val="000A3F69"/>
    <w:rsid w:val="000F3E8A"/>
    <w:rsid w:val="000F4C04"/>
    <w:rsid w:val="001163D8"/>
    <w:rsid w:val="00124846"/>
    <w:rsid w:val="00145CA7"/>
    <w:rsid w:val="00152C6D"/>
    <w:rsid w:val="00162D39"/>
    <w:rsid w:val="001A1AFA"/>
    <w:rsid w:val="001A67DB"/>
    <w:rsid w:val="001B32D1"/>
    <w:rsid w:val="001C1210"/>
    <w:rsid w:val="001D51E5"/>
    <w:rsid w:val="001F0C3B"/>
    <w:rsid w:val="001F2744"/>
    <w:rsid w:val="001F34CF"/>
    <w:rsid w:val="001F392C"/>
    <w:rsid w:val="001F6413"/>
    <w:rsid w:val="00214427"/>
    <w:rsid w:val="00247C6C"/>
    <w:rsid w:val="00265724"/>
    <w:rsid w:val="0027163B"/>
    <w:rsid w:val="00272E43"/>
    <w:rsid w:val="0027426B"/>
    <w:rsid w:val="00296F0F"/>
    <w:rsid w:val="00297F42"/>
    <w:rsid w:val="002A2AF0"/>
    <w:rsid w:val="002C6280"/>
    <w:rsid w:val="002E0CCC"/>
    <w:rsid w:val="002F593A"/>
    <w:rsid w:val="00304805"/>
    <w:rsid w:val="003172B1"/>
    <w:rsid w:val="003479BD"/>
    <w:rsid w:val="00357948"/>
    <w:rsid w:val="003768D5"/>
    <w:rsid w:val="0038216E"/>
    <w:rsid w:val="003D5CE2"/>
    <w:rsid w:val="00402B34"/>
    <w:rsid w:val="004041B4"/>
    <w:rsid w:val="004506F9"/>
    <w:rsid w:val="00456E9B"/>
    <w:rsid w:val="004717A2"/>
    <w:rsid w:val="004750E7"/>
    <w:rsid w:val="00491741"/>
    <w:rsid w:val="0049361F"/>
    <w:rsid w:val="004A3DF2"/>
    <w:rsid w:val="004B45D3"/>
    <w:rsid w:val="004C3CE5"/>
    <w:rsid w:val="00500E5F"/>
    <w:rsid w:val="00501BEC"/>
    <w:rsid w:val="00503F24"/>
    <w:rsid w:val="00504030"/>
    <w:rsid w:val="005122EF"/>
    <w:rsid w:val="00515E06"/>
    <w:rsid w:val="00516D2E"/>
    <w:rsid w:val="00517C33"/>
    <w:rsid w:val="00523644"/>
    <w:rsid w:val="005255C7"/>
    <w:rsid w:val="00534226"/>
    <w:rsid w:val="0054069E"/>
    <w:rsid w:val="005767CC"/>
    <w:rsid w:val="00590D9F"/>
    <w:rsid w:val="00595D26"/>
    <w:rsid w:val="005A0208"/>
    <w:rsid w:val="005A74E6"/>
    <w:rsid w:val="005D400B"/>
    <w:rsid w:val="005D4D55"/>
    <w:rsid w:val="005E2CFB"/>
    <w:rsid w:val="0062378F"/>
    <w:rsid w:val="00641A58"/>
    <w:rsid w:val="0064400C"/>
    <w:rsid w:val="00651EEC"/>
    <w:rsid w:val="006A2280"/>
    <w:rsid w:val="006A351B"/>
    <w:rsid w:val="006B0422"/>
    <w:rsid w:val="006C1B53"/>
    <w:rsid w:val="006D7730"/>
    <w:rsid w:val="006E3D3B"/>
    <w:rsid w:val="006E5284"/>
    <w:rsid w:val="006F1FDB"/>
    <w:rsid w:val="006F33E7"/>
    <w:rsid w:val="006F3EB5"/>
    <w:rsid w:val="00702E34"/>
    <w:rsid w:val="00704395"/>
    <w:rsid w:val="007155CF"/>
    <w:rsid w:val="00720FF1"/>
    <w:rsid w:val="007275AD"/>
    <w:rsid w:val="00733F64"/>
    <w:rsid w:val="00745F99"/>
    <w:rsid w:val="0076123C"/>
    <w:rsid w:val="007713AF"/>
    <w:rsid w:val="007718CC"/>
    <w:rsid w:val="00777CE8"/>
    <w:rsid w:val="007B1436"/>
    <w:rsid w:val="007B314D"/>
    <w:rsid w:val="007E1AE2"/>
    <w:rsid w:val="008074D1"/>
    <w:rsid w:val="00812ED5"/>
    <w:rsid w:val="0082062C"/>
    <w:rsid w:val="008277D9"/>
    <w:rsid w:val="008664FD"/>
    <w:rsid w:val="00870985"/>
    <w:rsid w:val="008A3E8D"/>
    <w:rsid w:val="008A765E"/>
    <w:rsid w:val="0090024A"/>
    <w:rsid w:val="009237C4"/>
    <w:rsid w:val="00930188"/>
    <w:rsid w:val="00940167"/>
    <w:rsid w:val="00950252"/>
    <w:rsid w:val="00967F5D"/>
    <w:rsid w:val="00982AEE"/>
    <w:rsid w:val="009833AF"/>
    <w:rsid w:val="009A0F95"/>
    <w:rsid w:val="009B3ADF"/>
    <w:rsid w:val="009B5445"/>
    <w:rsid w:val="009C3B52"/>
    <w:rsid w:val="009C7334"/>
    <w:rsid w:val="009D13D8"/>
    <w:rsid w:val="009E329F"/>
    <w:rsid w:val="009E52E1"/>
    <w:rsid w:val="00A0158C"/>
    <w:rsid w:val="00A127F6"/>
    <w:rsid w:val="00A21237"/>
    <w:rsid w:val="00A31784"/>
    <w:rsid w:val="00A353A5"/>
    <w:rsid w:val="00A42218"/>
    <w:rsid w:val="00A50AA3"/>
    <w:rsid w:val="00A564EF"/>
    <w:rsid w:val="00A70249"/>
    <w:rsid w:val="00A70CB6"/>
    <w:rsid w:val="00A768A2"/>
    <w:rsid w:val="00AC426C"/>
    <w:rsid w:val="00B24B33"/>
    <w:rsid w:val="00B32F6E"/>
    <w:rsid w:val="00B33BEA"/>
    <w:rsid w:val="00B43EB6"/>
    <w:rsid w:val="00B57C9F"/>
    <w:rsid w:val="00B75F2C"/>
    <w:rsid w:val="00B77A99"/>
    <w:rsid w:val="00B845B3"/>
    <w:rsid w:val="00B85D8B"/>
    <w:rsid w:val="00B87738"/>
    <w:rsid w:val="00BC3C33"/>
    <w:rsid w:val="00BD6DD0"/>
    <w:rsid w:val="00BE3674"/>
    <w:rsid w:val="00BE3B02"/>
    <w:rsid w:val="00BF1DC7"/>
    <w:rsid w:val="00C15A14"/>
    <w:rsid w:val="00C3049A"/>
    <w:rsid w:val="00C31B1E"/>
    <w:rsid w:val="00C66A0D"/>
    <w:rsid w:val="00C7317F"/>
    <w:rsid w:val="00C77645"/>
    <w:rsid w:val="00C934A6"/>
    <w:rsid w:val="00CE04C3"/>
    <w:rsid w:val="00CE76A0"/>
    <w:rsid w:val="00CF1D04"/>
    <w:rsid w:val="00D148C6"/>
    <w:rsid w:val="00D2573A"/>
    <w:rsid w:val="00D32385"/>
    <w:rsid w:val="00D7429B"/>
    <w:rsid w:val="00D74E68"/>
    <w:rsid w:val="00D87F5E"/>
    <w:rsid w:val="00D9488A"/>
    <w:rsid w:val="00DC10E3"/>
    <w:rsid w:val="00DD06FF"/>
    <w:rsid w:val="00DD5FE9"/>
    <w:rsid w:val="00DE2801"/>
    <w:rsid w:val="00E00C7A"/>
    <w:rsid w:val="00E07FE0"/>
    <w:rsid w:val="00E23F55"/>
    <w:rsid w:val="00E5464B"/>
    <w:rsid w:val="00E55B68"/>
    <w:rsid w:val="00E661EC"/>
    <w:rsid w:val="00E70F2C"/>
    <w:rsid w:val="00E7366E"/>
    <w:rsid w:val="00ED452E"/>
    <w:rsid w:val="00F4663C"/>
    <w:rsid w:val="00F74360"/>
    <w:rsid w:val="00FB2C3E"/>
    <w:rsid w:val="00FB462F"/>
    <w:rsid w:val="00FC6697"/>
    <w:rsid w:val="00FE16FA"/>
    <w:rsid w:val="00FE328A"/>
    <w:rsid w:val="029D35E6"/>
    <w:rsid w:val="035A4179"/>
    <w:rsid w:val="0A1A4BC1"/>
    <w:rsid w:val="0E0C65DB"/>
    <w:rsid w:val="0FCB3DA4"/>
    <w:rsid w:val="163F5F80"/>
    <w:rsid w:val="17251C58"/>
    <w:rsid w:val="201358F5"/>
    <w:rsid w:val="28AC2528"/>
    <w:rsid w:val="2BC002F6"/>
    <w:rsid w:val="38C4311E"/>
    <w:rsid w:val="39DD78AB"/>
    <w:rsid w:val="3BDB3AF4"/>
    <w:rsid w:val="3D3C0A5B"/>
    <w:rsid w:val="3FBA3C5A"/>
    <w:rsid w:val="40DA0395"/>
    <w:rsid w:val="45FD32E3"/>
    <w:rsid w:val="46537A56"/>
    <w:rsid w:val="4C3A601E"/>
    <w:rsid w:val="52D21B0D"/>
    <w:rsid w:val="570369D9"/>
    <w:rsid w:val="5895030A"/>
    <w:rsid w:val="6E8200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5"/>
    <w:qFormat/>
    <w:uiPriority w:val="0"/>
    <w:pPr>
      <w:spacing w:after="120"/>
    </w:pPr>
    <w:rPr>
      <w:rFonts w:ascii="Times New Roman" w:hAnsi="Times New Roman" w:eastAsia="宋体" w:cs="Times New Roman"/>
      <w:szCs w:val="24"/>
    </w:rPr>
  </w:style>
  <w:style w:type="paragraph" w:styleId="3">
    <w:name w:val="Balloon Text"/>
    <w:basedOn w:val="1"/>
    <w:link w:val="14"/>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9">
    <w:name w:val="page number"/>
    <w:basedOn w:val="8"/>
    <w:qFormat/>
    <w:uiPriority w:val="0"/>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99"/>
    <w:pPr>
      <w:ind w:firstLine="420" w:firstLineChars="200"/>
    </w:pPr>
  </w:style>
  <w:style w:type="character" w:customStyle="1" w:styleId="14">
    <w:name w:val="批注框文本 Char"/>
    <w:basedOn w:val="8"/>
    <w:link w:val="3"/>
    <w:qFormat/>
    <w:uiPriority w:val="99"/>
    <w:rPr>
      <w:sz w:val="18"/>
      <w:szCs w:val="18"/>
    </w:rPr>
  </w:style>
  <w:style w:type="character" w:customStyle="1" w:styleId="15">
    <w:name w:val="正文文本 Char"/>
    <w:basedOn w:val="8"/>
    <w:link w:val="2"/>
    <w:uiPriority w:val="0"/>
    <w:rPr>
      <w:rFonts w:ascii="Times New Roman" w:hAnsi="Times New Roman" w:eastAsia="宋体" w:cs="Times New Roman"/>
      <w:szCs w:val="24"/>
    </w:rPr>
  </w:style>
  <w:style w:type="paragraph" w:customStyle="1" w:styleId="16">
    <w:name w:val="表格内容"/>
    <w:basedOn w:val="2"/>
    <w:qFormat/>
    <w:uiPriority w:val="0"/>
    <w:pPr>
      <w:suppressLineNumbers/>
      <w:suppressAutoHyphens/>
      <w:jc w:val="left"/>
    </w:pPr>
    <w:rPr>
      <w:rFonts w:cs="Tahoma"/>
      <w:kern w:val="0"/>
      <w:sz w:val="24"/>
    </w:rPr>
  </w:style>
  <w:style w:type="paragraph" w:customStyle="1" w:styleId="17">
    <w:name w:val="列出段落1"/>
    <w:basedOn w:val="1"/>
    <w:qFormat/>
    <w:uiPriority w:val="34"/>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3AEDAA-CD5F-4627-ADD7-7515E951B7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1068</Words>
  <Characters>6094</Characters>
  <Lines>50</Lines>
  <Paragraphs>14</Paragraphs>
  <TotalTime>21</TotalTime>
  <ScaleCrop>false</ScaleCrop>
  <LinksUpToDate>false</LinksUpToDate>
  <CharactersWithSpaces>7148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2021-11-14T02:48:00Z</cp:lastPrinted>
  <dcterms:modified xsi:type="dcterms:W3CDTF">2023-09-18T03:32:06Z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60C3431666D2477EB7A80C303D3505E7</vt:lpwstr>
  </property>
</Properties>
</file>