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2020年度</w:t>
      </w:r>
    </w:p>
    <w:p>
      <w:pPr>
        <w:pStyle w:val="10"/>
        <w:jc w:val="center"/>
        <w:rPr>
          <w:sz w:val="84"/>
          <w:szCs w:val="84"/>
        </w:rPr>
      </w:pPr>
      <w:r>
        <w:rPr>
          <w:rFonts w:hint="eastAsia"/>
          <w:sz w:val="84"/>
          <w:szCs w:val="84"/>
        </w:rPr>
        <w:t>衡南县住房和城乡建设局部门决算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第一部分衡南县住房和城乡建设局概况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r>
        <w:rPr>
          <w:rFonts w:hint="eastAsia" w:cs="仿宋_GB2312" w:asciiTheme="minorEastAsia" w:hAnsiTheme="minorEastAsia" w:eastAsiaTheme="minorEastAsia"/>
          <w:sz w:val="28"/>
          <w:szCs w:val="28"/>
        </w:rPr>
        <w:t>及决算单位构成</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ind w:firstLine="703" w:firstLineChars="250"/>
        <w:jc w:val="left"/>
        <w:rPr>
          <w:rFonts w:ascii="仿宋_GB2312" w:hAnsi="仿宋_GB2312" w:cs="仿宋_GB2312"/>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20" w:lineRule="exact"/>
        <w:ind w:firstLine="703" w:firstLineChars="250"/>
        <w:jc w:val="left"/>
        <w:rPr>
          <w:rFonts w:ascii="仿宋_GB2312" w:hAnsi="仿宋_GB2312" w:cs="仿宋_GB2312"/>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sz w:val="84"/>
          <w:szCs w:val="84"/>
        </w:rPr>
      </w:pPr>
      <w:r>
        <w:rPr>
          <w:rFonts w:hint="eastAsia"/>
          <w:sz w:val="84"/>
          <w:szCs w:val="84"/>
        </w:rPr>
        <w:t>衡南县住房和城乡建设局单位概况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Theme="minorEastAsia" w:hAnsiTheme="minorEastAsia"/>
          <w:b/>
          <w:sz w:val="28"/>
          <w:szCs w:val="28"/>
        </w:rPr>
      </w:pPr>
    </w:p>
    <w:p>
      <w:pPr>
        <w:pStyle w:val="11"/>
        <w:numPr>
          <w:ilvl w:val="0"/>
          <w:numId w:val="1"/>
        </w:numPr>
        <w:ind w:firstLineChars="0"/>
        <w:jc w:val="left"/>
        <w:rPr>
          <w:rFonts w:asciiTheme="minorEastAsia" w:hAnsiTheme="minorEastAsia"/>
          <w:b/>
          <w:sz w:val="28"/>
          <w:szCs w:val="28"/>
        </w:rPr>
      </w:pPr>
      <w:r>
        <w:rPr>
          <w:rFonts w:asciiTheme="minorEastAsia" w:hAnsiTheme="minorEastAsia"/>
          <w:b/>
          <w:sz w:val="28"/>
          <w:szCs w:val="28"/>
        </w:rPr>
        <w:t>部门职责</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一）承担牵头推进新型城镇化战略工作。负责贯彻执行新型城镇化、城乡建设、住房保障、工程建设、建筑业、住宅房地产业、勘察设计咨询业、市政公用设施建设方面的方针政策和法律法规，拟订全县新型城镇化、房地产业发展战略、中长期规划及年度计划并组织实施；牵头拟订市政公用设施建设中长期规划；负责市政公用设施建设方面行业管理及市场准入；负责城市道路、桥梁、地下通道及地下管廊管网等市政公用设施建设、维护和管理；负责城市供水、燃气、污水处理等公用设施建设和管理；指导乡镇住房和城乡建设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（二）贯彻落实党和国家关于人民防空的方针政策和法律法规。负责拟订全</w:t>
      </w:r>
      <w:r>
        <w:rPr>
          <w:rFonts w:hint="eastAsia" w:cs="Times New Roman" w:asciiTheme="minorEastAsia" w:hAnsiTheme="minorEastAsia" w:eastAsiaTheme="minorEastAsia"/>
          <w:sz w:val="28"/>
          <w:szCs w:val="28"/>
        </w:rPr>
        <w:t>县</w:t>
      </w:r>
      <w:r>
        <w:rPr>
          <w:rFonts w:cs="Times New Roman" w:asciiTheme="minorEastAsia" w:hAnsiTheme="minorEastAsia" w:eastAsiaTheme="minorEastAsia"/>
          <w:sz w:val="28"/>
          <w:szCs w:val="28"/>
        </w:rPr>
        <w:t>人民防空的基本战略方案，编制全</w:t>
      </w:r>
      <w:r>
        <w:rPr>
          <w:rFonts w:hint="eastAsia" w:cs="Times New Roman" w:asciiTheme="minorEastAsia" w:hAnsiTheme="minorEastAsia" w:eastAsiaTheme="minorEastAsia"/>
          <w:sz w:val="28"/>
          <w:szCs w:val="28"/>
        </w:rPr>
        <w:t>县</w:t>
      </w:r>
      <w:r>
        <w:rPr>
          <w:rFonts w:cs="Times New Roman" w:asciiTheme="minorEastAsia" w:hAnsiTheme="minorEastAsia" w:eastAsiaTheme="minorEastAsia"/>
          <w:sz w:val="28"/>
          <w:szCs w:val="28"/>
        </w:rPr>
        <w:t>人民防空建设中长期发展规划和年度工作计划，经批准后组织实施。</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三）负责住房制度改革和住房保障工作。负责推进住房制度改革和保障城镇中低收入家庭住房工作；执行住房有关法律法规，负责住房建设和住房制度改革；组织编制县本级城镇保障性住房发展规划和年度计划并监督实施；会同相关部门做好政府有关保障性住房资金安排和资金监管工作；负责全县城镇和国有工矿棚户区改造工作；负责全县保障性住房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四）负责全县房地产市场监督管理。组织拟订促进全县房地产市场平稳健康发展的相关政策；负责房地产市场管理，规范房地产市场秩序；负责商品房销（预）售管理；负责预售资金及项目资本金监管；负责房地产开发、房地产交易、物业管理、房地产中介服务、商品房屋租赁等市场管理工作；负责房产咨询、评估、经纪等中介服务机构资质及从业人员的资格管理；负责全县房地产综合开发的监督管理；负责房地产开发企业资质审核、发证工作；负责全县房地产行业信用信息管理工作；负责全县房地产市场监测、调控、研究；指导预警预报体系建设和信息发布；配合相关部门管理房地产价格和房地产广告。</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五）负责全县国有土地上房屋征收与补偿工作。负责对城镇房屋征收与补偿主体的项目房屋征收补偿方案备案；负责组织实施全县中心城区国有土地上房屋征收项目的房地产评估、土地评估、资产评估及编制补偿资金预算；负责组织对城镇房屋征收实物量的核定；负责对城镇房屋征收补偿资金使用等工作进行监督与管理；负责国有土地上房屋征收信息系统的建立和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六）负责物业管理行业和物业服务企业的监督管理。负责前期物业招标投标、物业管理用房核定、物业承接查验备案工作；指导监督物业维修资金的收取、使用、管理工作；负责物业保修金的收取、使用、管理和返还工作；指导监督全县物业管理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七）承担全县房屋建筑和市政基础设施工程质量、安全生产监督管理责任。负责房屋建筑和市政基础设施工程竣工验收备案并牵头组织综合验收；负责预拌(商品)混凝土及制品构件的质量监督管理；负责审核报批安全生产许可证，组织或参与建设工程质量、安全事故的调查处理；负责城镇房屋使用安全监督管理、危旧房屋安全鉴定和等级评定工作；协同编制城镇危旧房屋改造规划并组织实施；组织指导房屋及公共园林绿化白蚁防治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八）指导监督全县城镇建设工作。参与县本级城建资金计划的编制和管理；负责城镇建设工程项目概(预)算的审查和项目竣工结算的初审；负责城镇基础设施配套费和工程建设、房地产业各项规费的征收；负责住房和城乡建设行业综合统计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九）指导监督全县村镇建设工作。会同有关部门指导和监督改善农村人居环境工作；指导农村住房建设和农村危房改造工作；负责传统村落的申报、保护与发展，参与名镇名村申报与管理；负责新型城镇化相关考核。</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监督管理全县勘察设计市场。负责勘察设计及其咨询单位和施工图审查机构资质管理、从业人员资格审查；负责全县建设工程初步设计文件论证和施工图审查备案；指导全县各类建筑工程的抗震设防的设计审查，参与城市地下空间的开发利用及相关规划的编制工作；负责人防设计审查；负责城市雕塑建设。</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（十一）负责城市市政工程建设管理工作。负责城市道路、桥梁等设施的建设、维护和管理工作；负责城镇房屋室内装饰行业管理；参与毗邻房屋安全纠纷的调解工作。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（十二）负责建设工程造价行业管理工作。执行工程建设实施阶段国家标准、全国统一定额和省级行业标准以及相关的管理制度；指导监督各类工程建设标准定额的实施和工程造价计价，组织发布工程造价信息。</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三）监督管理全县建设市场。管理和指导全县建筑活动；负责全县建筑业企业及工程监理、检验检测等企业及其相关社会中介组织的资质报批和管理；负责房屋建筑和市政基础设施工程报建和施工许可审批管理；负责房屋建筑和市政基础设施工程招标投标活动的监督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四）负责推进全县建筑节能工作。组织重大建筑节能项目的实施，推进建筑节能和城镇节能减排；组织建筑行业科技成果的评审、推广应用；负责城建档案的收集、管理和利用。负责全县散装水泥、预拌混凝土、预拌砂浆的推广和行业管理及协调服务；负责散装水泥专项资金的使用和管理；负责预拌混凝土和预拌砂浆企业规划、审核和监督管理。负责全县新型墙体材料推广应用和监督、检查、管理；负责审核新型墙体材料产品资质认证；负责新型墙体材料专项基金的使用和管理；负责审批城市周围新建、扩建实心粘土砖生产线；指导新型墙体材料的研究开发、生产和使用。</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（十五）负责建设工程消防相关工作。负责建设工程消防设计审查；负责建设工程消防验收、备案和抽查工作。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六）负责推进住房和城乡建设领域科技发展。制定并实施全县住房和城乡建设领域科技创新发展和人才培养规划和计划。组织实施重大科技工程及创新能力建设，推进住房和城乡建设信息化和信息资料的公共服务。组织开展全县住房和城乡建设领域对外交流与合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（十七）承担全县建设市场、房地产市场、消防、人防工程建设管理方面的行政执法工作。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十八</w:t>
      </w:r>
      <w:r>
        <w:rPr>
          <w:rFonts w:cs="Times New Roman" w:asciiTheme="minorEastAsia" w:hAnsiTheme="minorEastAsia" w:eastAsiaTheme="minorEastAsia"/>
          <w:sz w:val="28"/>
          <w:szCs w:val="28"/>
        </w:rPr>
        <w:t>）根据国家批准的防护类别、防护标准，会同有关部门编制人民防空建设与城市建设相结合</w:t>
      </w:r>
      <w:r>
        <w:rPr>
          <w:rFonts w:hint="eastAsia" w:cs="Times New Roman" w:asciiTheme="minorEastAsia" w:hAnsiTheme="minorEastAsia" w:eastAsiaTheme="minorEastAsia"/>
          <w:sz w:val="28"/>
          <w:szCs w:val="28"/>
        </w:rPr>
        <w:t>的</w:t>
      </w:r>
      <w:r>
        <w:rPr>
          <w:rFonts w:cs="Times New Roman" w:asciiTheme="minorEastAsia" w:hAnsiTheme="minorEastAsia" w:eastAsiaTheme="minorEastAsia"/>
          <w:sz w:val="28"/>
          <w:szCs w:val="28"/>
        </w:rPr>
        <w:t>规划</w:t>
      </w:r>
      <w:r>
        <w:rPr>
          <w:rFonts w:hint="eastAsia" w:cs="Times New Roman" w:asciiTheme="minorEastAsia" w:hAnsiTheme="minorEastAsia" w:eastAsiaTheme="minorEastAsia"/>
          <w:sz w:val="28"/>
          <w:szCs w:val="28"/>
        </w:rPr>
        <w:t>方案</w:t>
      </w:r>
      <w:r>
        <w:rPr>
          <w:rFonts w:cs="Times New Roman" w:asciiTheme="minorEastAsia" w:hAnsiTheme="minorEastAsia" w:eastAsiaTheme="minorEastAsia"/>
          <w:sz w:val="28"/>
          <w:szCs w:val="28"/>
        </w:rPr>
        <w:t>，审核城市地下空间开发利用的规划</w:t>
      </w:r>
      <w:r>
        <w:rPr>
          <w:rFonts w:hint="eastAsia" w:cs="Times New Roman" w:asciiTheme="minorEastAsia" w:hAnsiTheme="minorEastAsia" w:eastAsiaTheme="minorEastAsia"/>
          <w:sz w:val="28"/>
          <w:szCs w:val="28"/>
        </w:rPr>
        <w:t>方案；</w:t>
      </w:r>
      <w:r>
        <w:rPr>
          <w:rFonts w:cs="Times New Roman" w:asciiTheme="minorEastAsia" w:hAnsiTheme="minorEastAsia" w:eastAsiaTheme="minorEastAsia"/>
          <w:sz w:val="28"/>
          <w:szCs w:val="28"/>
        </w:rPr>
        <w:t>负责城市地下空间开发利用兼顾人民防空要求的管理和监督检查，对重要经济目标防护体系建设进行监督检查。</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十九</w:t>
      </w:r>
      <w:r>
        <w:rPr>
          <w:rFonts w:cs="Times New Roman" w:asciiTheme="minorEastAsia" w:hAnsiTheme="minorEastAsia" w:eastAsiaTheme="minorEastAsia"/>
          <w:sz w:val="28"/>
          <w:szCs w:val="28"/>
        </w:rPr>
        <w:t>）组织管理人民防空工程建设。根据国家制定的防护标准和质量标准，对人民防空工程（含结合民用建筑修建防空地下室）建设实施计划、技术和质量管理</w:t>
      </w:r>
      <w:r>
        <w:rPr>
          <w:rFonts w:hint="eastAsia" w:cs="Times New Roman" w:asciiTheme="minorEastAsia" w:hAnsiTheme="minorEastAsia" w:eastAsiaTheme="minorEastAsia"/>
          <w:sz w:val="28"/>
          <w:szCs w:val="28"/>
        </w:rPr>
        <w:t>；</w:t>
      </w:r>
      <w:r>
        <w:rPr>
          <w:rFonts w:cs="Times New Roman" w:asciiTheme="minorEastAsia" w:hAnsiTheme="minorEastAsia" w:eastAsiaTheme="minorEastAsia"/>
          <w:sz w:val="28"/>
          <w:szCs w:val="28"/>
        </w:rPr>
        <w:t>组织、协调人民防空工程维护管理和平时开发利用工作。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w:t>
      </w: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负责</w:t>
      </w:r>
      <w:r>
        <w:rPr>
          <w:rFonts w:cs="Times New Roman" w:asciiTheme="minorEastAsia" w:hAnsiTheme="minorEastAsia" w:eastAsiaTheme="minorEastAsia"/>
          <w:sz w:val="28"/>
          <w:szCs w:val="28"/>
        </w:rPr>
        <w:t>组织、协调城市防空袭方案</w:t>
      </w:r>
      <w:r>
        <w:rPr>
          <w:rFonts w:hint="eastAsia" w:cs="Times New Roman" w:asciiTheme="minorEastAsia" w:hAnsiTheme="minorEastAsia" w:eastAsiaTheme="minorEastAsia"/>
          <w:sz w:val="28"/>
          <w:szCs w:val="28"/>
        </w:rPr>
        <w:t>的拟订</w:t>
      </w:r>
      <w:r>
        <w:rPr>
          <w:rFonts w:cs="Times New Roman" w:asciiTheme="minorEastAsia" w:hAnsiTheme="minorEastAsia" w:eastAsiaTheme="minorEastAsia"/>
          <w:sz w:val="28"/>
          <w:szCs w:val="28"/>
        </w:rPr>
        <w:t>，指导城市人口、战备物资疏散和掩蔽计划</w:t>
      </w:r>
      <w:r>
        <w:rPr>
          <w:rFonts w:hint="eastAsia" w:cs="Times New Roman" w:asciiTheme="minorEastAsia" w:hAnsiTheme="minorEastAsia" w:eastAsiaTheme="minorEastAsia"/>
          <w:sz w:val="28"/>
          <w:szCs w:val="28"/>
        </w:rPr>
        <w:t>的制定</w:t>
      </w:r>
      <w:r>
        <w:rPr>
          <w:rFonts w:cs="Times New Roman" w:asciiTheme="minorEastAsia" w:hAnsiTheme="minorEastAsia" w:eastAsiaTheme="minorEastAsia"/>
          <w:sz w:val="28"/>
          <w:szCs w:val="28"/>
        </w:rPr>
        <w:t>，指导疏散基地建设，加强疏散地域建设，服务乡村振兴</w:t>
      </w:r>
      <w:r>
        <w:rPr>
          <w:rFonts w:hint="eastAsia" w:cs="Times New Roman" w:asciiTheme="minorEastAsia" w:hAnsiTheme="minorEastAsia" w:eastAsiaTheme="minorEastAsia"/>
          <w:sz w:val="28"/>
          <w:szCs w:val="28"/>
        </w:rPr>
        <w:t>；</w:t>
      </w:r>
      <w:r>
        <w:rPr>
          <w:rFonts w:cs="Times New Roman" w:asciiTheme="minorEastAsia" w:hAnsiTheme="minorEastAsia" w:eastAsiaTheme="minorEastAsia"/>
          <w:sz w:val="28"/>
          <w:szCs w:val="28"/>
        </w:rPr>
        <w:t>组织有关部门编制应对灾害事故疏散防护预案，组织开展防空防灾演习、演练等工作。战时组织开展城市人民防空袭斗争。</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二十一</w:t>
      </w:r>
      <w:r>
        <w:rPr>
          <w:rFonts w:cs="Times New Roman" w:asciiTheme="minorEastAsia" w:hAnsiTheme="minorEastAsia" w:eastAsiaTheme="minorEastAsia"/>
          <w:sz w:val="28"/>
          <w:szCs w:val="28"/>
        </w:rPr>
        <w:t>）负责人民防空指挥信息管理平台、通信警报和信息化建设，确保通信畅通、指挥高效。负责人民防空警报试鸣。</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二十二</w:t>
      </w:r>
      <w:r>
        <w:rPr>
          <w:rFonts w:cs="Times New Roman" w:asciiTheme="minorEastAsia" w:hAnsiTheme="minorEastAsia" w:eastAsiaTheme="minorEastAsia"/>
          <w:sz w:val="28"/>
          <w:szCs w:val="28"/>
        </w:rPr>
        <w:t>）组织开展防空防灾的宣传教育工作，普及防空防灾知识，提高民众应对灾害事故自救互救技能</w:t>
      </w:r>
      <w:r>
        <w:rPr>
          <w:rFonts w:hint="eastAsia" w:cs="Times New Roman" w:asciiTheme="minorEastAsia" w:hAnsiTheme="minorEastAsia" w:eastAsiaTheme="minorEastAsia"/>
          <w:sz w:val="28"/>
          <w:szCs w:val="28"/>
        </w:rPr>
        <w:t>；</w:t>
      </w:r>
      <w:r>
        <w:rPr>
          <w:rFonts w:cs="Times New Roman" w:asciiTheme="minorEastAsia" w:hAnsiTheme="minorEastAsia" w:eastAsiaTheme="minorEastAsia"/>
          <w:sz w:val="28"/>
          <w:szCs w:val="28"/>
        </w:rPr>
        <w:t>组织指导人民防空干部教育培训。</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二十三</w:t>
      </w:r>
      <w:r>
        <w:rPr>
          <w:rFonts w:cs="Times New Roman" w:asciiTheme="minorEastAsia" w:hAnsiTheme="minorEastAsia" w:eastAsiaTheme="minorEastAsia"/>
          <w:sz w:val="28"/>
          <w:szCs w:val="28"/>
        </w:rPr>
        <w:t>）管理人民防空经费和资产，编制</w:t>
      </w:r>
      <w:r>
        <w:rPr>
          <w:rFonts w:hint="eastAsia" w:cs="Times New Roman" w:asciiTheme="minorEastAsia" w:hAnsiTheme="minorEastAsia" w:eastAsiaTheme="minorEastAsia"/>
          <w:sz w:val="28"/>
          <w:szCs w:val="28"/>
        </w:rPr>
        <w:t>县</w:t>
      </w:r>
      <w:r>
        <w:rPr>
          <w:rFonts w:cs="Times New Roman" w:asciiTheme="minorEastAsia" w:hAnsiTheme="minorEastAsia" w:eastAsiaTheme="minorEastAsia"/>
          <w:sz w:val="28"/>
          <w:szCs w:val="28"/>
        </w:rPr>
        <w:t>本级人民防空经费预决算，并对使用情况实施绩效管理。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二十四</w:t>
      </w:r>
      <w:r>
        <w:rPr>
          <w:rFonts w:cs="Times New Roman" w:asciiTheme="minorEastAsia" w:hAnsiTheme="minorEastAsia" w:eastAsiaTheme="minorEastAsia"/>
          <w:sz w:val="28"/>
          <w:szCs w:val="28"/>
        </w:rPr>
        <w:t>）组织开展人民防空科学技术研究，推广应用科技成果。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二十五</w:t>
      </w: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负责</w:t>
      </w:r>
      <w:r>
        <w:rPr>
          <w:rFonts w:cs="Times New Roman" w:asciiTheme="minorEastAsia" w:hAnsiTheme="minorEastAsia" w:eastAsiaTheme="minorEastAsia"/>
          <w:sz w:val="28"/>
          <w:szCs w:val="28"/>
        </w:rPr>
        <w:t>利用人民防空设施、设备和人防专业队伍</w:t>
      </w:r>
      <w:r>
        <w:rPr>
          <w:rFonts w:hint="eastAsia" w:cs="Times New Roman" w:asciiTheme="minorEastAsia" w:hAnsiTheme="minorEastAsia" w:eastAsiaTheme="minorEastAsia"/>
          <w:sz w:val="28"/>
          <w:szCs w:val="28"/>
        </w:rPr>
        <w:t>，开展</w:t>
      </w:r>
      <w:r>
        <w:rPr>
          <w:rFonts w:cs="Times New Roman" w:asciiTheme="minorEastAsia" w:hAnsiTheme="minorEastAsia" w:eastAsiaTheme="minorEastAsia"/>
          <w:sz w:val="28"/>
          <w:szCs w:val="28"/>
        </w:rPr>
        <w:t>应急救援服务</w:t>
      </w:r>
      <w:r>
        <w:rPr>
          <w:rFonts w:hint="eastAsia" w:cs="Times New Roman" w:asciiTheme="minorEastAsia" w:hAnsiTheme="minorEastAsia" w:eastAsiaTheme="minorEastAsia"/>
          <w:sz w:val="28"/>
          <w:szCs w:val="28"/>
        </w:rPr>
        <w:t>工作</w:t>
      </w:r>
      <w:r>
        <w:rPr>
          <w:rFonts w:cs="Times New Roman" w:asciiTheme="minorEastAsia" w:hAnsiTheme="minorEastAsia" w:eastAsiaTheme="minorEastAsia"/>
          <w:sz w:val="28"/>
          <w:szCs w:val="28"/>
        </w:rPr>
        <w:t>。</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（二十六）负责本行业、领域职责范围内的应急管理工作，对本行业、领域职责范围内的安全生产工作实施监督管理。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（二十七）完成县委、县政府和县国防动员委员会交办的其他任务。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420" w:firstLineChars="150"/>
        <w:rPr>
          <w:rFonts w:ascii="宋体" w:hAnsi="宋体"/>
          <w:kern w:val="0"/>
          <w:sz w:val="28"/>
          <w:szCs w:val="28"/>
        </w:rPr>
      </w:pPr>
      <w:r>
        <w:rPr>
          <w:rFonts w:hint="eastAsia" w:ascii="宋体" w:hAnsi="宋体"/>
          <w:kern w:val="0"/>
          <w:sz w:val="28"/>
          <w:szCs w:val="28"/>
        </w:rPr>
        <w:t>（一）内设机构设置</w:t>
      </w:r>
    </w:p>
    <w:p>
      <w:pPr>
        <w:ind w:firstLine="560" w:firstLineChars="200"/>
        <w:rPr>
          <w:rFonts w:ascii="宋体" w:hAnsi="宋体"/>
          <w:kern w:val="0"/>
          <w:sz w:val="28"/>
          <w:szCs w:val="28"/>
        </w:rPr>
      </w:pPr>
      <w:r>
        <w:rPr>
          <w:rFonts w:hint="eastAsia" w:ascii="宋体" w:hAnsi="宋体"/>
          <w:kern w:val="0"/>
          <w:sz w:val="28"/>
          <w:szCs w:val="28"/>
        </w:rPr>
        <w:t>衡南县人民防空办公室同我局合署办公，</w:t>
      </w:r>
      <w:r>
        <w:rPr>
          <w:rFonts w:hint="eastAsia" w:cs="Times New Roman"/>
          <w:sz w:val="28"/>
          <w:szCs w:val="28"/>
        </w:rPr>
        <w:t>实行一套工作机构、两个机关名称。</w:t>
      </w:r>
      <w:r>
        <w:rPr>
          <w:rFonts w:ascii="宋体" w:hAnsi="宋体"/>
          <w:kern w:val="0"/>
          <w:sz w:val="28"/>
          <w:szCs w:val="28"/>
        </w:rPr>
        <w:t>我</w:t>
      </w:r>
      <w:r>
        <w:rPr>
          <w:rFonts w:hint="eastAsia" w:ascii="宋体" w:hAnsi="宋体"/>
          <w:kern w:val="0"/>
          <w:sz w:val="28"/>
          <w:szCs w:val="28"/>
        </w:rPr>
        <w:t>局（办）</w:t>
      </w:r>
      <w:r>
        <w:rPr>
          <w:rFonts w:ascii="宋体" w:hAnsi="宋体"/>
          <w:kern w:val="0"/>
          <w:sz w:val="28"/>
          <w:szCs w:val="28"/>
        </w:rPr>
        <w:t>是负责全</w:t>
      </w:r>
      <w:r>
        <w:rPr>
          <w:rFonts w:hint="eastAsia" w:ascii="宋体" w:hAnsi="宋体"/>
          <w:kern w:val="0"/>
          <w:sz w:val="28"/>
          <w:szCs w:val="28"/>
        </w:rPr>
        <w:t>县</w:t>
      </w:r>
      <w:r>
        <w:rPr>
          <w:rFonts w:ascii="宋体" w:hAnsi="宋体"/>
          <w:kern w:val="0"/>
          <w:sz w:val="28"/>
          <w:szCs w:val="28"/>
        </w:rPr>
        <w:t>住房城乡建设</w:t>
      </w:r>
      <w:r>
        <w:rPr>
          <w:rFonts w:hint="eastAsia" w:ascii="宋体" w:hAnsi="宋体"/>
          <w:kern w:val="0"/>
          <w:sz w:val="28"/>
          <w:szCs w:val="28"/>
        </w:rPr>
        <w:t>和人民防空</w:t>
      </w:r>
      <w:r>
        <w:rPr>
          <w:rFonts w:ascii="宋体" w:hAnsi="宋体"/>
          <w:kern w:val="0"/>
          <w:sz w:val="28"/>
          <w:szCs w:val="28"/>
        </w:rPr>
        <w:t>行政管理的政府组成部门。据中共</w:t>
      </w:r>
      <w:r>
        <w:rPr>
          <w:rFonts w:hint="eastAsia" w:ascii="宋体" w:hAnsi="宋体"/>
          <w:kern w:val="0"/>
          <w:sz w:val="28"/>
          <w:szCs w:val="28"/>
        </w:rPr>
        <w:t>衡</w:t>
      </w:r>
      <w:r>
        <w:rPr>
          <w:rFonts w:ascii="宋体" w:hAnsi="宋体"/>
          <w:kern w:val="0"/>
          <w:sz w:val="28"/>
          <w:szCs w:val="28"/>
        </w:rPr>
        <w:t>南</w:t>
      </w:r>
      <w:r>
        <w:rPr>
          <w:rFonts w:hint="eastAsia" w:ascii="宋体" w:hAnsi="宋体"/>
          <w:kern w:val="0"/>
          <w:sz w:val="28"/>
          <w:szCs w:val="28"/>
        </w:rPr>
        <w:t>县</w:t>
      </w:r>
      <w:r>
        <w:rPr>
          <w:rFonts w:ascii="宋体" w:hAnsi="宋体"/>
          <w:kern w:val="0"/>
          <w:sz w:val="28"/>
          <w:szCs w:val="28"/>
        </w:rPr>
        <w:t>委</w:t>
      </w:r>
      <w:r>
        <w:rPr>
          <w:rFonts w:hint="eastAsia" w:ascii="宋体" w:hAnsi="宋体"/>
          <w:kern w:val="0"/>
          <w:sz w:val="28"/>
          <w:szCs w:val="28"/>
        </w:rPr>
        <w:t>办公室衡南县人民政府办公室</w:t>
      </w:r>
      <w:r>
        <w:rPr>
          <w:rFonts w:ascii="宋体" w:hAnsi="宋体"/>
          <w:kern w:val="0"/>
          <w:sz w:val="28"/>
          <w:szCs w:val="28"/>
        </w:rPr>
        <w:t>关于</w:t>
      </w:r>
      <w:r>
        <w:rPr>
          <w:rFonts w:hint="eastAsia" w:ascii="宋体" w:hAnsi="宋体"/>
          <w:kern w:val="0"/>
          <w:sz w:val="28"/>
          <w:szCs w:val="28"/>
        </w:rPr>
        <w:t>印发《衡南县</w:t>
      </w:r>
      <w:r>
        <w:rPr>
          <w:rFonts w:ascii="宋体" w:hAnsi="宋体"/>
          <w:kern w:val="0"/>
          <w:sz w:val="28"/>
          <w:szCs w:val="28"/>
        </w:rPr>
        <w:t>住房和城乡建设</w:t>
      </w:r>
      <w:r>
        <w:rPr>
          <w:rFonts w:hint="eastAsia" w:ascii="宋体" w:hAnsi="宋体"/>
          <w:kern w:val="0"/>
          <w:sz w:val="28"/>
          <w:szCs w:val="28"/>
        </w:rPr>
        <w:t>局（人民防空办公室）</w:t>
      </w:r>
      <w:r>
        <w:rPr>
          <w:rFonts w:ascii="宋体" w:hAnsi="宋体"/>
          <w:kern w:val="0"/>
          <w:sz w:val="28"/>
          <w:szCs w:val="28"/>
        </w:rPr>
        <w:t>职责</w:t>
      </w:r>
      <w:r>
        <w:rPr>
          <w:rFonts w:hint="eastAsia" w:ascii="宋体" w:hAnsi="宋体"/>
          <w:kern w:val="0"/>
          <w:sz w:val="28"/>
          <w:szCs w:val="28"/>
        </w:rPr>
        <w:t>配置、内设</w:t>
      </w:r>
      <w:r>
        <w:rPr>
          <w:rFonts w:ascii="宋体" w:hAnsi="宋体"/>
          <w:kern w:val="0"/>
          <w:sz w:val="28"/>
          <w:szCs w:val="28"/>
        </w:rPr>
        <w:t>机构</w:t>
      </w:r>
      <w:r>
        <w:rPr>
          <w:rFonts w:hint="eastAsia" w:ascii="宋体" w:hAnsi="宋体"/>
          <w:kern w:val="0"/>
          <w:sz w:val="28"/>
          <w:szCs w:val="28"/>
        </w:rPr>
        <w:t>和人员</w:t>
      </w:r>
      <w:r>
        <w:rPr>
          <w:rFonts w:ascii="宋体" w:hAnsi="宋体"/>
          <w:kern w:val="0"/>
          <w:sz w:val="28"/>
          <w:szCs w:val="28"/>
        </w:rPr>
        <w:t>编制</w:t>
      </w:r>
      <w:r>
        <w:rPr>
          <w:rFonts w:hint="eastAsia" w:ascii="宋体" w:hAnsi="宋体"/>
          <w:kern w:val="0"/>
          <w:sz w:val="28"/>
          <w:szCs w:val="28"/>
        </w:rPr>
        <w:t>规定》</w:t>
      </w:r>
      <w:r>
        <w:rPr>
          <w:rFonts w:ascii="宋体" w:hAnsi="宋体"/>
          <w:kern w:val="0"/>
          <w:sz w:val="28"/>
          <w:szCs w:val="28"/>
        </w:rPr>
        <w:t>的通知（</w:t>
      </w:r>
      <w:r>
        <w:rPr>
          <w:rFonts w:hint="eastAsia" w:ascii="宋体" w:hAnsi="宋体"/>
          <w:kern w:val="0"/>
          <w:sz w:val="28"/>
          <w:szCs w:val="28"/>
        </w:rPr>
        <w:t>清办</w:t>
      </w:r>
      <w:r>
        <w:rPr>
          <w:rFonts w:ascii="宋体" w:hAnsi="宋体"/>
          <w:kern w:val="0"/>
          <w:sz w:val="28"/>
          <w:szCs w:val="28"/>
        </w:rPr>
        <w:t>〔2019〕</w:t>
      </w:r>
      <w:r>
        <w:rPr>
          <w:rFonts w:hint="eastAsia" w:ascii="宋体" w:hAnsi="宋体"/>
          <w:kern w:val="0"/>
          <w:sz w:val="28"/>
          <w:szCs w:val="28"/>
        </w:rPr>
        <w:t>17</w:t>
      </w:r>
      <w:r>
        <w:rPr>
          <w:rFonts w:ascii="宋体" w:hAnsi="宋体"/>
          <w:kern w:val="0"/>
          <w:sz w:val="28"/>
          <w:szCs w:val="28"/>
        </w:rPr>
        <w:t xml:space="preserve"> 号）精神，内设</w:t>
      </w:r>
      <w:r>
        <w:rPr>
          <w:rFonts w:hint="eastAsia" w:ascii="宋体" w:hAnsi="宋体"/>
          <w:kern w:val="0"/>
          <w:sz w:val="28"/>
          <w:szCs w:val="28"/>
        </w:rPr>
        <w:t>股</w:t>
      </w:r>
      <w:r>
        <w:rPr>
          <w:rFonts w:ascii="宋体" w:hAnsi="宋体"/>
          <w:kern w:val="0"/>
          <w:sz w:val="28"/>
          <w:szCs w:val="28"/>
        </w:rPr>
        <w:t>室为 1</w:t>
      </w:r>
      <w:r>
        <w:rPr>
          <w:rFonts w:hint="eastAsia" w:ascii="宋体" w:hAnsi="宋体"/>
          <w:kern w:val="0"/>
          <w:sz w:val="28"/>
          <w:szCs w:val="28"/>
        </w:rPr>
        <w:t>5</w:t>
      </w:r>
      <w:r>
        <w:rPr>
          <w:rFonts w:ascii="宋体" w:hAnsi="宋体"/>
          <w:kern w:val="0"/>
          <w:sz w:val="28"/>
          <w:szCs w:val="28"/>
        </w:rPr>
        <w:t>个：</w:t>
      </w:r>
      <w:r>
        <w:rPr>
          <w:rFonts w:hint="eastAsia" w:ascii="宋体" w:hAnsi="宋体"/>
          <w:kern w:val="0"/>
          <w:sz w:val="28"/>
          <w:szCs w:val="28"/>
        </w:rPr>
        <w:t>办公室、组织人事股、财务审计股、政策法规股、行政审批服务股、安全和消防管理股、物业管理股、住房保障和房产开发管理股、村镇建设股、建设市场股、工程管理股、城市建设和公用事业股、人防指挥通信股、勘察设计股、建筑节能与科技股</w:t>
      </w:r>
      <w:r>
        <w:rPr>
          <w:rFonts w:asciiTheme="minorEastAsia" w:hAnsiTheme="minorEastAsia"/>
          <w:sz w:val="28"/>
          <w:szCs w:val="28"/>
        </w:rPr>
        <w:t>。</w:t>
      </w:r>
      <w:r>
        <w:rPr>
          <w:rFonts w:hint="eastAsia" w:asciiTheme="minorEastAsia" w:hAnsiTheme="minorEastAsia"/>
          <w:sz w:val="28"/>
          <w:szCs w:val="28"/>
        </w:rPr>
        <w:t>下</w:t>
      </w:r>
      <w:r>
        <w:rPr>
          <w:rFonts w:asciiTheme="minorEastAsia" w:hAnsiTheme="minorEastAsia"/>
          <w:sz w:val="28"/>
          <w:szCs w:val="28"/>
        </w:rPr>
        <w:t>设</w:t>
      </w:r>
      <w:r>
        <w:rPr>
          <w:rFonts w:hint="eastAsia" w:ascii="宋体" w:hAnsi="宋体" w:eastAsia="宋体" w:cs="仿宋_GB2312"/>
          <w:color w:val="000000"/>
          <w:kern w:val="0"/>
          <w:sz w:val="28"/>
          <w:szCs w:val="28"/>
        </w:rPr>
        <w:t>衡南县建设工程质量安全监督站、衡南县住房保障服务中心、衡南县市政公用事业服务中心、衡南县污水处理中心、衡南县白蚁防治所、衡南县住房和城乡建设信息中心、衡南县绿色建筑事务中心、衡南县物业专项维修资金管理中心、衡南县人防执法大队、衡南县自来水有限公司等10个二级机构及26个乡镇建管站</w:t>
      </w:r>
      <w:r>
        <w:rPr>
          <w:rFonts w:hint="eastAsia" w:ascii="宋体" w:hAnsi="宋体"/>
          <w:kern w:val="0"/>
          <w:sz w:val="28"/>
          <w:szCs w:val="28"/>
        </w:rPr>
        <w:t>。</w:t>
      </w:r>
    </w:p>
    <w:p>
      <w:pPr>
        <w:widowControl/>
        <w:spacing w:line="600" w:lineRule="exact"/>
        <w:ind w:firstLine="480" w:firstLineChars="150"/>
        <w:rPr>
          <w:rFonts w:asciiTheme="minorEastAsia" w:hAnsiTheme="minorEastAsia"/>
          <w:bCs/>
          <w:kern w:val="0"/>
          <w:sz w:val="32"/>
          <w:szCs w:val="32"/>
        </w:rPr>
      </w:pPr>
      <w:r>
        <w:rPr>
          <w:rFonts w:hint="eastAsia" w:asciiTheme="minorEastAsia" w:hAnsiTheme="minorEastAsia"/>
          <w:bCs/>
          <w:kern w:val="0"/>
          <w:sz w:val="32"/>
          <w:szCs w:val="32"/>
        </w:rPr>
        <w:t>（二）决算单位构成</w:t>
      </w:r>
    </w:p>
    <w:p>
      <w:pPr>
        <w:widowControl/>
        <w:spacing w:line="600" w:lineRule="exact"/>
        <w:ind w:firstLine="640" w:firstLineChars="200"/>
        <w:rPr>
          <w:rFonts w:asciiTheme="minorEastAsia" w:hAnsiTheme="minorEastAsia"/>
          <w:sz w:val="28"/>
          <w:szCs w:val="28"/>
        </w:rPr>
      </w:pPr>
      <w:r>
        <w:rPr>
          <w:rFonts w:asciiTheme="minorEastAsia" w:hAnsiTheme="minorEastAsia"/>
          <w:bCs/>
          <w:kern w:val="0"/>
          <w:sz w:val="32"/>
          <w:szCs w:val="32"/>
        </w:rPr>
        <w:t>20</w:t>
      </w:r>
      <w:r>
        <w:rPr>
          <w:rFonts w:hint="eastAsia" w:asciiTheme="minorEastAsia" w:hAnsiTheme="minorEastAsia"/>
          <w:bCs/>
          <w:kern w:val="0"/>
          <w:sz w:val="32"/>
          <w:szCs w:val="32"/>
        </w:rPr>
        <w:t>20年部门决算汇总公开单位构成包括：</w:t>
      </w:r>
    </w:p>
    <w:p>
      <w:pPr>
        <w:ind w:firstLine="700" w:firstLineChars="250"/>
        <w:rPr>
          <w:rFonts w:asciiTheme="minorEastAsia" w:hAnsiTheme="minorEastAsia"/>
          <w:sz w:val="28"/>
          <w:szCs w:val="28"/>
        </w:rPr>
      </w:pPr>
      <w:r>
        <w:rPr>
          <w:rFonts w:asciiTheme="minorEastAsia" w:hAnsiTheme="minorEastAsia"/>
          <w:sz w:val="28"/>
          <w:szCs w:val="28"/>
        </w:rPr>
        <w:t>1、</w:t>
      </w:r>
      <w:r>
        <w:rPr>
          <w:rFonts w:hint="eastAsia" w:ascii="宋体" w:hAnsi="宋体"/>
          <w:kern w:val="0"/>
          <w:sz w:val="28"/>
          <w:szCs w:val="28"/>
        </w:rPr>
        <w:t>衡南县</w:t>
      </w:r>
      <w:r>
        <w:rPr>
          <w:rFonts w:ascii="宋体" w:hAnsi="宋体"/>
          <w:kern w:val="0"/>
          <w:sz w:val="28"/>
          <w:szCs w:val="28"/>
        </w:rPr>
        <w:t>住房和城乡建设</w:t>
      </w:r>
      <w:r>
        <w:rPr>
          <w:rFonts w:hint="eastAsia" w:ascii="宋体" w:hAnsi="宋体"/>
          <w:kern w:val="0"/>
          <w:sz w:val="28"/>
          <w:szCs w:val="28"/>
        </w:rPr>
        <w:t>局（</w:t>
      </w:r>
      <w:r>
        <w:rPr>
          <w:rFonts w:hint="eastAsia" w:asciiTheme="minorEastAsia" w:hAnsiTheme="minorEastAsia"/>
          <w:sz w:val="28"/>
          <w:szCs w:val="28"/>
        </w:rPr>
        <w:t>衡南县人民防空办公室）</w:t>
      </w:r>
      <w:r>
        <w:rPr>
          <w:rFonts w:asciiTheme="minorEastAsia" w:hAnsiTheme="minorEastAsia"/>
          <w:sz w:val="28"/>
          <w:szCs w:val="28"/>
        </w:rPr>
        <w:t xml:space="preserve">本级 </w:t>
      </w:r>
    </w:p>
    <w:p>
      <w:pPr>
        <w:ind w:firstLine="700" w:firstLineChars="250"/>
        <w:rPr>
          <w:rFonts w:asciiTheme="minorEastAsia" w:hAnsiTheme="minorEastAsia"/>
          <w:sz w:val="28"/>
          <w:szCs w:val="28"/>
        </w:rPr>
      </w:pPr>
      <w:r>
        <w:rPr>
          <w:rFonts w:hint="eastAsia" w:asciiTheme="minorEastAsia" w:hAnsiTheme="minorEastAsia"/>
          <w:sz w:val="28"/>
          <w:szCs w:val="28"/>
        </w:rPr>
        <w:t>2、</w:t>
      </w:r>
      <w:r>
        <w:rPr>
          <w:rFonts w:hint="eastAsia" w:ascii="宋体" w:hAnsi="宋体" w:eastAsia="宋体" w:cs="仿宋_GB2312"/>
          <w:color w:val="000000"/>
          <w:kern w:val="0"/>
          <w:sz w:val="28"/>
          <w:szCs w:val="28"/>
        </w:rPr>
        <w:t>衡南县建设工程质量安全监督站</w:t>
      </w:r>
    </w:p>
    <w:p>
      <w:pPr>
        <w:ind w:firstLine="700" w:firstLineChars="250"/>
        <w:rPr>
          <w:rFonts w:asciiTheme="minorEastAsia" w:hAnsiTheme="minorEastAsia"/>
          <w:sz w:val="28"/>
          <w:szCs w:val="28"/>
        </w:rPr>
      </w:pPr>
      <w:r>
        <w:rPr>
          <w:rFonts w:hint="eastAsia" w:asciiTheme="minorEastAsia" w:hAnsiTheme="minorEastAsia"/>
          <w:sz w:val="28"/>
          <w:szCs w:val="28"/>
        </w:rPr>
        <w:t>3</w:t>
      </w:r>
      <w:r>
        <w:rPr>
          <w:rFonts w:asciiTheme="minorEastAsia" w:hAnsiTheme="minorEastAsia"/>
          <w:sz w:val="28"/>
          <w:szCs w:val="28"/>
        </w:rPr>
        <w:t>、</w:t>
      </w:r>
      <w:r>
        <w:rPr>
          <w:rFonts w:hint="eastAsia" w:ascii="宋体" w:hAnsi="宋体" w:eastAsia="宋体" w:cs="仿宋_GB2312"/>
          <w:color w:val="000000"/>
          <w:kern w:val="0"/>
          <w:sz w:val="28"/>
          <w:szCs w:val="28"/>
        </w:rPr>
        <w:t>衡南县住房保障服务中心</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4</w:t>
      </w:r>
      <w:r>
        <w:rPr>
          <w:rFonts w:asciiTheme="minorEastAsia" w:hAnsiTheme="minorEastAsia"/>
          <w:sz w:val="28"/>
          <w:szCs w:val="28"/>
        </w:rPr>
        <w:t>、</w:t>
      </w:r>
      <w:r>
        <w:rPr>
          <w:rFonts w:hint="eastAsia" w:ascii="宋体" w:hAnsi="宋体" w:eastAsia="宋体" w:cs="仿宋_GB2312"/>
          <w:color w:val="000000"/>
          <w:kern w:val="0"/>
          <w:sz w:val="28"/>
          <w:szCs w:val="28"/>
        </w:rPr>
        <w:t>衡南县市政公用事业服务中心</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5</w:t>
      </w:r>
      <w:r>
        <w:rPr>
          <w:rFonts w:asciiTheme="minorEastAsia" w:hAnsiTheme="minorEastAsia"/>
          <w:sz w:val="28"/>
          <w:szCs w:val="28"/>
        </w:rPr>
        <w:t>、</w:t>
      </w:r>
      <w:r>
        <w:rPr>
          <w:rFonts w:hint="eastAsia" w:ascii="宋体" w:hAnsi="宋体" w:eastAsia="宋体" w:cs="仿宋_GB2312"/>
          <w:color w:val="000000"/>
          <w:kern w:val="0"/>
          <w:sz w:val="28"/>
          <w:szCs w:val="28"/>
        </w:rPr>
        <w:t>衡南县污水处理中心</w:t>
      </w:r>
    </w:p>
    <w:p>
      <w:pPr>
        <w:ind w:firstLine="700" w:firstLineChars="250"/>
        <w:rPr>
          <w:rFonts w:asciiTheme="minorEastAsia" w:hAnsiTheme="minorEastAsia"/>
          <w:sz w:val="28"/>
          <w:szCs w:val="28"/>
        </w:rPr>
      </w:pPr>
      <w:r>
        <w:rPr>
          <w:rFonts w:hint="eastAsia" w:asciiTheme="minorEastAsia" w:hAnsiTheme="minorEastAsia"/>
          <w:sz w:val="28"/>
          <w:szCs w:val="28"/>
        </w:rPr>
        <w:t>6、</w:t>
      </w:r>
      <w:r>
        <w:rPr>
          <w:rFonts w:hint="eastAsia" w:ascii="宋体" w:hAnsi="宋体" w:eastAsia="宋体" w:cs="仿宋_GB2312"/>
          <w:color w:val="000000"/>
          <w:kern w:val="0"/>
          <w:sz w:val="28"/>
          <w:szCs w:val="28"/>
        </w:rPr>
        <w:t>衡南县白蚁防治所</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7、</w:t>
      </w:r>
      <w:r>
        <w:rPr>
          <w:rFonts w:hint="eastAsia" w:ascii="宋体" w:hAnsi="宋体" w:eastAsia="宋体" w:cs="仿宋_GB2312"/>
          <w:color w:val="000000"/>
          <w:kern w:val="0"/>
          <w:sz w:val="28"/>
          <w:szCs w:val="28"/>
        </w:rPr>
        <w:t>衡南县住房和城乡建设信息中心</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8、</w:t>
      </w:r>
      <w:r>
        <w:rPr>
          <w:rFonts w:hint="eastAsia" w:ascii="宋体" w:hAnsi="宋体" w:eastAsia="宋体" w:cs="仿宋_GB2312"/>
          <w:color w:val="000000"/>
          <w:kern w:val="0"/>
          <w:sz w:val="28"/>
          <w:szCs w:val="28"/>
        </w:rPr>
        <w:t>衡南县绿色建筑事务中心</w:t>
      </w:r>
    </w:p>
    <w:p>
      <w:pPr>
        <w:ind w:firstLine="700" w:firstLineChars="250"/>
        <w:rPr>
          <w:rFonts w:asciiTheme="minorEastAsia" w:hAnsiTheme="minorEastAsia"/>
          <w:sz w:val="28"/>
          <w:szCs w:val="28"/>
        </w:rPr>
      </w:pPr>
      <w:r>
        <w:rPr>
          <w:rFonts w:hint="eastAsia" w:asciiTheme="minorEastAsia" w:hAnsiTheme="minorEastAsia"/>
          <w:sz w:val="28"/>
          <w:szCs w:val="28"/>
        </w:rPr>
        <w:t>9、</w:t>
      </w:r>
      <w:r>
        <w:rPr>
          <w:rFonts w:hint="eastAsia" w:ascii="宋体" w:hAnsi="宋体" w:eastAsia="宋体" w:cs="仿宋_GB2312"/>
          <w:color w:val="000000"/>
          <w:kern w:val="0"/>
          <w:sz w:val="28"/>
          <w:szCs w:val="28"/>
        </w:rPr>
        <w:t>衡南县物业专项维修资金管理中心</w:t>
      </w:r>
    </w:p>
    <w:p>
      <w:pPr>
        <w:ind w:firstLine="700" w:firstLineChars="250"/>
        <w:rPr>
          <w:rFonts w:asciiTheme="minorEastAsia" w:hAnsiTheme="minorEastAsia"/>
          <w:sz w:val="28"/>
          <w:szCs w:val="28"/>
        </w:rPr>
      </w:pPr>
      <w:r>
        <w:rPr>
          <w:rFonts w:hint="eastAsia" w:asciiTheme="minorEastAsia" w:hAnsiTheme="minorEastAsia"/>
          <w:sz w:val="28"/>
          <w:szCs w:val="28"/>
        </w:rPr>
        <w:t>10、</w:t>
      </w:r>
      <w:r>
        <w:rPr>
          <w:rFonts w:hint="eastAsia" w:ascii="宋体" w:hAnsi="宋体" w:eastAsia="宋体" w:cs="仿宋_GB2312"/>
          <w:color w:val="000000"/>
          <w:kern w:val="0"/>
          <w:sz w:val="28"/>
          <w:szCs w:val="28"/>
        </w:rPr>
        <w:t>衡南县人防执法大队</w:t>
      </w:r>
    </w:p>
    <w:p>
      <w:pPr>
        <w:ind w:firstLine="700" w:firstLineChars="250"/>
        <w:rPr>
          <w:rFonts w:asciiTheme="minorEastAsia" w:hAnsiTheme="minorEastAsia"/>
          <w:sz w:val="28"/>
          <w:szCs w:val="28"/>
        </w:rPr>
      </w:pPr>
      <w:r>
        <w:rPr>
          <w:rFonts w:hint="eastAsia" w:asciiTheme="minorEastAsia" w:hAnsiTheme="minorEastAsia"/>
          <w:sz w:val="28"/>
          <w:szCs w:val="28"/>
        </w:rPr>
        <w:t>11、乡镇建管站</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第二部分</w:t>
      </w:r>
    </w:p>
    <w:p>
      <w:pPr>
        <w:pStyle w:val="10"/>
        <w:jc w:val="center"/>
        <w:rPr>
          <w:sz w:val="72"/>
          <w:szCs w:val="72"/>
        </w:rPr>
      </w:pPr>
    </w:p>
    <w:p>
      <w:pPr>
        <w:pStyle w:val="10"/>
        <w:jc w:val="center"/>
        <w:rPr>
          <w:sz w:val="72"/>
          <w:szCs w:val="72"/>
        </w:rPr>
      </w:pPr>
      <w:r>
        <w:rPr>
          <w:rFonts w:hint="eastAsia"/>
          <w:sz w:val="72"/>
          <w:szCs w:val="72"/>
        </w:rPr>
        <w:t>部门决算表</w:t>
      </w:r>
    </w:p>
    <w:p>
      <w:pPr>
        <w:pStyle w:val="10"/>
        <w:jc w:val="center"/>
        <w:rPr>
          <w:sz w:val="72"/>
          <w:szCs w:val="72"/>
        </w:rPr>
      </w:pPr>
    </w:p>
    <w:p>
      <w:pPr>
        <w:pStyle w:val="10"/>
        <w:jc w:val="center"/>
        <w:rPr>
          <w:sz w:val="72"/>
          <w:szCs w:val="72"/>
        </w:rPr>
      </w:pPr>
      <w:r>
        <w:rPr>
          <w:rFonts w:hint="eastAsia"/>
          <w:sz w:val="72"/>
          <w:szCs w:val="72"/>
        </w:rPr>
        <w:t>(部门决算公示表附后)</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numPr>
          <w:ilvl w:val="0"/>
          <w:numId w:val="2"/>
        </w:numPr>
        <w:rPr>
          <w:rFonts w:hAnsi="黑体"/>
          <w:b/>
          <w:sz w:val="32"/>
          <w:szCs w:val="32"/>
        </w:rPr>
      </w:pPr>
      <w:r>
        <w:rPr>
          <w:rFonts w:hint="eastAsia" w:hAnsi="黑体"/>
          <w:b/>
          <w:sz w:val="32"/>
          <w:szCs w:val="32"/>
        </w:rPr>
        <w:t>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2020年度收、支总计23817.69万元，与上年相比，增加4152.94万元，增加21.12%，主要是因为上级下达一些项目资金增加。</w:t>
      </w:r>
    </w:p>
    <w:p>
      <w:pPr>
        <w:pStyle w:val="10"/>
        <w:ind w:firstLine="470" w:firstLineChars="147"/>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本年收入合计23813.98万元</w:t>
      </w:r>
      <w:r>
        <w:rPr>
          <w:rFonts w:hint="eastAsia" w:ascii="宋体" w:hAnsi="宋体" w:eastAsia="宋体" w:cs="宋体"/>
          <w:sz w:val="28"/>
          <w:szCs w:val="28"/>
        </w:rPr>
        <w:t>（不含年初结转结余3.72万元）</w:t>
      </w:r>
      <w:r>
        <w:rPr>
          <w:rFonts w:hint="eastAsia" w:asciiTheme="minorEastAsia" w:hAnsiTheme="minorEastAsia" w:eastAsiaTheme="minorEastAsia"/>
          <w:sz w:val="32"/>
          <w:szCs w:val="32"/>
        </w:rPr>
        <w:t>，其中：财政拨款收入19103.91万元，占80.22%；政府性基金预算财政拨款661.04万元，占2.78%，其他收入4049.03万元，占17%。</w:t>
      </w:r>
    </w:p>
    <w:p>
      <w:pPr>
        <w:pStyle w:val="10"/>
        <w:ind w:firstLine="627" w:firstLineChars="196"/>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asciiTheme="minorEastAsia" w:hAnsiTheme="minorEastAsia" w:eastAsiaTheme="minorEastAsia"/>
          <w:sz w:val="32"/>
          <w:szCs w:val="32"/>
        </w:rPr>
        <w:t>23814.</w:t>
      </w:r>
      <w:r>
        <w:rPr>
          <w:rFonts w:hint="eastAsia" w:asciiTheme="minorEastAsia" w:hAnsiTheme="minorEastAsia" w:eastAsiaTheme="minorEastAsia"/>
          <w:sz w:val="32"/>
          <w:szCs w:val="32"/>
        </w:rPr>
        <w:t>24万元，其中：基本支出4641.78万元，占19.49%；项目支出19172.46万元，占80.51%。</w:t>
      </w:r>
    </w:p>
    <w:p>
      <w:pPr>
        <w:pStyle w:val="10"/>
        <w:ind w:firstLine="627" w:firstLineChars="196"/>
        <w:rPr>
          <w:rFonts w:hAnsi="黑体"/>
          <w:b/>
          <w:sz w:val="32"/>
          <w:szCs w:val="32"/>
        </w:rPr>
      </w:pPr>
      <w:r>
        <w:rPr>
          <w:rFonts w:hint="eastAsia" w:hAnsi="黑体"/>
          <w:b/>
          <w:sz w:val="32"/>
          <w:szCs w:val="32"/>
        </w:rPr>
        <w:t>四、财政拨款收入支出决算总体情况说明</w:t>
      </w:r>
    </w:p>
    <w:p>
      <w:pPr>
        <w:ind w:firstLine="640" w:firstLineChars="200"/>
        <w:rPr>
          <w:rFonts w:ascii="宋体" w:hAnsi="宋体" w:eastAsia="宋体" w:cs="宋体"/>
          <w:sz w:val="28"/>
          <w:szCs w:val="28"/>
        </w:rPr>
      </w:pPr>
      <w:r>
        <w:rPr>
          <w:rFonts w:hint="eastAsia" w:cs="黑体" w:asciiTheme="minorEastAsia" w:hAnsiTheme="minorEastAsia"/>
          <w:color w:val="000000"/>
          <w:kern w:val="0"/>
          <w:sz w:val="32"/>
          <w:szCs w:val="32"/>
        </w:rPr>
        <w:t>2020年度财政拨款收、支总计19768.67万元，与上年相比，增加103.92万元,增长0.53%，</w:t>
      </w:r>
      <w:r>
        <w:rPr>
          <w:rFonts w:hint="eastAsia" w:cs="Times New Roman" w:asciiTheme="minorEastAsia" w:hAnsiTheme="minorEastAsia"/>
          <w:kern w:val="0"/>
          <w:sz w:val="28"/>
          <w:szCs w:val="28"/>
        </w:rPr>
        <w:t>主要原因是：上级下达一些项目资金增加。其中：一般公共预算财政拨款收入完成</w:t>
      </w:r>
      <w:r>
        <w:rPr>
          <w:rFonts w:cs="Times New Roman" w:asciiTheme="minorEastAsia" w:hAnsiTheme="minorEastAsia"/>
          <w:kern w:val="0"/>
          <w:sz w:val="28"/>
          <w:szCs w:val="28"/>
        </w:rPr>
        <w:t>19,10</w:t>
      </w:r>
      <w:r>
        <w:rPr>
          <w:rFonts w:hint="eastAsia" w:cs="Times New Roman" w:asciiTheme="minorEastAsia" w:hAnsiTheme="minorEastAsia"/>
          <w:kern w:val="0"/>
          <w:sz w:val="28"/>
          <w:szCs w:val="28"/>
        </w:rPr>
        <w:t>3.91万元，比上年</w:t>
      </w:r>
      <w:r>
        <w:rPr>
          <w:rFonts w:cs="Times New Roman" w:asciiTheme="minorEastAsia" w:hAnsiTheme="minorEastAsia"/>
          <w:kern w:val="0"/>
          <w:sz w:val="28"/>
          <w:szCs w:val="28"/>
        </w:rPr>
        <w:t>减少39</w:t>
      </w:r>
      <w:r>
        <w:rPr>
          <w:rFonts w:hint="eastAsia" w:cs="Times New Roman" w:asciiTheme="minorEastAsia" w:hAnsiTheme="minorEastAsia"/>
          <w:kern w:val="0"/>
          <w:sz w:val="28"/>
          <w:szCs w:val="28"/>
        </w:rPr>
        <w:t>8.71万元，下降2.04</w:t>
      </w:r>
      <w:r>
        <w:rPr>
          <w:rFonts w:cs="Times New Roman" w:asciiTheme="minorEastAsia" w:hAnsiTheme="minorEastAsia"/>
          <w:kern w:val="0"/>
          <w:sz w:val="28"/>
          <w:szCs w:val="28"/>
        </w:rPr>
        <w:t>%</w:t>
      </w:r>
      <w:r>
        <w:rPr>
          <w:rFonts w:hint="eastAsia" w:cs="Times New Roman" w:asciiTheme="minorEastAsia" w:hAnsiTheme="minorEastAsia"/>
          <w:kern w:val="0"/>
          <w:sz w:val="28"/>
          <w:szCs w:val="28"/>
        </w:rPr>
        <w:t>，变化的主要原因是财政预算拨款项目资金减少；政府性基金财政拨款收入完成</w:t>
      </w:r>
      <w:r>
        <w:rPr>
          <w:rFonts w:cs="Times New Roman" w:asciiTheme="minorEastAsia" w:hAnsiTheme="minorEastAsia"/>
          <w:kern w:val="0"/>
          <w:sz w:val="28"/>
          <w:szCs w:val="28"/>
        </w:rPr>
        <w:t>661</w:t>
      </w:r>
      <w:r>
        <w:rPr>
          <w:rFonts w:hint="eastAsia" w:cs="Times New Roman" w:asciiTheme="minorEastAsia" w:hAnsiTheme="minorEastAsia"/>
          <w:kern w:val="0"/>
          <w:sz w:val="28"/>
          <w:szCs w:val="28"/>
        </w:rPr>
        <w:t>.04万元，比上年增加</w:t>
      </w:r>
      <w:r>
        <w:rPr>
          <w:rFonts w:cs="Times New Roman" w:asciiTheme="minorEastAsia" w:hAnsiTheme="minorEastAsia"/>
          <w:kern w:val="0"/>
          <w:sz w:val="28"/>
          <w:szCs w:val="28"/>
        </w:rPr>
        <w:t>499</w:t>
      </w:r>
      <w:r>
        <w:rPr>
          <w:rFonts w:hint="eastAsia" w:cs="Times New Roman" w:asciiTheme="minorEastAsia" w:hAnsiTheme="minorEastAsia"/>
          <w:kern w:val="0"/>
          <w:sz w:val="28"/>
          <w:szCs w:val="28"/>
        </w:rPr>
        <w:t>.35万元，增长</w:t>
      </w:r>
      <w:r>
        <w:rPr>
          <w:rFonts w:cs="Times New Roman" w:asciiTheme="minorEastAsia" w:hAnsiTheme="minorEastAsia"/>
          <w:kern w:val="0"/>
          <w:sz w:val="28"/>
          <w:szCs w:val="28"/>
        </w:rPr>
        <w:t>30</w:t>
      </w:r>
      <w:r>
        <w:rPr>
          <w:rFonts w:hint="eastAsia" w:cs="Times New Roman" w:asciiTheme="minorEastAsia" w:hAnsiTheme="minorEastAsia"/>
          <w:kern w:val="0"/>
          <w:sz w:val="28"/>
          <w:szCs w:val="28"/>
        </w:rPr>
        <w:t>8.83</w:t>
      </w:r>
      <w:r>
        <w:rPr>
          <w:rFonts w:cs="Times New Roman" w:asciiTheme="minorEastAsia" w:hAnsiTheme="minorEastAsia"/>
          <w:kern w:val="0"/>
          <w:sz w:val="28"/>
          <w:szCs w:val="28"/>
        </w:rPr>
        <w:t>%</w:t>
      </w:r>
      <w:r>
        <w:rPr>
          <w:rFonts w:hint="eastAsia" w:cs="Times New Roman" w:asciiTheme="minorEastAsia" w:hAnsiTheme="minorEastAsia"/>
          <w:kern w:val="0"/>
          <w:sz w:val="28"/>
          <w:szCs w:val="28"/>
        </w:rPr>
        <w:t>，变化的主要原因是上级部门下达保障性住房资金增加</w:t>
      </w:r>
      <w:r>
        <w:rPr>
          <w:rFonts w:hint="eastAsia" w:ascii="宋体" w:hAnsi="宋体" w:eastAsia="宋体" w:cs="宋体"/>
          <w:sz w:val="28"/>
          <w:szCs w:val="28"/>
        </w:rPr>
        <w:t>。</w:t>
      </w:r>
    </w:p>
    <w:p>
      <w:pPr>
        <w:pStyle w:val="10"/>
        <w:ind w:firstLine="63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2020年度财政拨款支出19107.62万元，占本年支出合计的80.24%，与上年相比，财政拨款支出减少391.72万元，减少2%，主要是财政压缩一般性支出。</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19107.62万元，主要用于以下方面：一般公共服务支出242.81万元，占1.27%；国防支出265.29万元，占1.39%；社会保障和就业支出401.01万元，占2.1%；卫生健康支出147.72万元，占0.77%；城乡社区支出8494.06万元，占44.45%；住房保障支出9556.32万元，占50.01%；其他支出0.43万元，占0.01%。</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2020年度财政拨款支出年初预算数为3983.69万元，支出决算数为19107.62万元，完成年初预算的479.65%，其中：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1、一般公共服务支出。</w:t>
      </w:r>
    </w:p>
    <w:p>
      <w:pPr>
        <w:pStyle w:val="10"/>
        <w:ind w:firstLine="640" w:firstLineChars="200"/>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年初预算为0万元，支出决算为242.81万元，决算数大于年初预算数的主要原因是人员工资及车补等经费追加预算。</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2、国防支出。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年初预算为58万元，支出决算为265.29万元，完成年初预算的457.4%，决算数大于年初预算数的主要原因是业务活动增加。</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3、社会保障和就业支出。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年初预算为501.52万元，支出决算为401.01万元，完成年初预算的79.96%，决算数小于年初预算数的主要原因是部分支出纳入项目支出管理。</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4、卫生健康支出。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年初预算为128.65万元，支出决算为147.72万元，完成年初预算的114.82%，决算数大于年初预算数的主要原因是疫情防控、医保等支出增加。</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5、城乡社区支出。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年初预算为3221.85万元，支出决算为8494.06万元，完成年初预算的263.64%，决算数大于年初预算数的主要原因项目过路经费支出增加。</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6、住房保障支出。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年初预算为73.67万元，支出决算为9556.32万元，完成年初预算的12971.79%，决算数大于年初预算数的主要原因是棚户区改造、公租房等支出增加。</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7、其他支出。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 0万元，支出决算为0.43万元，决算数大于年初预算数的主要原因是其他结算支出增加。</w:t>
      </w:r>
    </w:p>
    <w:p>
      <w:pPr>
        <w:pStyle w:val="10"/>
        <w:ind w:firstLine="627" w:firstLineChars="196"/>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2020年度财政拨款基本支出4641.78万元，其中：人员经费3734.08万元，占基本支出的80.45%,主要包括基本工资、津贴补贴、奖金、绩效工资、伙食补助费</w:t>
      </w:r>
      <w:r>
        <w:rPr>
          <w:rFonts w:asciiTheme="minorEastAsia" w:hAnsiTheme="minorEastAsia" w:eastAsiaTheme="minorEastAsia"/>
          <w:sz w:val="32"/>
          <w:szCs w:val="32"/>
        </w:rPr>
        <w:t>、社会保险费、住房公积金等</w:t>
      </w:r>
      <w:r>
        <w:rPr>
          <w:rFonts w:hint="eastAsia" w:asciiTheme="minorEastAsia" w:hAnsiTheme="minorEastAsia" w:eastAsiaTheme="minorEastAsia"/>
          <w:sz w:val="32"/>
          <w:szCs w:val="32"/>
        </w:rPr>
        <w:t>；公用经费907.7万元，占基本支出的19.55%，主要包括办公费、印刷费、咨询费、手续费、水电费、邮电费、物业管理费、差旅费、维修（护）费、租赁费、会议费、培训费、公务接待费、劳务费、委托业务费、工会经费、公务用车运行维护费、其他交通费等。</w:t>
      </w:r>
    </w:p>
    <w:p>
      <w:pPr>
        <w:pStyle w:val="10"/>
        <w:ind w:firstLine="627" w:firstLineChars="196"/>
        <w:rPr>
          <w:rFonts w:hAnsi="黑体"/>
          <w:b/>
          <w:sz w:val="32"/>
          <w:szCs w:val="32"/>
        </w:rPr>
      </w:pPr>
      <w:r>
        <w:rPr>
          <w:rFonts w:hint="eastAsia" w:hAnsi="黑体"/>
          <w:b/>
          <w:sz w:val="32"/>
          <w:szCs w:val="32"/>
        </w:rPr>
        <w:t>七、一般公共预算财政拨款三公经费支出决算情况说明</w:t>
      </w:r>
    </w:p>
    <w:p>
      <w:pPr>
        <w:pStyle w:val="10"/>
        <w:ind w:firstLine="470" w:firstLineChars="147"/>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“三公”经费财政拨款支出预算为22.1万元，支出决算为11.88万元，完成预算的53.76%，其中：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公务接待费支出预算为12.1万元，支出决算为2.21万元，完成预算的18.26%，减少的主要原因是坚持厉行节约，反对铺张浪费，公务活动也大大减少，缩减了公务接待开支。</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公务用车购置费及运行维护费支出预算为10万元，支出决算为9.66万元，完成预算的96.6%。无公务用车购置费。决算数小于预算数是因为公务出行次数减少，公务用车运行维护费交闪。</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因公出国（境）费支出决算为0万元。</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2020年度“三公”经费财政拨款支出决算中，公务接待费支出决算2.21万元，占18.6%,因公出国（境）费支出决算0万元，占0%,公务用车购置费及运行维护费支出决算9.66万元，占81.4%。其中：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2、公务接待费支出决算为2.21万元，全年共接待来访团组58个、来宾313人次，主要是上级考查调研、兄弟县市单位交流学习等发生的接待支出。</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3、公务用车购置费及运行维</w:t>
      </w:r>
      <w:r>
        <w:rPr>
          <w:rFonts w:hint="eastAsia" w:asciiTheme="minorEastAsia" w:hAnsiTheme="minorEastAsia"/>
          <w:sz w:val="32"/>
          <w:szCs w:val="32"/>
        </w:rPr>
        <w:t>护费支出决算为9.66万元，其中：公务用车购置费0万元</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公务用车运行维护费9.66万元，主要是</w:t>
      </w:r>
      <w:r>
        <w:rPr>
          <w:rFonts w:asciiTheme="minorEastAsia" w:hAnsiTheme="minorEastAsia"/>
          <w:sz w:val="32"/>
          <w:szCs w:val="32"/>
        </w:rPr>
        <w:t>公务用车维修、油料购置、车辆保险等</w:t>
      </w:r>
      <w:r>
        <w:rPr>
          <w:rFonts w:hint="eastAsia" w:asciiTheme="minorEastAsia" w:hAnsiTheme="minorEastAsia"/>
          <w:sz w:val="32"/>
          <w:szCs w:val="32"/>
        </w:rPr>
        <w:t>支出，截止2020年12月31日，我住建（人防）开支财政拨款的公务用车保有量为3辆。</w:t>
      </w:r>
    </w:p>
    <w:p>
      <w:pPr>
        <w:pStyle w:val="10"/>
        <w:ind w:firstLine="627" w:firstLineChars="196"/>
        <w:rPr>
          <w:rFonts w:hAnsi="黑体"/>
          <w:b/>
          <w:sz w:val="32"/>
          <w:szCs w:val="32"/>
        </w:rPr>
      </w:pPr>
      <w:r>
        <w:rPr>
          <w:rFonts w:hint="eastAsia" w:hAnsi="黑体"/>
          <w:b/>
          <w:sz w:val="32"/>
          <w:szCs w:val="32"/>
        </w:rPr>
        <w:t>八、政府性基金预算收入支出决算情况</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2020年度政府性基金预算财政拨款收入661.04万元；年初结转和结余0万元；支出661.04万元，其中基本支出0万元，项目支出661.04万元。</w:t>
      </w:r>
    </w:p>
    <w:p>
      <w:pPr>
        <w:pStyle w:val="10"/>
        <w:ind w:firstLine="627" w:firstLineChars="196"/>
        <w:rPr>
          <w:rFonts w:hAnsi="黑体"/>
          <w:b/>
          <w:sz w:val="32"/>
          <w:szCs w:val="32"/>
        </w:rPr>
      </w:pPr>
      <w:r>
        <w:rPr>
          <w:rFonts w:hint="eastAsia" w:hAnsi="黑体"/>
          <w:b/>
          <w:sz w:val="32"/>
          <w:szCs w:val="32"/>
        </w:rPr>
        <w:t>九、国有资本经营预算财政拨款支出决算情况</w:t>
      </w:r>
    </w:p>
    <w:p>
      <w:pPr>
        <w:pStyle w:val="10"/>
        <w:ind w:firstLine="627" w:firstLineChars="196"/>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本部门2020年没有国有资本经营预算财政拨款支出。</w:t>
      </w:r>
    </w:p>
    <w:p>
      <w:pPr>
        <w:pStyle w:val="10"/>
        <w:ind w:firstLine="627" w:firstLineChars="196"/>
        <w:rPr>
          <w:rFonts w:asciiTheme="minorEastAsia" w:hAnsiTheme="minorEastAsia" w:eastAsiaTheme="minorEastAsia"/>
          <w:sz w:val="32"/>
          <w:szCs w:val="32"/>
        </w:rPr>
      </w:pPr>
      <w:r>
        <w:rPr>
          <w:rFonts w:hint="eastAsia" w:hAnsi="黑体"/>
          <w:b/>
          <w:sz w:val="32"/>
          <w:szCs w:val="32"/>
        </w:rPr>
        <w:t>十、关于机关运行经费支出情况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本部门2020年度机关运行经费支出907.7万元，比年初预算数增加210.02万元，增加30.1%。主要原因是：系统单位业务活动有所增加，特别是乡镇建管站工作的开展。</w:t>
      </w:r>
    </w:p>
    <w:p>
      <w:pPr>
        <w:ind w:firstLine="640" w:firstLineChars="200"/>
        <w:rPr>
          <w:rFonts w:ascii="黑体" w:hAnsi="黑体" w:eastAsia="黑体" w:cs="黑体"/>
          <w:b/>
          <w:color w:val="000000"/>
          <w:kern w:val="0"/>
          <w:sz w:val="32"/>
          <w:szCs w:val="32"/>
        </w:rPr>
      </w:pPr>
      <w:r>
        <w:rPr>
          <w:rFonts w:hint="eastAsia" w:ascii="黑体" w:hAnsi="黑体" w:eastAsia="黑体" w:cs="黑体"/>
          <w:b/>
          <w:color w:val="000000"/>
          <w:kern w:val="0"/>
          <w:sz w:val="32"/>
          <w:szCs w:val="32"/>
        </w:rPr>
        <w:t>十一、一般性支出情况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2020年本部门开支会议费5.75万元，用于召开15次会议，人数221人，内容为农村危房改造工作会议、老干座谈会、全县在建项目安全形式分析暨安全生产工作会、燃气安全工作会、保障性住房和棚改工作会议开支；培训费14.26万元，用于开展参加建筑节能工程施工质量验收培训、建筑施工质量管理标准化培训、危房改造工作、城建档案从业人员岗位等培训工作。</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十二、政府采购支出情况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本部门2020年度政府采购支出总额131.7万元，其中：政府采购货物支出97.13万元、政府采购工程支出0万元、政府采购服务支出34.57万元。授予中小企业合同金额131.7万元，占政府采购支出总额的100%。</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十三、国有资产占用情况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2020年12月31日，本单位共有车辆3辆，其中，领导干部用车0辆、机要通信用车0辆、应急保障用车1辆、执法执勤用车0辆、特种专业技术用车0辆、其他用车2辆，其他用车主要是局属二级机构工作用车；单位价值50万元以上通用设备0台（套）；单位价值100万元以上专用设备0台（套）。</w:t>
      </w:r>
    </w:p>
    <w:p>
      <w:pPr>
        <w:pStyle w:val="10"/>
        <w:ind w:firstLine="627" w:firstLineChars="196"/>
        <w:rPr>
          <w:rFonts w:hAnsi="黑体"/>
          <w:b/>
          <w:sz w:val="32"/>
          <w:szCs w:val="32"/>
        </w:rPr>
      </w:pPr>
      <w:r>
        <w:rPr>
          <w:rFonts w:hint="eastAsia" w:hAnsi="黑体"/>
          <w:b/>
          <w:sz w:val="32"/>
          <w:szCs w:val="32"/>
        </w:rPr>
        <w:t>十四、关于2020年度预算绩效情况说明</w:t>
      </w:r>
    </w:p>
    <w:p>
      <w:pPr>
        <w:pStyle w:val="10"/>
        <w:ind w:firstLine="627" w:firstLineChars="196"/>
        <w:rPr>
          <w:rFonts w:asciiTheme="minorEastAsia" w:hAnsiTheme="minorEastAsia" w:eastAsiaTheme="minorEastAsia"/>
          <w:color w:val="FF0000"/>
          <w:sz w:val="32"/>
          <w:szCs w:val="32"/>
        </w:rPr>
      </w:pPr>
      <w:r>
        <w:rPr>
          <w:rFonts w:hint="eastAsia" w:asciiTheme="minorEastAsia" w:hAnsiTheme="minorEastAsia" w:eastAsiaTheme="minorEastAsia"/>
          <w:sz w:val="32"/>
          <w:szCs w:val="32"/>
        </w:rPr>
        <w:t>我局将所有预算支出全面纳入绩效管理，坚持花钱必问效，无效必问责；围绕优化城镇发展、农村危房改造、集镇建设、改善农村人居环境、推进“两供两治”设施建设、抓好市政公共行业安全监管、房地产市场、住宅产业化、施工图审核、建筑安全及燃气安全领域监管、县城饮用水源地保护、污水收集、县城客运、棚户区改造、公租房建设和分配等重点工作，制定了预算支出绩效目标；2021年5月，我局按照县财政局要求，已完成2020年度部门整体支出绩效评价，详见第五部分附件。</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rPr>
          <w:color w:val="333333"/>
          <w:sz w:val="28"/>
          <w:szCs w:val="28"/>
        </w:rPr>
      </w:pPr>
      <w:r>
        <w:rPr>
          <w:rFonts w:hint="eastAsia"/>
          <w:color w:val="333333"/>
          <w:sz w:val="28"/>
          <w:szCs w:val="28"/>
        </w:rPr>
        <w:t>一、财政拨款收入：指财政部门核拨给单位的财政预算资金。</w:t>
      </w:r>
    </w:p>
    <w:p>
      <w:pPr>
        <w:widowControl/>
        <w:rPr>
          <w:rFonts w:ascii="黑体" w:eastAsia="黑体" w:cs="黑体"/>
          <w:color w:val="000000"/>
          <w:kern w:val="0"/>
          <w:sz w:val="70"/>
          <w:szCs w:val="70"/>
        </w:rPr>
      </w:pPr>
      <w:r>
        <w:rPr>
          <w:rFonts w:hint="eastAsia"/>
          <w:color w:val="333333"/>
          <w:sz w:val="28"/>
          <w:szCs w:val="28"/>
        </w:rPr>
        <w:t>二、事业收入：指事业单位开展专业业务活动及辅助活动所取得的收入。 </w:t>
      </w:r>
    </w:p>
    <w:p>
      <w:pPr>
        <w:pStyle w:val="5"/>
        <w:shd w:val="clear" w:color="auto" w:fill="FFFFFF"/>
        <w:jc w:val="both"/>
        <w:rPr>
          <w:color w:val="333333"/>
          <w:sz w:val="28"/>
          <w:szCs w:val="28"/>
        </w:rPr>
      </w:pPr>
      <w:r>
        <w:rPr>
          <w:rFonts w:hint="eastAsia" w:asciiTheme="minorHAnsi" w:hAnsiTheme="minorHAnsi" w:eastAsiaTheme="minorEastAsia" w:cstheme="minorBidi"/>
          <w:color w:val="333333"/>
          <w:kern w:val="2"/>
          <w:sz w:val="28"/>
          <w:szCs w:val="28"/>
        </w:rPr>
        <w:t>三、附属单位上缴收</w:t>
      </w:r>
      <w:r>
        <w:rPr>
          <w:rFonts w:hint="eastAsia"/>
          <w:color w:val="333333"/>
          <w:sz w:val="28"/>
          <w:szCs w:val="28"/>
        </w:rPr>
        <w:t>入：指事业单位附属独立核算单位按有关规定上缴的收入。 </w:t>
      </w:r>
    </w:p>
    <w:p>
      <w:pPr>
        <w:pStyle w:val="5"/>
        <w:shd w:val="clear" w:color="auto" w:fill="FFFFFF"/>
        <w:jc w:val="both"/>
        <w:rPr>
          <w:color w:val="333333"/>
          <w:sz w:val="28"/>
          <w:szCs w:val="28"/>
        </w:rPr>
      </w:pPr>
      <w:r>
        <w:rPr>
          <w:rFonts w:hint="eastAsia"/>
          <w:color w:val="333333"/>
          <w:sz w:val="28"/>
          <w:szCs w:val="28"/>
        </w:rPr>
        <w:t>四、其他收入：指单位取得的除上述“财政拨款收入”、“事业收入”、“附属单位上缴收入”等以外的收入。 </w:t>
      </w:r>
    </w:p>
    <w:p>
      <w:pPr>
        <w:pStyle w:val="5"/>
        <w:shd w:val="clear" w:color="auto" w:fill="FFFFFF"/>
        <w:jc w:val="both"/>
        <w:rPr>
          <w:color w:val="333333"/>
          <w:sz w:val="28"/>
          <w:szCs w:val="28"/>
        </w:rPr>
      </w:pPr>
      <w:r>
        <w:rPr>
          <w:rFonts w:hint="eastAsia"/>
          <w:color w:val="333333"/>
          <w:sz w:val="28"/>
          <w:szCs w:val="28"/>
        </w:rPr>
        <w:t>五、基本支出：指为保障机构正常运转、完成日常工作任务而发生的人员支出和公用支出。 </w:t>
      </w:r>
    </w:p>
    <w:p>
      <w:pPr>
        <w:pStyle w:val="5"/>
        <w:shd w:val="clear" w:color="auto" w:fill="FFFFFF"/>
        <w:jc w:val="both"/>
        <w:rPr>
          <w:color w:val="333333"/>
          <w:sz w:val="28"/>
          <w:szCs w:val="28"/>
        </w:rPr>
      </w:pPr>
      <w:r>
        <w:rPr>
          <w:rFonts w:hint="eastAsia"/>
          <w:color w:val="333333"/>
          <w:sz w:val="28"/>
          <w:szCs w:val="28"/>
        </w:rPr>
        <w:t>六、项目支出：指在基本支出之外，为完成特定行政任务和事业发展目标所发生的支出。 </w:t>
      </w:r>
    </w:p>
    <w:p>
      <w:pPr>
        <w:pStyle w:val="5"/>
        <w:shd w:val="clear" w:color="auto" w:fill="FFFFFF"/>
        <w:jc w:val="both"/>
        <w:rPr>
          <w:color w:val="333333"/>
          <w:sz w:val="28"/>
          <w:szCs w:val="28"/>
        </w:rPr>
      </w:pPr>
      <w:r>
        <w:rPr>
          <w:rFonts w:hint="eastAsia"/>
          <w:color w:val="333333"/>
          <w:sz w:val="28"/>
          <w:szCs w:val="28"/>
        </w:rPr>
        <w:t>七、年初结转和结余：指以前年度尚未完成、结转到本年仍按有关规定继续使用的资金。 </w:t>
      </w:r>
    </w:p>
    <w:p>
      <w:pPr>
        <w:pStyle w:val="5"/>
        <w:shd w:val="clear" w:color="auto" w:fill="FFFFFF"/>
        <w:jc w:val="both"/>
        <w:rPr>
          <w:color w:val="333333"/>
          <w:sz w:val="28"/>
          <w:szCs w:val="28"/>
        </w:rPr>
      </w:pPr>
      <w:r>
        <w:rPr>
          <w:rFonts w:hint="eastAsia"/>
          <w:color w:val="333333"/>
          <w:sz w:val="28"/>
          <w:szCs w:val="28"/>
        </w:rPr>
        <w:t>八、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jc w:val="both"/>
        <w:rPr>
          <w:color w:val="333333"/>
          <w:sz w:val="28"/>
          <w:szCs w:val="28"/>
        </w:rPr>
      </w:pPr>
      <w:r>
        <w:rPr>
          <w:rFonts w:hint="eastAsia"/>
          <w:color w:val="333333"/>
          <w:sz w:val="28"/>
          <w:szCs w:val="28"/>
        </w:rPr>
        <w:t>九、结余分配：指事业单位按规定提取的职工福利基金、事业基金和缴纳的所得税，以及建设单位按规定应交回的基本建设竣工项目结余资金。 </w:t>
      </w:r>
    </w:p>
    <w:p>
      <w:pPr>
        <w:pStyle w:val="5"/>
        <w:shd w:val="clear" w:color="auto" w:fill="FFFFFF"/>
        <w:jc w:val="both"/>
        <w:rPr>
          <w:color w:val="333333"/>
          <w:sz w:val="28"/>
          <w:szCs w:val="28"/>
        </w:rPr>
      </w:pPr>
      <w:r>
        <w:rPr>
          <w:rFonts w:hint="eastAsia"/>
          <w:color w:val="333333"/>
          <w:sz w:val="28"/>
          <w:szCs w:val="28"/>
        </w:rPr>
        <w:t>十、年末结转和结余：指本年度或以前年度预算安排、因客观条件发生变化无法按原计划实施，需延迟到以后年度按有关规定继续使用的资金。 </w:t>
      </w:r>
    </w:p>
    <w:p>
      <w:pPr>
        <w:pStyle w:val="5"/>
        <w:shd w:val="clear" w:color="auto" w:fill="FFFFFF"/>
        <w:jc w:val="both"/>
        <w:rPr>
          <w:color w:val="333333"/>
          <w:sz w:val="28"/>
          <w:szCs w:val="28"/>
        </w:rPr>
      </w:pPr>
      <w:r>
        <w:rPr>
          <w:rFonts w:hint="eastAsia"/>
          <w:color w:val="333333"/>
          <w:sz w:val="28"/>
          <w:szCs w:val="28"/>
        </w:rPr>
        <w:t>十一、“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5"/>
        <w:shd w:val="clear" w:color="auto" w:fill="FFFFFF"/>
        <w:jc w:val="both"/>
        <w:rPr>
          <w:color w:val="333333"/>
          <w:sz w:val="28"/>
          <w:szCs w:val="28"/>
        </w:rPr>
      </w:pPr>
      <w:r>
        <w:rPr>
          <w:rFonts w:hint="eastAsia"/>
          <w:color w:val="333333"/>
          <w:sz w:val="28"/>
          <w:szCs w:val="28"/>
        </w:rPr>
        <w:t>十二、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ind w:firstLine="640" w:firstLineChars="200"/>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宋体" w:hAnsi="宋体"/>
          <w:b/>
          <w:bCs/>
          <w:kern w:val="0"/>
          <w:sz w:val="44"/>
          <w:szCs w:val="44"/>
        </w:rPr>
      </w:pPr>
      <w:r>
        <w:rPr>
          <w:rFonts w:hint="eastAsia" w:ascii="宋体" w:hAnsi="宋体"/>
          <w:b/>
          <w:bCs/>
          <w:kern w:val="0"/>
          <w:sz w:val="44"/>
          <w:szCs w:val="44"/>
        </w:rPr>
        <w:t>2020年度部门整体支出绩效评价报告</w:t>
      </w:r>
    </w:p>
    <w:p>
      <w:pPr>
        <w:jc w:val="center"/>
        <w:rPr>
          <w:rFonts w:ascii="宋体" w:hAnsi="宋体"/>
          <w:kern w:val="0"/>
          <w:sz w:val="28"/>
          <w:szCs w:val="28"/>
        </w:rPr>
      </w:pPr>
    </w:p>
    <w:p>
      <w:pPr>
        <w:pStyle w:val="14"/>
        <w:ind w:firstLine="560"/>
        <w:rPr>
          <w:rFonts w:ascii="宋体" w:hAnsi="宋体"/>
          <w:kern w:val="0"/>
          <w:sz w:val="28"/>
          <w:szCs w:val="28"/>
        </w:rPr>
      </w:pPr>
      <w:r>
        <w:rPr>
          <w:rFonts w:hint="eastAsia" w:ascii="宋体" w:hAnsi="宋体"/>
          <w:kern w:val="0"/>
          <w:sz w:val="28"/>
          <w:szCs w:val="28"/>
        </w:rPr>
        <w:t>一 、部门基体情况</w:t>
      </w:r>
    </w:p>
    <w:p>
      <w:pPr>
        <w:ind w:firstLine="560" w:firstLineChars="200"/>
        <w:rPr>
          <w:rFonts w:ascii="宋体" w:hAnsi="宋体"/>
          <w:kern w:val="0"/>
          <w:sz w:val="28"/>
          <w:szCs w:val="28"/>
        </w:rPr>
      </w:pPr>
      <w:r>
        <w:rPr>
          <w:rFonts w:hint="eastAsia" w:ascii="宋体" w:hAnsi="宋体"/>
          <w:kern w:val="0"/>
          <w:sz w:val="28"/>
          <w:szCs w:val="28"/>
        </w:rPr>
        <w:t>1.部门职能职责</w:t>
      </w:r>
    </w:p>
    <w:p>
      <w:pPr>
        <w:pStyle w:val="5"/>
        <w:spacing w:before="0" w:beforeAutospacing="0" w:after="0" w:afterAutospacing="0"/>
        <w:ind w:firstLine="560" w:firstLineChars="200"/>
        <w:jc w:val="both"/>
        <w:rPr>
          <w:rFonts w:cs="Times New Roman"/>
          <w:sz w:val="28"/>
          <w:szCs w:val="28"/>
        </w:rPr>
      </w:pPr>
      <w:r>
        <w:rPr>
          <w:rFonts w:hint="eastAsia" w:cs="Times New Roman"/>
          <w:sz w:val="28"/>
          <w:szCs w:val="28"/>
        </w:rPr>
        <w:t>衡南县住房和城乡建设局（衡南县人民防空办公室）是县政府工作部门，为正科级，衡南县人民防空办公室与衡南县住房和城乡建设局合署办公，实行一套工作机构、两个机关名称。县住建局（县人防办）贯彻落实党中央关于住房城乡建设、人民防空工作的方针政策和决策部署，全面贯彻落实省委、市委、县委关于住房城乡建设、人民防空工作的部署要求，在履行职责过程中坚持和加强党对住房城乡建设、人民防空工作的集中统一领导。主要职责是：</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一）承担牵头推进新型城镇化战略工作。负责贯彻执行新型城镇化、城乡建设、住房保障、工程建设、建筑业、住宅房地产业、勘察设计咨询业、市政公用设施建设方面的方针政策和法律法规，拟订全县新型城镇化、房地产业发展战略、中长期规划及年度计划并组织实施；牵头拟订市政公用设施建设中长期规划；负责市政公用设施建设方面行业管理及市场准入；负责城市道路、桥梁、地下通道及地下管廊管网等市政公用设施建设、维护和管理；负责城市供水、燃气、污水处理等公用设施建设和管理；指导乡镇住房和城乡建设工作。</w:t>
      </w:r>
    </w:p>
    <w:p>
      <w:pPr>
        <w:pStyle w:val="5"/>
        <w:spacing w:before="0" w:beforeAutospacing="0" w:after="0" w:afterAutospacing="0"/>
        <w:ind w:firstLine="420" w:firstLineChars="150"/>
        <w:jc w:val="both"/>
        <w:rPr>
          <w:rFonts w:cs="Times New Roman"/>
          <w:sz w:val="28"/>
          <w:szCs w:val="28"/>
        </w:rPr>
      </w:pPr>
      <w:r>
        <w:rPr>
          <w:sz w:val="28"/>
          <w:szCs w:val="28"/>
        </w:rPr>
        <w:t>（二）贯彻落实党和国家关于</w:t>
      </w:r>
      <w:r>
        <w:rPr>
          <w:rFonts w:cs="Times New Roman"/>
          <w:sz w:val="28"/>
          <w:szCs w:val="28"/>
        </w:rPr>
        <w:t>人民防空</w:t>
      </w:r>
      <w:r>
        <w:rPr>
          <w:sz w:val="28"/>
          <w:szCs w:val="28"/>
        </w:rPr>
        <w:t>的方针政策和法律法规。负责</w:t>
      </w:r>
      <w:r>
        <w:rPr>
          <w:rFonts w:cs="Times New Roman"/>
          <w:sz w:val="28"/>
          <w:szCs w:val="28"/>
        </w:rPr>
        <w:t>拟订全</w:t>
      </w:r>
      <w:r>
        <w:rPr>
          <w:rFonts w:hint="eastAsia" w:cs="Times New Roman"/>
          <w:sz w:val="28"/>
          <w:szCs w:val="28"/>
        </w:rPr>
        <w:t>县</w:t>
      </w:r>
      <w:r>
        <w:rPr>
          <w:rFonts w:cs="Times New Roman"/>
          <w:sz w:val="28"/>
          <w:szCs w:val="28"/>
        </w:rPr>
        <w:t>人民防空的基本战略方案，编制全</w:t>
      </w:r>
      <w:r>
        <w:rPr>
          <w:rFonts w:hint="eastAsia" w:cs="Times New Roman"/>
          <w:sz w:val="28"/>
          <w:szCs w:val="28"/>
        </w:rPr>
        <w:t>县</w:t>
      </w:r>
      <w:r>
        <w:rPr>
          <w:rFonts w:cs="Times New Roman"/>
          <w:sz w:val="28"/>
          <w:szCs w:val="28"/>
        </w:rPr>
        <w:t>人民防空建设中长期发展规划和年度工作计划，经批准后组织实施。</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三）负责住房制度改革和住房保障工作。负责推进住房制度改革和保障城镇中低收入家庭住房工作；执行住房有关法律法规，负责住房建设和住房制度改革；组织编制县本级城镇保障性住房发展规划和年度计划并监督实施；会同相关部门做好政府有关保障性住房资金安排和资金监管工作；负责全县城镇和国有工矿棚户区改造工作；负责全县保障性住房管理。</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四）负责全县房地产市场监督管理。组织拟订促进全县房地产市场平稳健康发展的相关政策；负责房地产市场管理，规范房地产市场秩序；负责商品房销（预）售管理；负责预售资金及项目资本金监管；负责房地产开发、房地产交易、物业管理、房地产中介服务、商品房屋租赁等市场管理工作；负责房产咨询、评估、经纪等中介服务机构资质及从业人员的资格管理；负责全县房地产综合开发的监督管理；负责房地产开发企业资质审核、发证工作；负责全县房地产行业信用信息管理工作；负责全县房地产市场监测、调控、研究；指导预警预报体系建设和信息发布；配合相关部门管理房地产价格和房地产广告。</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五）负责全县国有土地上房屋征收与补偿工作。负责对城镇房屋征收与补偿主体的项目房屋征收补偿方案备案；负责组织实施全县中心城区国有土地上房屋征收项目的房地产评估、土地评估、资产评估及编制补偿资金预算；负责组织对城镇房屋征收实物量的核定；负责对城镇房屋征收补偿资金使用等工作进行监督与管理；负责国有土地上房屋征收信息系统的建立和管理。</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六）负责物业管理行业和物业服务企业的监督管理。负责前期物业招标投标、物业管理用房核定、物业承接查验备案工作；指导监督物业维修资金的收取、使用、管理工作；负责物业保修金的收取、使用、管理和返还工作；指导监督全县物业管理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七）承担全县房屋建筑和市政基础设施工程质量、安全生产监督管理责任。负责房屋建筑和市政基础设施工程竣工验收备案并牵头组织综合验收；负责预拌(商品)混凝土及制品构件的质量监督管理；负责审核报批安全生产许可证，组织或参与建设工程质量、安全事故的调查处理；负责城镇房屋使用安全监督管理、危旧房屋安全鉴定和等级评定工作；协同编制城镇危旧房屋改造规划并组织实施；组织指导房屋及公共园林绿化白蚁防治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八）指导监督全县城镇建设工作。参与县本级城建资金计划的编制和管理；负责城镇建设工程项目概(预)算的审查和项目竣工结算的初审；负责城镇基础设施配套费和工程建设、房地产业各项规费的征收；负责住房和城乡建设行业综合统计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九）指导监督全县村镇建设工作。会同有关部门指导和监督改善农村人居环境工作；指导农村住房建设和农村危房改造工作；负责传统村落的申报、保护与发展，参与名镇名村申报与管理；负责新型城镇化相关考核。</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监督管理全县勘察设计市场。负责勘察设计及其咨询单位和施工图审查机构资质管理、从业人员资格审查；负责全县建设工程初步设计文件论证和施工图审查备案；指导全县各类建筑工程的抗震设防的设计审查，参与城市地下空间的开发利用及相关规划的编制工作；负责人防设计审查；负责城市雕塑建设。</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（十一）负责城市市政工程建设管理工作。负责城市道路、桥梁等设施的建设、维护和管理工作；负责城镇房屋室内装饰行业管理；参与毗邻房屋安全纠纷的调解工作。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（十二）负责建设工程造价行业管理工作。执行工程建设实施阶段国家标准、全国统一定额和省级行业标准以及相关的管理制度；指导监督各类工程建设标准定额的实施和工程造价计价，组织发布工程造价信息。</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三）监督管理全县建设市场。管理和指导全县建筑活动；负责全县建筑业企业及工程监理、检验检测等企业及其相关社会中介组织的资质报批和管理；负责房屋建筑和市政基础设施工程报建和施工许可审批管理；负责房屋建筑和市政基础设施工程招标投标活动的监督管理。</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四）负责推进全县建筑节能工作。组织重大建筑节能项目的实施，推进建筑节能和城镇节能减排；组织建筑行业科技成果的评审、推广应用；负责城建档案的收集、管理和利用。负责全县散装水泥、预拌混凝土、预拌砂浆的推广和行业管理及协调服务；负责散装水泥专项资金的使用和管理；负责预拌混凝土和预拌砂浆企业规划、审核和监督管理。负责全县新型墙体材料推广应用和监督、检查、管理；负责审核新型墙体材料产品资质认证；负责新型墙体材料专项基金的使用和管理；负责审批城市周围新建、扩建实心粘土砖生产线；指导新型墙体材料的研究开发、生产和使用。</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（十五）负责建设工程消防相关工作。负责建设工程消防设计审查；负责建设工程消防验收、备案和抽查工作。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六）负责推进住房和城乡建设领域科技发展。制定并实施全县住房和城乡建设领域科技创新发展和人才培养规划和计划。组织实施重大科技工程及创新能力建设，推进住房和城乡建设信息化和信息资料的公共服务。组织开展全县住房和城乡建设领域对外交流与合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（十七）承担全县建设市场、房地产市场、消防、人防工程建设管理方面的行政执法工作。</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十八</w:t>
      </w:r>
      <w:r>
        <w:rPr>
          <w:rFonts w:ascii="宋体" w:hAnsi="宋体" w:eastAsia="宋体" w:cs="Times New Roman"/>
          <w:color w:val="auto"/>
          <w:spacing w:val="0"/>
          <w:sz w:val="28"/>
          <w:szCs w:val="28"/>
        </w:rPr>
        <w:t>）根据国家批准的防护类别、防护标准，会同有关部门编制人民防空建设与城市建设相结合</w:t>
      </w:r>
      <w:r>
        <w:rPr>
          <w:rFonts w:hint="eastAsia" w:ascii="宋体" w:hAnsi="宋体" w:eastAsia="宋体" w:cs="Times New Roman"/>
          <w:color w:val="auto"/>
          <w:spacing w:val="0"/>
          <w:sz w:val="28"/>
          <w:szCs w:val="28"/>
        </w:rPr>
        <w:t>的</w:t>
      </w:r>
      <w:r>
        <w:rPr>
          <w:rFonts w:ascii="宋体" w:hAnsi="宋体" w:eastAsia="宋体" w:cs="Times New Roman"/>
          <w:color w:val="auto"/>
          <w:spacing w:val="0"/>
          <w:sz w:val="28"/>
          <w:szCs w:val="28"/>
        </w:rPr>
        <w:t>规划</w:t>
      </w:r>
      <w:r>
        <w:rPr>
          <w:rFonts w:hint="eastAsia" w:ascii="宋体" w:hAnsi="宋体" w:eastAsia="宋体" w:cs="Times New Roman"/>
          <w:color w:val="auto"/>
          <w:spacing w:val="0"/>
          <w:sz w:val="28"/>
          <w:szCs w:val="28"/>
        </w:rPr>
        <w:t>方案</w:t>
      </w:r>
      <w:r>
        <w:rPr>
          <w:rFonts w:ascii="宋体" w:hAnsi="宋体" w:eastAsia="宋体" w:cs="Times New Roman"/>
          <w:color w:val="auto"/>
          <w:spacing w:val="0"/>
          <w:sz w:val="28"/>
          <w:szCs w:val="28"/>
        </w:rPr>
        <w:t>，审核城市地下空间开发利用的规划</w:t>
      </w:r>
      <w:r>
        <w:rPr>
          <w:rFonts w:hint="eastAsia" w:ascii="宋体" w:hAnsi="宋体" w:eastAsia="宋体" w:cs="Times New Roman"/>
          <w:color w:val="auto"/>
          <w:spacing w:val="0"/>
          <w:sz w:val="28"/>
          <w:szCs w:val="28"/>
        </w:rPr>
        <w:t>方案；</w:t>
      </w:r>
      <w:r>
        <w:rPr>
          <w:rFonts w:ascii="宋体" w:hAnsi="宋体" w:eastAsia="宋体" w:cs="Times New Roman"/>
          <w:color w:val="auto"/>
          <w:spacing w:val="0"/>
          <w:sz w:val="28"/>
          <w:szCs w:val="28"/>
        </w:rPr>
        <w:t>负责城市地下空间开发利用兼顾人民防空要求的管理和监督检查，对重要经济目标防护体系建设进行监督检查。</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十九</w:t>
      </w:r>
      <w:r>
        <w:rPr>
          <w:rFonts w:ascii="宋体" w:hAnsi="宋体" w:eastAsia="宋体" w:cs="Times New Roman"/>
          <w:color w:val="auto"/>
          <w:spacing w:val="0"/>
          <w:sz w:val="28"/>
          <w:szCs w:val="28"/>
        </w:rPr>
        <w:t>）组织管理人民防空工程建设。根据国家制定的防护标准和质量标准，对人民防空工程（含结合民用建筑修建防空地下室）建设实施计划、技术和质量管理</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组织、协调人民防空工程维护管理和平时开发利用工作。</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w:t>
      </w: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负责</w:t>
      </w:r>
      <w:r>
        <w:rPr>
          <w:rFonts w:ascii="宋体" w:hAnsi="宋体" w:eastAsia="宋体" w:cs="Times New Roman"/>
          <w:color w:val="auto"/>
          <w:spacing w:val="0"/>
          <w:sz w:val="28"/>
          <w:szCs w:val="28"/>
        </w:rPr>
        <w:t>组织、协调城市防空袭方案</w:t>
      </w:r>
      <w:r>
        <w:rPr>
          <w:rFonts w:hint="eastAsia" w:ascii="宋体" w:hAnsi="宋体" w:eastAsia="宋体" w:cs="Times New Roman"/>
          <w:color w:val="auto"/>
          <w:spacing w:val="0"/>
          <w:sz w:val="28"/>
          <w:szCs w:val="28"/>
        </w:rPr>
        <w:t>的拟订</w:t>
      </w:r>
      <w:r>
        <w:rPr>
          <w:rFonts w:ascii="宋体" w:hAnsi="宋体" w:eastAsia="宋体" w:cs="Times New Roman"/>
          <w:color w:val="auto"/>
          <w:spacing w:val="0"/>
          <w:sz w:val="28"/>
          <w:szCs w:val="28"/>
        </w:rPr>
        <w:t>，指导城市人口、战备物资疏散和掩蔽计划</w:t>
      </w:r>
      <w:r>
        <w:rPr>
          <w:rFonts w:hint="eastAsia" w:ascii="宋体" w:hAnsi="宋体" w:eastAsia="宋体" w:cs="Times New Roman"/>
          <w:color w:val="auto"/>
          <w:spacing w:val="0"/>
          <w:sz w:val="28"/>
          <w:szCs w:val="28"/>
        </w:rPr>
        <w:t>的制定</w:t>
      </w:r>
      <w:r>
        <w:rPr>
          <w:rFonts w:ascii="宋体" w:hAnsi="宋体" w:eastAsia="宋体" w:cs="Times New Roman"/>
          <w:color w:val="auto"/>
          <w:spacing w:val="0"/>
          <w:sz w:val="28"/>
          <w:szCs w:val="28"/>
        </w:rPr>
        <w:t>，指导疏散基地建设，加强疏散地域建设，服务乡村振兴</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组织有关部门编制应对灾害事故疏散防护预案，组织开展防空防灾演习、演练等工作。战时组织开展城市人民防空袭斗争。</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二十一</w:t>
      </w:r>
      <w:r>
        <w:rPr>
          <w:rFonts w:ascii="宋体" w:hAnsi="宋体" w:eastAsia="宋体" w:cs="Times New Roman"/>
          <w:color w:val="auto"/>
          <w:spacing w:val="0"/>
          <w:sz w:val="28"/>
          <w:szCs w:val="28"/>
        </w:rPr>
        <w:t>）负责人民防空指挥信息管理平台、通信警报和信息化建设，确保通信畅通、指挥高效。负责人民防空警报试鸣。</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二十二</w:t>
      </w:r>
      <w:r>
        <w:rPr>
          <w:rFonts w:ascii="宋体" w:hAnsi="宋体" w:eastAsia="宋体" w:cs="Times New Roman"/>
          <w:color w:val="auto"/>
          <w:spacing w:val="0"/>
          <w:sz w:val="28"/>
          <w:szCs w:val="28"/>
        </w:rPr>
        <w:t>）组织开展防空防灾的宣传教育工作，普及防空防灾知识，提高民众应对灾害事故自救互救技能</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组织指导人民防空干部教育培训。</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二十三</w:t>
      </w:r>
      <w:r>
        <w:rPr>
          <w:rFonts w:ascii="宋体" w:hAnsi="宋体" w:eastAsia="宋体" w:cs="Times New Roman"/>
          <w:color w:val="auto"/>
          <w:spacing w:val="0"/>
          <w:sz w:val="28"/>
          <w:szCs w:val="28"/>
        </w:rPr>
        <w:t>）管理人民防空经费和资产，编制</w:t>
      </w:r>
      <w:r>
        <w:rPr>
          <w:rFonts w:hint="eastAsia" w:ascii="宋体" w:hAnsi="宋体" w:eastAsia="宋体" w:cs="Times New Roman"/>
          <w:color w:val="auto"/>
          <w:spacing w:val="0"/>
          <w:sz w:val="28"/>
          <w:szCs w:val="28"/>
        </w:rPr>
        <w:t>县</w:t>
      </w:r>
      <w:r>
        <w:rPr>
          <w:rFonts w:ascii="宋体" w:hAnsi="宋体" w:eastAsia="宋体" w:cs="Times New Roman"/>
          <w:color w:val="auto"/>
          <w:spacing w:val="0"/>
          <w:sz w:val="28"/>
          <w:szCs w:val="28"/>
        </w:rPr>
        <w:t>本级人民防空经费预决算，并对使用情况实施绩效管理。</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二十四</w:t>
      </w:r>
      <w:r>
        <w:rPr>
          <w:rFonts w:ascii="宋体" w:hAnsi="宋体" w:eastAsia="宋体" w:cs="Times New Roman"/>
          <w:color w:val="auto"/>
          <w:spacing w:val="0"/>
          <w:sz w:val="28"/>
          <w:szCs w:val="28"/>
        </w:rPr>
        <w:t>）组织开展人民防空科学技术研究，推广应用科技成果。</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二十五</w:t>
      </w: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负责</w:t>
      </w:r>
      <w:r>
        <w:rPr>
          <w:rFonts w:ascii="宋体" w:hAnsi="宋体" w:eastAsia="宋体" w:cs="Times New Roman"/>
          <w:color w:val="auto"/>
          <w:spacing w:val="0"/>
          <w:sz w:val="28"/>
          <w:szCs w:val="28"/>
        </w:rPr>
        <w:t>利用人民防空设施、设备和人防专业队伍</w:t>
      </w:r>
      <w:r>
        <w:rPr>
          <w:rFonts w:hint="eastAsia" w:ascii="宋体" w:hAnsi="宋体" w:eastAsia="宋体" w:cs="Times New Roman"/>
          <w:color w:val="auto"/>
          <w:spacing w:val="0"/>
          <w:sz w:val="28"/>
          <w:szCs w:val="28"/>
        </w:rPr>
        <w:t>，开展</w:t>
      </w:r>
      <w:r>
        <w:rPr>
          <w:rFonts w:ascii="宋体" w:hAnsi="宋体" w:eastAsia="宋体" w:cs="Times New Roman"/>
          <w:color w:val="auto"/>
          <w:spacing w:val="0"/>
          <w:sz w:val="28"/>
          <w:szCs w:val="28"/>
        </w:rPr>
        <w:t>应急救援服务</w:t>
      </w:r>
      <w:r>
        <w:rPr>
          <w:rFonts w:hint="eastAsia" w:ascii="宋体" w:hAnsi="宋体" w:eastAsia="宋体" w:cs="Times New Roman"/>
          <w:color w:val="auto"/>
          <w:spacing w:val="0"/>
          <w:sz w:val="28"/>
          <w:szCs w:val="28"/>
        </w:rPr>
        <w:t>工作</w:t>
      </w:r>
      <w:r>
        <w:rPr>
          <w:rFonts w:ascii="宋体" w:hAnsi="宋体" w:eastAsia="宋体" w:cs="Times New Roman"/>
          <w:color w:val="auto"/>
          <w:spacing w:val="0"/>
          <w:sz w:val="28"/>
          <w:szCs w:val="28"/>
        </w:rPr>
        <w:t>。</w:t>
      </w:r>
    </w:p>
    <w:p>
      <w:pPr>
        <w:ind w:firstLine="420" w:firstLineChars="150"/>
        <w:rPr>
          <w:rFonts w:ascii="宋体" w:hAnsi="宋体"/>
          <w:kern w:val="0"/>
          <w:sz w:val="28"/>
          <w:szCs w:val="28"/>
        </w:rPr>
      </w:pPr>
      <w:r>
        <w:rPr>
          <w:rFonts w:hint="eastAsia" w:ascii="宋体" w:hAnsi="宋体"/>
          <w:kern w:val="0"/>
          <w:sz w:val="28"/>
          <w:szCs w:val="28"/>
        </w:rPr>
        <w:t>（二十六）负责本行业、领域职责范围内的应急管理工作，对本行业、领域职责范围内的安全生产工作实施监督管理。</w:t>
      </w:r>
    </w:p>
    <w:p>
      <w:pPr>
        <w:pStyle w:val="5"/>
        <w:spacing w:before="0" w:beforeAutospacing="0" w:after="0" w:afterAutospacing="0"/>
        <w:ind w:firstLine="420" w:firstLineChars="150"/>
        <w:jc w:val="both"/>
        <w:rPr>
          <w:sz w:val="28"/>
          <w:szCs w:val="28"/>
        </w:rPr>
      </w:pPr>
      <w:r>
        <w:rPr>
          <w:rFonts w:hint="eastAsia" w:cs="Times New Roman"/>
          <w:sz w:val="28"/>
          <w:szCs w:val="28"/>
        </w:rPr>
        <w:t>（二十七）完成县委、县政府和县国防动员委员会交办的其他任务。</w:t>
      </w:r>
    </w:p>
    <w:p>
      <w:pPr>
        <w:ind w:firstLine="560" w:firstLineChars="200"/>
        <w:rPr>
          <w:rFonts w:ascii="宋体" w:hAnsi="宋体"/>
          <w:kern w:val="0"/>
          <w:sz w:val="28"/>
          <w:szCs w:val="28"/>
        </w:rPr>
      </w:pPr>
      <w:r>
        <w:rPr>
          <w:rFonts w:hint="eastAsia" w:ascii="宋体" w:hAnsi="宋体"/>
          <w:kern w:val="0"/>
          <w:sz w:val="28"/>
          <w:szCs w:val="28"/>
        </w:rPr>
        <w:t>2.机构设置情况</w:t>
      </w:r>
    </w:p>
    <w:p>
      <w:pPr>
        <w:ind w:firstLine="560" w:firstLineChars="200"/>
        <w:rPr>
          <w:rFonts w:ascii="宋体" w:hAnsi="宋体"/>
          <w:kern w:val="0"/>
          <w:sz w:val="28"/>
          <w:szCs w:val="28"/>
        </w:rPr>
      </w:pPr>
      <w:r>
        <w:rPr>
          <w:rFonts w:hint="eastAsia" w:ascii="宋体" w:hAnsi="宋体"/>
          <w:kern w:val="0"/>
          <w:sz w:val="28"/>
          <w:szCs w:val="28"/>
        </w:rPr>
        <w:t>住建（人防）系统（不含自来水公司）共有干部职工617人（在职488人，退休129人）。局机关下设办公室、组织人事股、财务审计股、政策法规股、行政审批服务股、安全和消防管理股、物业管理股、住房保障和房产开发管理股、村镇建设股、建设市场股、工程管理股、城市建设和公用事业股、人防指挥通信股、勘察设计股、建筑节能与科技股等15个股室，下辖质</w:t>
      </w:r>
      <w:r>
        <w:rPr>
          <w:rFonts w:hint="eastAsia" w:ascii="宋体" w:hAnsi="宋体"/>
          <w:sz w:val="28"/>
          <w:szCs w:val="28"/>
        </w:rPr>
        <w:t>安站、市政中心、住保中心、污水处理中心、自来水公司、信息中心、绿色建筑中心、白蚁防治所、人防执法大队、物业维修资金中心等10</w:t>
      </w:r>
      <w:r>
        <w:rPr>
          <w:rFonts w:hint="eastAsia" w:ascii="宋体" w:hAnsi="宋体"/>
          <w:kern w:val="0"/>
          <w:sz w:val="28"/>
          <w:szCs w:val="28"/>
        </w:rPr>
        <w:t>个二级机构和26个乡镇建管站。</w:t>
      </w:r>
    </w:p>
    <w:p>
      <w:pPr>
        <w:ind w:firstLine="560" w:firstLineChars="200"/>
        <w:rPr>
          <w:rFonts w:ascii="宋体" w:hAnsi="宋体"/>
          <w:kern w:val="0"/>
          <w:sz w:val="28"/>
          <w:szCs w:val="28"/>
        </w:rPr>
      </w:pPr>
      <w:r>
        <w:rPr>
          <w:rFonts w:hint="eastAsia" w:ascii="宋体" w:hAnsi="宋体"/>
          <w:kern w:val="0"/>
          <w:sz w:val="28"/>
          <w:szCs w:val="28"/>
        </w:rPr>
        <w:t>3.人员编制情况</w:t>
      </w:r>
    </w:p>
    <w:p>
      <w:pPr>
        <w:ind w:firstLine="560" w:firstLineChars="200"/>
        <w:rPr>
          <w:rFonts w:ascii="宋体" w:hAnsi="宋体"/>
          <w:kern w:val="0"/>
          <w:sz w:val="28"/>
          <w:szCs w:val="28"/>
        </w:rPr>
      </w:pPr>
      <w:r>
        <w:rPr>
          <w:rFonts w:hint="eastAsia" w:ascii="宋体" w:hAnsi="宋体"/>
          <w:kern w:val="0"/>
          <w:sz w:val="28"/>
          <w:szCs w:val="28"/>
        </w:rPr>
        <w:t>只有局（办）机关部分人员为行政编制，基余大部分为全额事业、差额事业、自费事业编制，其中乡镇建管站人员绝大部分人员都是自费事业编制。</w:t>
      </w:r>
    </w:p>
    <w:p>
      <w:pPr>
        <w:ind w:firstLine="560" w:firstLineChars="200"/>
        <w:rPr>
          <w:rFonts w:ascii="宋体" w:hAnsi="宋体"/>
          <w:kern w:val="0"/>
          <w:sz w:val="28"/>
          <w:szCs w:val="28"/>
        </w:rPr>
      </w:pPr>
      <w:r>
        <w:rPr>
          <w:rFonts w:hint="eastAsia" w:ascii="宋体" w:hAnsi="宋体"/>
          <w:kern w:val="0"/>
          <w:sz w:val="28"/>
          <w:szCs w:val="28"/>
        </w:rPr>
        <w:t>二、部门整体支出经费预算管理及使用情况</w:t>
      </w:r>
    </w:p>
    <w:p>
      <w:pPr>
        <w:ind w:firstLine="560" w:firstLineChars="200"/>
        <w:rPr>
          <w:rFonts w:ascii="宋体" w:hAnsi="宋体"/>
          <w:sz w:val="28"/>
          <w:szCs w:val="28"/>
        </w:rPr>
      </w:pPr>
      <w:r>
        <w:rPr>
          <w:rFonts w:hint="eastAsia" w:ascii="宋体" w:hAnsi="宋体"/>
          <w:sz w:val="28"/>
          <w:szCs w:val="28"/>
        </w:rPr>
        <w:t>（一）部门</w:t>
      </w:r>
      <w:r>
        <w:rPr>
          <w:rFonts w:hint="eastAsia" w:ascii="宋体" w:hAnsi="宋体"/>
          <w:kern w:val="0"/>
          <w:sz w:val="28"/>
          <w:szCs w:val="28"/>
        </w:rPr>
        <w:t>整体支出</w:t>
      </w:r>
      <w:r>
        <w:rPr>
          <w:rFonts w:hint="eastAsia" w:ascii="宋体" w:hAnsi="宋体"/>
          <w:sz w:val="28"/>
          <w:szCs w:val="28"/>
        </w:rPr>
        <w:t>经费情况</w:t>
      </w:r>
    </w:p>
    <w:p>
      <w:pPr>
        <w:ind w:firstLine="700" w:firstLineChars="250"/>
        <w:rPr>
          <w:rFonts w:ascii="宋体" w:hAnsi="宋体"/>
          <w:sz w:val="28"/>
          <w:szCs w:val="28"/>
        </w:rPr>
      </w:pPr>
      <w:r>
        <w:rPr>
          <w:rFonts w:hint="eastAsia" w:ascii="宋体" w:hAnsi="宋体"/>
          <w:sz w:val="28"/>
          <w:szCs w:val="28"/>
        </w:rPr>
        <w:t>县财政局对我住建（人防）系统（其中自来水公司、绿色建筑事务中心未进行单独预算安排）2020年单位支出预算批复总预算金额为3983.69万元，其中人员经费3335.19万元，一般商品和服务支出221.4万元，专项经费427.1万元。2020年全年住建（人防）系统部门整体支出23814.24万元（含政府性基金预算资金661.04万元）。</w:t>
      </w:r>
    </w:p>
    <w:p>
      <w:pPr>
        <w:ind w:firstLine="700" w:firstLineChars="250"/>
        <w:rPr>
          <w:rFonts w:ascii="宋体" w:hAnsi="宋体"/>
          <w:sz w:val="28"/>
          <w:szCs w:val="28"/>
        </w:rPr>
      </w:pPr>
      <w:r>
        <w:rPr>
          <w:rFonts w:hint="eastAsia" w:ascii="宋体" w:hAnsi="宋体"/>
          <w:sz w:val="28"/>
          <w:szCs w:val="28"/>
        </w:rPr>
        <w:t>（二）部门整体支出经费使用情况</w:t>
      </w:r>
    </w:p>
    <w:p>
      <w:pPr>
        <w:ind w:firstLine="700" w:firstLineChars="250"/>
        <w:rPr>
          <w:rFonts w:ascii="宋体" w:hAnsi="宋体"/>
          <w:sz w:val="28"/>
          <w:szCs w:val="28"/>
        </w:rPr>
      </w:pPr>
      <w:r>
        <w:rPr>
          <w:rFonts w:hint="eastAsia" w:ascii="宋体" w:hAnsi="宋体"/>
          <w:sz w:val="28"/>
          <w:szCs w:val="28"/>
        </w:rPr>
        <w:t>2020年全年住建（人防）系统部门整体支出经费23814.24万元（含政府性基金预算资金661.04万元），其中基本支出4641.78万元，项目支出19172.46万元（含政府性基金预算资金661.04万元）。</w:t>
      </w:r>
    </w:p>
    <w:p>
      <w:pPr>
        <w:ind w:firstLine="560" w:firstLineChars="200"/>
        <w:rPr>
          <w:rFonts w:ascii="宋体" w:hAnsi="宋体"/>
          <w:sz w:val="28"/>
          <w:szCs w:val="28"/>
        </w:rPr>
      </w:pPr>
      <w:r>
        <w:rPr>
          <w:rFonts w:hint="eastAsia" w:ascii="宋体" w:hAnsi="宋体"/>
          <w:sz w:val="28"/>
          <w:szCs w:val="28"/>
        </w:rPr>
        <w:t>1、住建局(人防办)机关基本支出预算经费2596.45万元（其中人员经费支出1517.56万元，一般商品和服务支出659.90万元</w:t>
      </w:r>
      <w:r>
        <w:rPr>
          <w:rFonts w:ascii="宋体" w:hAnsi="宋体"/>
          <w:sz w:val="28"/>
          <w:szCs w:val="28"/>
        </w:rPr>
        <w:t>）</w:t>
      </w:r>
      <w:r>
        <w:rPr>
          <w:rFonts w:hint="eastAsia" w:ascii="宋体" w:hAnsi="宋体"/>
          <w:sz w:val="28"/>
          <w:szCs w:val="28"/>
        </w:rPr>
        <w:t>，专项经费418.99万元（</w:t>
      </w:r>
      <w:r>
        <w:rPr>
          <w:rFonts w:ascii="宋体" w:hAnsi="宋体"/>
          <w:sz w:val="28"/>
          <w:szCs w:val="28"/>
        </w:rPr>
        <w:t>不含过路项目资金）</w:t>
      </w:r>
      <w:r>
        <w:rPr>
          <w:rFonts w:hint="eastAsia" w:ascii="宋体" w:hAnsi="宋体"/>
          <w:sz w:val="28"/>
          <w:szCs w:val="28"/>
        </w:rPr>
        <w:t>。</w:t>
      </w:r>
    </w:p>
    <w:p>
      <w:pPr>
        <w:ind w:firstLine="560" w:firstLineChars="200"/>
        <w:rPr>
          <w:rFonts w:ascii="宋体" w:hAnsi="宋体"/>
          <w:sz w:val="28"/>
          <w:szCs w:val="28"/>
        </w:rPr>
      </w:pPr>
      <w:r>
        <w:rPr>
          <w:rFonts w:hint="eastAsia" w:ascii="宋体" w:hAnsi="宋体"/>
          <w:sz w:val="28"/>
          <w:szCs w:val="28"/>
        </w:rPr>
        <w:t>①预算追加市政大型维护费900万元，用于支付县城市政设施日常维修费889.6万元。</w:t>
      </w:r>
    </w:p>
    <w:p>
      <w:pPr>
        <w:ind w:firstLine="560" w:firstLineChars="200"/>
        <w:rPr>
          <w:rFonts w:ascii="宋体" w:hAnsi="宋体"/>
          <w:sz w:val="28"/>
          <w:szCs w:val="28"/>
        </w:rPr>
      </w:pPr>
      <w:r>
        <w:rPr>
          <w:rFonts w:hint="eastAsia" w:ascii="宋体" w:hAnsi="宋体"/>
          <w:sz w:val="28"/>
          <w:szCs w:val="28"/>
        </w:rPr>
        <w:t>②预算追加解决县城区域园林绿化白蚁防治工程60万元为项目资金。</w:t>
      </w:r>
    </w:p>
    <w:p>
      <w:pPr>
        <w:ind w:firstLine="560" w:firstLineChars="200"/>
        <w:rPr>
          <w:rFonts w:ascii="宋体" w:hAnsi="宋体"/>
          <w:sz w:val="28"/>
          <w:szCs w:val="28"/>
        </w:rPr>
      </w:pPr>
      <w:r>
        <w:rPr>
          <w:rFonts w:hint="eastAsia" w:ascii="宋体" w:hAnsi="宋体"/>
          <w:sz w:val="28"/>
          <w:szCs w:val="28"/>
        </w:rPr>
        <w:t>③解决县工程公司改制问题支付3207万元为过路项目资金。</w:t>
      </w:r>
    </w:p>
    <w:p>
      <w:pPr>
        <w:ind w:firstLine="560" w:firstLineChars="200"/>
        <w:rPr>
          <w:rFonts w:ascii="宋体" w:hAnsi="宋体"/>
          <w:sz w:val="28"/>
          <w:szCs w:val="28"/>
        </w:rPr>
      </w:pPr>
      <w:r>
        <w:rPr>
          <w:rFonts w:hint="eastAsia" w:ascii="宋体" w:hAnsi="宋体"/>
          <w:sz w:val="28"/>
          <w:szCs w:val="28"/>
        </w:rPr>
        <w:t>④2020年拨付</w:t>
      </w:r>
      <w:r>
        <w:rPr>
          <w:rFonts w:ascii="宋体" w:hAnsi="宋体"/>
          <w:sz w:val="28"/>
          <w:szCs w:val="28"/>
        </w:rPr>
        <w:t>云集大道</w:t>
      </w:r>
      <w:r>
        <w:rPr>
          <w:rFonts w:hint="eastAsia" w:ascii="宋体" w:hAnsi="宋体"/>
          <w:sz w:val="28"/>
          <w:szCs w:val="28"/>
        </w:rPr>
        <w:t>工程结算资300万元，为过路项目资金。</w:t>
      </w:r>
    </w:p>
    <w:p>
      <w:pPr>
        <w:ind w:firstLine="560" w:firstLineChars="200"/>
        <w:rPr>
          <w:rFonts w:ascii="宋体" w:hAnsi="宋体"/>
          <w:sz w:val="28"/>
          <w:szCs w:val="28"/>
        </w:rPr>
      </w:pPr>
      <w:r>
        <w:rPr>
          <w:rFonts w:hint="eastAsia" w:ascii="宋体" w:hAnsi="宋体"/>
          <w:sz w:val="28"/>
          <w:szCs w:val="28"/>
        </w:rPr>
        <w:t>⑤公（廉）租房建设相关资金8483.24                                                                                                                                         万元主要用于全县公（廉）建设工程款项等，公（廉）租房资金实行专账管理，为局机关过路项目经费。</w:t>
      </w:r>
    </w:p>
    <w:p>
      <w:pPr>
        <w:ind w:firstLine="560" w:firstLineChars="200"/>
        <w:rPr>
          <w:rFonts w:ascii="宋体" w:hAnsi="宋体"/>
          <w:sz w:val="28"/>
          <w:szCs w:val="28"/>
        </w:rPr>
      </w:pPr>
      <w:r>
        <w:rPr>
          <w:rFonts w:hint="eastAsia" w:ascii="宋体" w:hAnsi="宋体"/>
          <w:sz w:val="28"/>
          <w:szCs w:val="28"/>
        </w:rPr>
        <w:t>⑥预算追加拨付200万元，为支付人防办人防工程款。</w:t>
      </w:r>
    </w:p>
    <w:p>
      <w:pPr>
        <w:ind w:firstLine="560" w:firstLineChars="200"/>
        <w:rPr>
          <w:rFonts w:ascii="宋体" w:hAnsi="宋体"/>
          <w:sz w:val="28"/>
          <w:szCs w:val="28"/>
        </w:rPr>
      </w:pPr>
      <w:r>
        <w:rPr>
          <w:rFonts w:hint="eastAsia" w:ascii="宋体" w:hAnsi="宋体"/>
          <w:sz w:val="28"/>
          <w:szCs w:val="28"/>
        </w:rPr>
        <w:t>⑦拨付老旧小区改造2154.12万元，为过路项目资金。</w:t>
      </w:r>
    </w:p>
    <w:p>
      <w:pPr>
        <w:ind w:firstLine="560" w:firstLineChars="200"/>
        <w:rPr>
          <w:rFonts w:ascii="宋体" w:hAnsi="宋体"/>
          <w:sz w:val="28"/>
          <w:szCs w:val="28"/>
        </w:rPr>
      </w:pPr>
      <w:r>
        <w:rPr>
          <w:rFonts w:hint="eastAsia" w:ascii="宋体" w:hAnsi="宋体"/>
          <w:sz w:val="28"/>
          <w:szCs w:val="28"/>
        </w:rPr>
        <w:t>⑧污水处理PPP一体化项目工作经费215.41万元，为过路项目资金。</w:t>
      </w:r>
    </w:p>
    <w:p>
      <w:pPr>
        <w:ind w:firstLine="560" w:firstLineChars="200"/>
        <w:rPr>
          <w:rFonts w:ascii="宋体" w:hAnsi="宋体"/>
          <w:sz w:val="28"/>
          <w:szCs w:val="28"/>
        </w:rPr>
      </w:pPr>
      <w:r>
        <w:rPr>
          <w:rFonts w:hint="eastAsia" w:ascii="宋体" w:hAnsi="宋体"/>
          <w:sz w:val="28"/>
          <w:szCs w:val="28"/>
        </w:rPr>
        <w:t>⑨拨付污水处理存量资金2085.05万元，为过路资金。</w:t>
      </w:r>
    </w:p>
    <w:p>
      <w:pPr>
        <w:ind w:firstLine="560" w:firstLineChars="200"/>
        <w:rPr>
          <w:rFonts w:ascii="宋体" w:hAnsi="宋体"/>
          <w:sz w:val="28"/>
          <w:szCs w:val="28"/>
        </w:rPr>
      </w:pPr>
      <w:r>
        <w:rPr>
          <w:rFonts w:hint="eastAsia" w:ascii="宋体" w:hAnsi="宋体"/>
          <w:sz w:val="28"/>
          <w:szCs w:val="28"/>
        </w:rPr>
        <w:t>2、县质安站支出预算经费373.55万元，其中人员经费支出344.95元，一般商品和服务支出12.6万元，专项经费16万元。</w:t>
      </w:r>
    </w:p>
    <w:p>
      <w:pPr>
        <w:rPr>
          <w:rFonts w:ascii="宋体" w:hAnsi="宋体"/>
          <w:sz w:val="28"/>
          <w:szCs w:val="28"/>
        </w:rPr>
      </w:pPr>
      <w:r>
        <w:rPr>
          <w:rFonts w:hint="eastAsia" w:ascii="宋体" w:hAnsi="宋体"/>
          <w:sz w:val="28"/>
          <w:szCs w:val="28"/>
        </w:rPr>
        <w:t xml:space="preserve">    3、县住保中心支出预算经费158.06万元，其中人员经费支出134.66万元，一般商品和服务支出8.4万元，专项经费15万元。</w:t>
      </w:r>
    </w:p>
    <w:p>
      <w:pPr>
        <w:ind w:firstLine="560" w:firstLineChars="200"/>
        <w:rPr>
          <w:rFonts w:ascii="宋体" w:hAnsi="宋体"/>
          <w:sz w:val="28"/>
          <w:szCs w:val="28"/>
        </w:rPr>
      </w:pPr>
      <w:r>
        <w:rPr>
          <w:rFonts w:hint="eastAsia" w:ascii="宋体" w:hAnsi="宋体"/>
          <w:sz w:val="28"/>
          <w:szCs w:val="28"/>
        </w:rPr>
        <w:t>4、县市政中心出预算经费181.1万元，其中人员支出153.9万元，一般商品和服务支出4.2万元，专项经费23万元。</w:t>
      </w:r>
    </w:p>
    <w:p>
      <w:pPr>
        <w:ind w:firstLine="560" w:firstLineChars="200"/>
        <w:rPr>
          <w:rFonts w:ascii="宋体" w:hAnsi="宋体"/>
          <w:sz w:val="28"/>
          <w:szCs w:val="28"/>
        </w:rPr>
      </w:pPr>
      <w:r>
        <w:rPr>
          <w:rFonts w:hint="eastAsia" w:ascii="宋体" w:hAnsi="宋体"/>
          <w:sz w:val="28"/>
          <w:szCs w:val="28"/>
        </w:rPr>
        <w:t>5、县白蚁所防治所支出预算经费74.67万元，其中人员经费支出71.67万元，一般商品和服务支出3万元。</w:t>
      </w:r>
    </w:p>
    <w:p>
      <w:pPr>
        <w:ind w:firstLine="560" w:firstLineChars="200"/>
        <w:rPr>
          <w:rFonts w:ascii="宋体" w:hAnsi="宋体"/>
          <w:sz w:val="28"/>
          <w:szCs w:val="28"/>
        </w:rPr>
      </w:pPr>
      <w:r>
        <w:rPr>
          <w:rFonts w:hint="eastAsia" w:ascii="宋体" w:hAnsi="宋体"/>
          <w:sz w:val="28"/>
          <w:szCs w:val="28"/>
        </w:rPr>
        <w:t>6、县污水处理厂支出预算经费290.1万元，其中运行经费120万元。专项经费170.1万元（污水处理电费50万元，机场污水理运行支出20万元，污水处理运行支出100.1万元）。</w:t>
      </w:r>
    </w:p>
    <w:p>
      <w:pPr>
        <w:ind w:firstLine="560" w:firstLineChars="200"/>
        <w:rPr>
          <w:rFonts w:ascii="宋体" w:hAnsi="宋体"/>
          <w:sz w:val="28"/>
          <w:szCs w:val="28"/>
        </w:rPr>
      </w:pPr>
      <w:r>
        <w:rPr>
          <w:rFonts w:hint="eastAsia" w:ascii="宋体" w:hAnsi="宋体"/>
          <w:sz w:val="28"/>
          <w:szCs w:val="28"/>
        </w:rPr>
        <w:t>7、县人防执法大队支出预算经费216.2万元。其中人员支出193万元，一般商品和服务支出13.2万元，专项经费10万元。</w:t>
      </w:r>
    </w:p>
    <w:p>
      <w:pPr>
        <w:ind w:firstLine="560" w:firstLineChars="200"/>
        <w:rPr>
          <w:rFonts w:ascii="宋体" w:hAnsi="宋体"/>
          <w:sz w:val="28"/>
          <w:szCs w:val="28"/>
        </w:rPr>
      </w:pPr>
      <w:r>
        <w:rPr>
          <w:rFonts w:hint="eastAsia" w:ascii="宋体" w:hAnsi="宋体"/>
          <w:sz w:val="28"/>
          <w:szCs w:val="28"/>
        </w:rPr>
        <w:t>8、县住房和城乡建设信息中心出预算经费25.39万元。其中人员支出25.39万元。</w:t>
      </w:r>
    </w:p>
    <w:p>
      <w:pPr>
        <w:ind w:firstLine="560" w:firstLineChars="200"/>
        <w:rPr>
          <w:rFonts w:ascii="宋体" w:hAnsi="宋体"/>
          <w:sz w:val="28"/>
          <w:szCs w:val="28"/>
        </w:rPr>
      </w:pPr>
      <w:r>
        <w:rPr>
          <w:rFonts w:hint="eastAsia" w:ascii="宋体" w:hAnsi="宋体"/>
          <w:sz w:val="28"/>
          <w:szCs w:val="28"/>
        </w:rPr>
        <w:t>9、县物业专项维修资金管理中心支出预算经费10万元。其中专项经费10万元。</w:t>
      </w:r>
    </w:p>
    <w:p>
      <w:pPr>
        <w:ind w:firstLine="560" w:firstLineChars="200"/>
        <w:rPr>
          <w:rFonts w:ascii="宋体" w:hAnsi="宋体"/>
          <w:sz w:val="28"/>
          <w:szCs w:val="28"/>
        </w:rPr>
      </w:pPr>
      <w:r>
        <w:rPr>
          <w:rFonts w:hint="eastAsia" w:ascii="宋体" w:hAnsi="宋体"/>
          <w:sz w:val="28"/>
          <w:szCs w:val="28"/>
        </w:rPr>
        <w:t>10、26个乡镇建管站财政预算安排人员经费1484.81万元，人员经费预算有缺口，医保、社保财政实行定额，未实行全额保障，且财政预算未安排绩效奖励工资、公积金、公用经费和专项经费等。2020年我局（办）为保乡镇站所正常运转和工作的开展，拨付经费1939.3万元。</w:t>
      </w:r>
    </w:p>
    <w:p>
      <w:pPr>
        <w:ind w:firstLine="560" w:firstLineChars="200"/>
        <w:rPr>
          <w:rFonts w:ascii="宋体" w:hAnsi="宋体"/>
          <w:sz w:val="28"/>
          <w:szCs w:val="28"/>
        </w:rPr>
      </w:pPr>
      <w:r>
        <w:rPr>
          <w:rFonts w:hint="eastAsia" w:ascii="宋体" w:hAnsi="宋体"/>
          <w:sz w:val="28"/>
          <w:szCs w:val="28"/>
        </w:rPr>
        <w:t>11、拨付全县乡镇小城镇建设等项目资金355万元。</w:t>
      </w:r>
    </w:p>
    <w:p>
      <w:pPr>
        <w:ind w:firstLine="560" w:firstLineChars="200"/>
        <w:rPr>
          <w:rFonts w:ascii="宋体" w:hAnsi="宋体"/>
          <w:sz w:val="28"/>
          <w:szCs w:val="28"/>
        </w:rPr>
      </w:pPr>
      <w:r>
        <w:rPr>
          <w:rFonts w:hint="eastAsia" w:ascii="宋体" w:hAnsi="宋体"/>
          <w:sz w:val="28"/>
          <w:szCs w:val="28"/>
        </w:rPr>
        <w:t>（三）、“三公”经费情况</w:t>
      </w:r>
    </w:p>
    <w:p>
      <w:pPr>
        <w:ind w:left="140" w:leftChars="67" w:firstLine="420" w:firstLineChars="150"/>
        <w:rPr>
          <w:rFonts w:ascii="宋体" w:hAnsi="宋体"/>
          <w:sz w:val="28"/>
          <w:szCs w:val="28"/>
        </w:rPr>
      </w:pPr>
      <w:r>
        <w:rPr>
          <w:rFonts w:hint="eastAsia" w:ascii="宋体" w:hAnsi="宋体"/>
          <w:sz w:val="28"/>
          <w:szCs w:val="28"/>
        </w:rPr>
        <w:t>2020年住建（人防）系统“三公”经费共11.88万元，其中公务接待费2.21万元，公务用车9.67万元，因公出国(境)费用0元。</w:t>
      </w:r>
    </w:p>
    <w:p>
      <w:pPr>
        <w:ind w:firstLine="560" w:firstLineChars="200"/>
        <w:rPr>
          <w:rFonts w:ascii="宋体" w:hAnsi="宋体"/>
          <w:sz w:val="28"/>
          <w:szCs w:val="28"/>
        </w:rPr>
      </w:pPr>
      <w:r>
        <w:rPr>
          <w:rFonts w:hint="eastAsia" w:ascii="宋体" w:hAnsi="宋体"/>
          <w:sz w:val="28"/>
          <w:szCs w:val="28"/>
        </w:rPr>
        <w:t>三、部门专项组织实施情况</w:t>
      </w:r>
    </w:p>
    <w:p>
      <w:pPr>
        <w:ind w:firstLine="560" w:firstLineChars="200"/>
        <w:rPr>
          <w:rFonts w:ascii="宋体" w:hAnsi="宋体"/>
          <w:sz w:val="28"/>
          <w:szCs w:val="28"/>
        </w:rPr>
      </w:pPr>
      <w:r>
        <w:rPr>
          <w:rFonts w:hint="eastAsia" w:ascii="宋体" w:hAnsi="宋体"/>
          <w:sz w:val="28"/>
          <w:szCs w:val="28"/>
        </w:rPr>
        <w:t>1、我局（办）对财务管理制度进一步进行了完善，规范了住建系统会计集中核算管理，并严格执行财务制度及有关法律法规的规定，特别是对专项资金的管理。在财务开支把关方面认真执行相关文件并严格财务开支审批程序，加强对差旅费、会议费、公务接待费、公务用车运行经费等各项开支的管理。重点保障机关运转及重点工作的需要，大力压缩一般性支出，提高财政资金使用效益。</w:t>
      </w:r>
    </w:p>
    <w:p>
      <w:pPr>
        <w:ind w:firstLine="560" w:firstLineChars="200"/>
        <w:rPr>
          <w:rFonts w:ascii="宋体" w:hAnsi="宋体"/>
          <w:sz w:val="28"/>
          <w:szCs w:val="28"/>
        </w:rPr>
      </w:pPr>
      <w:r>
        <w:rPr>
          <w:rFonts w:hint="eastAsia" w:ascii="宋体" w:hAnsi="宋体"/>
          <w:sz w:val="28"/>
          <w:szCs w:val="28"/>
        </w:rPr>
        <w:t>2、加强专项项目组织管理，严格落实项目负责人责任制、招投标制、合同管理制等有关制度，确保建设项目的质量。</w:t>
      </w:r>
    </w:p>
    <w:p>
      <w:pPr>
        <w:ind w:firstLine="560" w:firstLineChars="200"/>
        <w:rPr>
          <w:rFonts w:ascii="宋体" w:hAnsi="宋体"/>
          <w:sz w:val="28"/>
          <w:szCs w:val="28"/>
        </w:rPr>
      </w:pPr>
      <w:r>
        <w:rPr>
          <w:rFonts w:hint="eastAsia" w:ascii="宋体" w:hAnsi="宋体"/>
          <w:sz w:val="28"/>
          <w:szCs w:val="28"/>
        </w:rPr>
        <w:t>3、进一步加强固定资产管理。对全局的资产进行一次清查工作，对局机关及局属二级机构资产进行了较为全面的清查，加强国有资产管理。我局按照国有资产管理部门的要求，严格按照程序制度规范管理各项国有资产。</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四、部门整体支出绩效情况</w:t>
      </w:r>
    </w:p>
    <w:p>
      <w:pPr>
        <w:pStyle w:val="5"/>
        <w:spacing w:before="0" w:beforeAutospacing="0" w:after="0" w:afterAutospacing="0"/>
        <w:ind w:firstLine="420" w:firstLineChars="150"/>
        <w:jc w:val="both"/>
        <w:rPr>
          <w:rFonts w:cs="Times New Roman"/>
          <w:kern w:val="2"/>
          <w:sz w:val="28"/>
          <w:szCs w:val="28"/>
        </w:rPr>
      </w:pPr>
      <w:r>
        <w:rPr>
          <w:rFonts w:hint="eastAsia" w:cs="Times New Roman"/>
          <w:kern w:val="2"/>
          <w:sz w:val="28"/>
          <w:szCs w:val="28"/>
        </w:rPr>
        <w:t xml:space="preserve"> 在县委县政府的正确领导下，在财政及相关部门的大力支持下。进一步优化城镇空间发展格局，抓好新型城镇化建设工作；坚持推进新型城镇化引领城乡发展一体化，加强农村危房改造、集镇建设、改善农村人居环境；加快推进“两供两治”设施建设，抓好市政公共行业安全监管；促进房地产市场平稳健康发展，住宅产业化加快发展，房地产各行业扎实推进；着力抓好施工图审核相关工作；进一步加强建筑安全及燃气安全领域的监管；加强县城饮用水源地保护，出厂水质106项检测合格率达100%；进一步加强污水收集、处理等工作，确保污水处理基本达标；大力推进棚户区改造，提高公租房分配入住率，加强监督考核。理方面的行政执法工作；组织管理人民防空工程建设。</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1、县城基础设施提档升级。一是抓好供水设施建设。县自来水公司全年完成供水量900万吨，总水费收入1930万元，出厂水质106项检测合格率达100%。完成汇景大道等主干线管道敷设工程3处，投入600万元对厂区物防、技防工程进行提质改造。开展二次供水设施全面排查，推进二次供水统建统管工作。二是燃气设施建设稳步推进。全年累计投资4676万元用于燃气设施建设。新建天然气中压管网13.5公里，庭院管网 16.8公里，新增居民天然气用户4595户。“气化衡南”工程顺利实施，洪山至云集燃气管网建设完成扫线工作。8个乡镇共埋设管网10公里，云集至车江的主干管网实现用户通气。对240个燃气企业及网点开展安全检查，查处5家非法倒罐和1家非法储存燃气窝点，没收过期报废钢瓶269个、非法充装设备3台，责令2家气站停产，全县燃气市场进一步规范。三是市政公用设施管护不断加强。全年共投入资金597万元用于市政设施日常维护和专项维修，主要对粮油市场、滨江南路等15个地段市政设施进行提质改造。对云集大道、滨江路等主干道市政管网进行全面清理，有效解决了雨季易发生内涝的问题。四是污水处理厂正常运行。县城污水处理厂全年共处理污水总量355.79万吨，运行成本为0.25元∕吨。严格执行国家一级B水质排放标准，较好地完成了节能减排任务。</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2、城乡环境质量全面提升。一是全力推进城乡污水处理一体化PPP项目。项目总投资</w:t>
      </w:r>
      <w:r>
        <w:rPr>
          <w:rFonts w:cs="Times New Roman"/>
          <w:kern w:val="2"/>
          <w:sz w:val="28"/>
          <w:szCs w:val="28"/>
        </w:rPr>
        <w:t>5.35</w:t>
      </w:r>
      <w:r>
        <w:rPr>
          <w:rFonts w:hint="eastAsia" w:cs="Times New Roman"/>
          <w:kern w:val="2"/>
          <w:sz w:val="28"/>
          <w:szCs w:val="28"/>
        </w:rPr>
        <w:t>亿元，建设内容包括扩容提质改造县城江西污水处理厂、新建24处乡镇污水处理设施及配套管网。截至12月底，已有6个乡镇（街道）污水处理设施及配套管网工程全部建成，12处污水处理设施厂区完成土建部分，一体化设备陆续到场安装。除泉溪、向阳桥污水主管网预计明年3月底建成外，其余乡镇污水主管网全部建成，所有开挖道路均恢复原状。二是积极开展传统村落保护。完成宝盖镇宝盖村传统村落保护项目建设，完成投资300万元。启动栗江镇大渔村传统村落项目建设，目前已进入招标程序。三是完成鸡笼镇清花河第二期黑臭水体整治。主要包括铺设8.5公里城镇街道主污水管网，并将全镇污水分支管道与主管道联通，该项目已与鸡笼镇污水处理设施建设同步完工。</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3、抓好棚户区改造。一是加快推进2020年棚改任务。今年省厅下达我县棚户区改造任务182户，即三塘工业园棚改项目，已进行主体施工，完成开工任务目标。二是完成历年调整棚改欠账项目建设。主要包括冠市镇和一堂城镇棚改项目238户和洪山镇老街城镇棚改项目92户调整到栗江镇棚户区改（扩、翻）建项目，已全面开工建设；柞市镇东兴街城镇棚改项目180户调整到硫市镇振兴路商住楼棚改项目21户已完成,调整到向阳桥街道棚户区改造（改、扩、翻）项目159户已基本竣工。三是做好承接市区历年保障性安居工程欠账任务。我县承接市区历年城镇保障性安居工程欠账任务共计841套，共12个项目，其中10个项目主体已竣工。</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4、做好公租房管理。一是及时发放租赁补贴。2020年全县符合城镇低收入家庭条件领取住房租赁补贴的985户（省任务数为980户），共发放资金189.63 万元。二是严格落实分配制度。全县共有公租房7720套，严格按照程序分配，入住率达95%。三是开展专项整治。及时清退不符合条件的公租房租赁人员9人，追缴拖欠租金3.3万元，纠正并清退保障对象违规转租、转借公租房50套。</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5、完成农村危房改造任务。一是开展全覆盖安全鉴定工作。对全县四类重点对象及边缘户房屋开展全覆盖安全鉴定，共鉴定房屋25772户。二是超额完成年度危改任务。2020</w:t>
      </w:r>
      <w:r>
        <w:rPr>
          <w:rFonts w:cs="Times New Roman"/>
          <w:kern w:val="2"/>
          <w:sz w:val="28"/>
          <w:szCs w:val="28"/>
        </w:rPr>
        <w:t>年省住建厅</w:t>
      </w:r>
      <w:r>
        <w:rPr>
          <w:rFonts w:hint="eastAsia" w:cs="Times New Roman"/>
          <w:kern w:val="2"/>
          <w:sz w:val="28"/>
          <w:szCs w:val="28"/>
        </w:rPr>
        <w:t>下达</w:t>
      </w:r>
      <w:r>
        <w:rPr>
          <w:rFonts w:cs="Times New Roman"/>
          <w:kern w:val="2"/>
          <w:sz w:val="28"/>
          <w:szCs w:val="28"/>
        </w:rPr>
        <w:t>我县危房改造指标任务数60户，</w:t>
      </w:r>
      <w:r>
        <w:rPr>
          <w:rFonts w:hint="eastAsia" w:cs="Times New Roman"/>
          <w:kern w:val="2"/>
          <w:sz w:val="28"/>
          <w:szCs w:val="28"/>
        </w:rPr>
        <w:t>我县全年实际完成430户，确保应纳尽纳、应改尽改。三是强化脱贫质量“回头看”问题整改。对全县59户厨厕功能不齐和745户房屋透风漏雨问题进行整改，实现问题见底清零。四是启动农村房屋安全隐患排查整治。截至12月底，已完成全县6万余户农村房屋安全信息采集录入，其中用做经营的农村自建房已排查完毕。</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6、推进老旧小区改造。我县2019年度老旧小区改造任务3737户，楼栋205栋，建筑面积55.67万平方米，小区45个，实行打捆连片集中改造，分2个项目实施，采用EPC模式招标，45个项目已全部完工；2020年度老旧小区改造任务92户，楼栋2栋，建筑面积0.42万平方米，小区1个，即衡南县委党校住宅区，纳入省重点实事项目，已完成建设任务。此外，编制了《衡南县2020-2035年老旧小区改造规划》，并将三塘镇纳入旧改规划范围，为三塘镇老旧小区改造提供政策支持。</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系统部门整体支出绩效相关指标情况：①在职人员控制率为100%；② “三公经费”控制率为100%，严格控制“三公经费”支出，开源节流；③预算完成率达100%；④政府采购执行率100%；⑤在资金管理上，我局（办）制定了一系列的财务管理制度。中央八项规定</w:t>
      </w:r>
      <w:bookmarkStart w:id="0" w:name="_GoBack"/>
      <w:bookmarkEnd w:id="0"/>
      <w:r>
        <w:rPr>
          <w:rFonts w:hint="eastAsia" w:cs="Times New Roman"/>
          <w:kern w:val="2"/>
          <w:sz w:val="28"/>
          <w:szCs w:val="28"/>
        </w:rPr>
        <w:t>、“六项禁令”和反“四风”推行以来，我局（办）三公经费明显降低，且建立了机关廉政食堂，做到一般公务接待都安排在机关食堂，从简接待，杜绝铺张浪费。</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四、存在的问题及有关建议</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1、我局（办）系统人员差额、自费编制较多，财政预算未全额保障，人员经费缺口较大。请财政预算加大人员经费保障力度。</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2、我局（办）工作点多、面广、线长，城市建设与管理工作项目多且繁杂，经费需求十分大。目前财政预算安排经费严重不足，特别是公用经费财政预算不足，且非税收入基数任务大，资金筹措困难。恳请县财政将我住建（人防）系统所需经费全部纳入财政预算，以确保我县住建（人防）事业稳步推进。</w:t>
      </w:r>
    </w:p>
    <w:p>
      <w:pPr>
        <w:pStyle w:val="5"/>
        <w:spacing w:before="0" w:beforeAutospacing="0" w:after="0" w:afterAutospacing="0"/>
        <w:ind w:firstLine="560" w:firstLineChars="200"/>
        <w:jc w:val="both"/>
        <w:rPr>
          <w:rFonts w:cs="Times New Roman"/>
          <w:kern w:val="2"/>
          <w:sz w:val="28"/>
          <w:szCs w:val="28"/>
        </w:rPr>
      </w:pPr>
      <w:r>
        <w:rPr>
          <w:rFonts w:hint="eastAsia" w:cs="Times New Roman"/>
          <w:kern w:val="2"/>
          <w:sz w:val="28"/>
          <w:szCs w:val="28"/>
        </w:rPr>
        <w:t>3、在日常预算管理过程中，进一步加强预算支出的审核、跟踪及预算执行情况分析。</w:t>
      </w:r>
    </w:p>
    <w:p>
      <w:pPr>
        <w:pStyle w:val="5"/>
        <w:spacing w:before="0" w:beforeAutospacing="0" w:after="0" w:afterAutospacing="0"/>
        <w:ind w:firstLine="420" w:firstLineChars="150"/>
        <w:jc w:val="both"/>
        <w:rPr>
          <w:rFonts w:cs="Times New Roman"/>
          <w:kern w:val="2"/>
          <w:sz w:val="28"/>
          <w:szCs w:val="28"/>
        </w:rPr>
      </w:pPr>
    </w:p>
    <w:p>
      <w:pPr>
        <w:pStyle w:val="5"/>
        <w:spacing w:before="0" w:beforeAutospacing="0" w:after="0" w:afterAutospacing="0"/>
        <w:ind w:firstLine="420" w:firstLineChars="150"/>
        <w:jc w:val="both"/>
        <w:rPr>
          <w:rFonts w:cs="Times New Roman"/>
          <w:kern w:val="2"/>
          <w:sz w:val="28"/>
          <w:szCs w:val="28"/>
        </w:rPr>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ngLiU">
    <w:altName w:val="Microsoft JhengHei UI"/>
    <w:panose1 w:val="02010609000101010101"/>
    <w:charset w:val="88"/>
    <w:family w:val="modern"/>
    <w:pitch w:val="default"/>
    <w:sig w:usb0="00000000" w:usb1="00000000" w:usb2="00000010" w:usb3="00000000" w:csb0="001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CF06C0"/>
    <w:multiLevelType w:val="multilevel"/>
    <w:tmpl w:val="22CF06C0"/>
    <w:lvl w:ilvl="0" w:tentative="0">
      <w:start w:val="1"/>
      <w:numFmt w:val="japaneseCounting"/>
      <w:lvlText w:val="%1、"/>
      <w:lvlJc w:val="left"/>
      <w:pPr>
        <w:ind w:left="1192" w:hanging="720"/>
      </w:pPr>
      <w:rPr>
        <w:rFonts w:hint="default"/>
      </w:rPr>
    </w:lvl>
    <w:lvl w:ilvl="1" w:tentative="0">
      <w:start w:val="1"/>
      <w:numFmt w:val="lowerLetter"/>
      <w:lvlText w:val="%2)"/>
      <w:lvlJc w:val="left"/>
      <w:pPr>
        <w:ind w:left="1312" w:hanging="420"/>
      </w:pPr>
    </w:lvl>
    <w:lvl w:ilvl="2" w:tentative="0">
      <w:start w:val="1"/>
      <w:numFmt w:val="lowerRoman"/>
      <w:lvlText w:val="%3."/>
      <w:lvlJc w:val="right"/>
      <w:pPr>
        <w:ind w:left="1732" w:hanging="420"/>
      </w:pPr>
    </w:lvl>
    <w:lvl w:ilvl="3" w:tentative="0">
      <w:start w:val="1"/>
      <w:numFmt w:val="decimal"/>
      <w:lvlText w:val="%4."/>
      <w:lvlJc w:val="left"/>
      <w:pPr>
        <w:ind w:left="2152" w:hanging="420"/>
      </w:pPr>
    </w:lvl>
    <w:lvl w:ilvl="4" w:tentative="0">
      <w:start w:val="1"/>
      <w:numFmt w:val="lowerLetter"/>
      <w:lvlText w:val="%5)"/>
      <w:lvlJc w:val="left"/>
      <w:pPr>
        <w:ind w:left="2572" w:hanging="420"/>
      </w:pPr>
    </w:lvl>
    <w:lvl w:ilvl="5" w:tentative="0">
      <w:start w:val="1"/>
      <w:numFmt w:val="lowerRoman"/>
      <w:lvlText w:val="%6."/>
      <w:lvlJc w:val="right"/>
      <w:pPr>
        <w:ind w:left="2992" w:hanging="420"/>
      </w:pPr>
    </w:lvl>
    <w:lvl w:ilvl="6" w:tentative="0">
      <w:start w:val="1"/>
      <w:numFmt w:val="decimal"/>
      <w:lvlText w:val="%7."/>
      <w:lvlJc w:val="left"/>
      <w:pPr>
        <w:ind w:left="3412" w:hanging="420"/>
      </w:pPr>
    </w:lvl>
    <w:lvl w:ilvl="7" w:tentative="0">
      <w:start w:val="1"/>
      <w:numFmt w:val="lowerLetter"/>
      <w:lvlText w:val="%8)"/>
      <w:lvlJc w:val="left"/>
      <w:pPr>
        <w:ind w:left="3832" w:hanging="420"/>
      </w:pPr>
    </w:lvl>
    <w:lvl w:ilvl="8" w:tentative="0">
      <w:start w:val="1"/>
      <w:numFmt w:val="lowerRoman"/>
      <w:lvlText w:val="%9."/>
      <w:lvlJc w:val="right"/>
      <w:pPr>
        <w:ind w:left="4252"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06CCF"/>
    <w:rsid w:val="00012A42"/>
    <w:rsid w:val="0002229B"/>
    <w:rsid w:val="000273BD"/>
    <w:rsid w:val="000415B7"/>
    <w:rsid w:val="00045557"/>
    <w:rsid w:val="00061130"/>
    <w:rsid w:val="00062AD2"/>
    <w:rsid w:val="000658A3"/>
    <w:rsid w:val="00074155"/>
    <w:rsid w:val="0008650A"/>
    <w:rsid w:val="00087BFE"/>
    <w:rsid w:val="000A3F69"/>
    <w:rsid w:val="00152C6D"/>
    <w:rsid w:val="00162D39"/>
    <w:rsid w:val="00164CB3"/>
    <w:rsid w:val="00175116"/>
    <w:rsid w:val="001A67DB"/>
    <w:rsid w:val="001B4A80"/>
    <w:rsid w:val="001D0AD6"/>
    <w:rsid w:val="001D14FB"/>
    <w:rsid w:val="001D51E5"/>
    <w:rsid w:val="001F0C3B"/>
    <w:rsid w:val="002030BC"/>
    <w:rsid w:val="00214427"/>
    <w:rsid w:val="00230D3E"/>
    <w:rsid w:val="00234128"/>
    <w:rsid w:val="002403D1"/>
    <w:rsid w:val="002472A0"/>
    <w:rsid w:val="00247C04"/>
    <w:rsid w:val="00265724"/>
    <w:rsid w:val="0027426B"/>
    <w:rsid w:val="002767F5"/>
    <w:rsid w:val="002B4028"/>
    <w:rsid w:val="002D5796"/>
    <w:rsid w:val="002E7A33"/>
    <w:rsid w:val="0030213D"/>
    <w:rsid w:val="003479BD"/>
    <w:rsid w:val="0037324E"/>
    <w:rsid w:val="003768D5"/>
    <w:rsid w:val="003A6F10"/>
    <w:rsid w:val="003C3AA7"/>
    <w:rsid w:val="003D1734"/>
    <w:rsid w:val="003F7FAC"/>
    <w:rsid w:val="00450299"/>
    <w:rsid w:val="004506F9"/>
    <w:rsid w:val="004717A2"/>
    <w:rsid w:val="00491741"/>
    <w:rsid w:val="004F12F4"/>
    <w:rsid w:val="004F4B3B"/>
    <w:rsid w:val="00500E5F"/>
    <w:rsid w:val="00502D78"/>
    <w:rsid w:val="005122EF"/>
    <w:rsid w:val="00517C33"/>
    <w:rsid w:val="00523644"/>
    <w:rsid w:val="0054069E"/>
    <w:rsid w:val="00575E92"/>
    <w:rsid w:val="005767CC"/>
    <w:rsid w:val="00590D9F"/>
    <w:rsid w:val="00595D26"/>
    <w:rsid w:val="005A74E6"/>
    <w:rsid w:val="005B03A1"/>
    <w:rsid w:val="005B2330"/>
    <w:rsid w:val="005C6902"/>
    <w:rsid w:val="005D081A"/>
    <w:rsid w:val="005D1D64"/>
    <w:rsid w:val="005D30ED"/>
    <w:rsid w:val="005D4D55"/>
    <w:rsid w:val="005E2CFB"/>
    <w:rsid w:val="005E722B"/>
    <w:rsid w:val="0061233B"/>
    <w:rsid w:val="0062378F"/>
    <w:rsid w:val="00645183"/>
    <w:rsid w:val="0065190E"/>
    <w:rsid w:val="00651EEC"/>
    <w:rsid w:val="006538DC"/>
    <w:rsid w:val="006551F4"/>
    <w:rsid w:val="00662DF4"/>
    <w:rsid w:val="00666ED2"/>
    <w:rsid w:val="006A351B"/>
    <w:rsid w:val="006A63A9"/>
    <w:rsid w:val="006B0422"/>
    <w:rsid w:val="006C1B53"/>
    <w:rsid w:val="006D7730"/>
    <w:rsid w:val="006E0672"/>
    <w:rsid w:val="006E5284"/>
    <w:rsid w:val="006F3EB5"/>
    <w:rsid w:val="00702E34"/>
    <w:rsid w:val="00704395"/>
    <w:rsid w:val="00710E0D"/>
    <w:rsid w:val="00715993"/>
    <w:rsid w:val="00720FF1"/>
    <w:rsid w:val="00740312"/>
    <w:rsid w:val="00742D7E"/>
    <w:rsid w:val="00765523"/>
    <w:rsid w:val="007A75DB"/>
    <w:rsid w:val="007C603B"/>
    <w:rsid w:val="007C61C8"/>
    <w:rsid w:val="007D0D8A"/>
    <w:rsid w:val="007E6C0B"/>
    <w:rsid w:val="007E7FD1"/>
    <w:rsid w:val="00802687"/>
    <w:rsid w:val="00812ED5"/>
    <w:rsid w:val="008277D9"/>
    <w:rsid w:val="008371FA"/>
    <w:rsid w:val="00894517"/>
    <w:rsid w:val="008A24A8"/>
    <w:rsid w:val="008A3E8D"/>
    <w:rsid w:val="008B3EC2"/>
    <w:rsid w:val="008D35BA"/>
    <w:rsid w:val="008D3DCA"/>
    <w:rsid w:val="008E1570"/>
    <w:rsid w:val="008E6051"/>
    <w:rsid w:val="009237C4"/>
    <w:rsid w:val="00924073"/>
    <w:rsid w:val="00936AF1"/>
    <w:rsid w:val="00950252"/>
    <w:rsid w:val="00964A63"/>
    <w:rsid w:val="00967F5D"/>
    <w:rsid w:val="009A0F95"/>
    <w:rsid w:val="009B3ADF"/>
    <w:rsid w:val="009C3B52"/>
    <w:rsid w:val="00A146F8"/>
    <w:rsid w:val="00A42218"/>
    <w:rsid w:val="00A70249"/>
    <w:rsid w:val="00B018D4"/>
    <w:rsid w:val="00B13DC7"/>
    <w:rsid w:val="00B20FD3"/>
    <w:rsid w:val="00B33BEA"/>
    <w:rsid w:val="00B41273"/>
    <w:rsid w:val="00B57C9F"/>
    <w:rsid w:val="00B60024"/>
    <w:rsid w:val="00B845B3"/>
    <w:rsid w:val="00B85D8B"/>
    <w:rsid w:val="00BB6F2C"/>
    <w:rsid w:val="00BB7A25"/>
    <w:rsid w:val="00BC5553"/>
    <w:rsid w:val="00BE3139"/>
    <w:rsid w:val="00BE3674"/>
    <w:rsid w:val="00BF0ADE"/>
    <w:rsid w:val="00C06803"/>
    <w:rsid w:val="00C24A87"/>
    <w:rsid w:val="00C3049A"/>
    <w:rsid w:val="00C31B1E"/>
    <w:rsid w:val="00C53BEC"/>
    <w:rsid w:val="00C7501D"/>
    <w:rsid w:val="00C77645"/>
    <w:rsid w:val="00CE04C3"/>
    <w:rsid w:val="00CE76A0"/>
    <w:rsid w:val="00CF22C0"/>
    <w:rsid w:val="00D148C6"/>
    <w:rsid w:val="00D64D0A"/>
    <w:rsid w:val="00D814FC"/>
    <w:rsid w:val="00D87F70"/>
    <w:rsid w:val="00DD06FF"/>
    <w:rsid w:val="00DD5FE9"/>
    <w:rsid w:val="00E00C7A"/>
    <w:rsid w:val="00E12BAE"/>
    <w:rsid w:val="00E55B68"/>
    <w:rsid w:val="00E703A4"/>
    <w:rsid w:val="00E76CAE"/>
    <w:rsid w:val="00E84E86"/>
    <w:rsid w:val="00ED100E"/>
    <w:rsid w:val="00F74360"/>
    <w:rsid w:val="00F75F75"/>
    <w:rsid w:val="00FB2FD1"/>
    <w:rsid w:val="00FB462F"/>
    <w:rsid w:val="00FE16FA"/>
    <w:rsid w:val="00FE328A"/>
    <w:rsid w:val="00FF1558"/>
    <w:rsid w:val="0A733E75"/>
    <w:rsid w:val="2A2C24F5"/>
    <w:rsid w:val="403000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paragraph" w:customStyle="1" w:styleId="13">
    <w:name w:val="正文文本 (2)"/>
    <w:basedOn w:val="1"/>
    <w:uiPriority w:val="0"/>
    <w:pPr>
      <w:shd w:val="clear" w:color="auto" w:fill="FFFFFF"/>
      <w:spacing w:before="540" w:line="590" w:lineRule="exact"/>
      <w:jc w:val="distribute"/>
    </w:pPr>
    <w:rPr>
      <w:rFonts w:ascii="MingLiU" w:hAnsi="MingLiU" w:eastAsia="MingLiU" w:cs="宋体"/>
      <w:color w:val="000000"/>
      <w:spacing w:val="30"/>
      <w:kern w:val="0"/>
      <w:sz w:val="30"/>
      <w:szCs w:val="30"/>
    </w:rPr>
  </w:style>
  <w:style w:type="paragraph" w:customStyle="1" w:styleId="14">
    <w:name w:val="列出段落1"/>
    <w:basedOn w:val="1"/>
    <w:qFormat/>
    <w:uiPriority w:val="0"/>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C3F683-6D0C-4786-AE76-F44297F090D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2466</Words>
  <Characters>14057</Characters>
  <Lines>117</Lines>
  <Paragraphs>32</Paragraphs>
  <TotalTime>2013</TotalTime>
  <ScaleCrop>false</ScaleCrop>
  <LinksUpToDate>false</LinksUpToDate>
  <CharactersWithSpaces>16491</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茜茜</cp:lastModifiedBy>
  <cp:lastPrinted>2020-09-29T09:43:00Z</cp:lastPrinted>
  <dcterms:modified xsi:type="dcterms:W3CDTF">2023-09-18T03:46:43Z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