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theme="majorEastAsia"/>
          <w:b/>
          <w:bCs/>
          <w:kern w:val="0"/>
          <w:sz w:val="44"/>
          <w:szCs w:val="44"/>
        </w:rPr>
      </w:pPr>
      <w:bookmarkStart w:id="0" w:name="_GoBack"/>
      <w:bookmarkEnd w:id="0"/>
      <w:r>
        <w:rPr>
          <w:rFonts w:hint="eastAsia" w:ascii="宋体" w:hAnsi="宋体" w:eastAsia="宋体" w:cstheme="majorEastAsia"/>
          <w:b/>
          <w:bCs/>
          <w:kern w:val="0"/>
          <w:sz w:val="44"/>
          <w:szCs w:val="44"/>
        </w:rPr>
        <w:t>衡南县市场监督管理局</w:t>
      </w:r>
    </w:p>
    <w:p>
      <w:pPr>
        <w:jc w:val="center"/>
        <w:rPr>
          <w:rFonts w:ascii="宋体" w:hAnsi="宋体" w:eastAsia="宋体" w:cstheme="majorEastAsia"/>
          <w:b/>
          <w:bCs/>
          <w:kern w:val="0"/>
          <w:sz w:val="44"/>
          <w:szCs w:val="44"/>
        </w:rPr>
      </w:pPr>
      <w:r>
        <w:rPr>
          <w:rFonts w:hint="eastAsia" w:ascii="宋体" w:hAnsi="宋体" w:eastAsia="宋体" w:cstheme="majorEastAsia"/>
          <w:b/>
          <w:bCs/>
          <w:kern w:val="0"/>
          <w:sz w:val="44"/>
          <w:szCs w:val="44"/>
        </w:rPr>
        <w:t>部门整体支出绩效自评报告</w:t>
      </w:r>
    </w:p>
    <w:p/>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为全面贯彻落实《中共湖南省委办公厅 湖南省人民政府办公厅关于全面实施预算绩效管理的实施意见》（湘办发〔2019〕10号）、财政部《项目支出绩效评价管理办法》（财预〔2020〕10号）、《湖南省预算支出绩效评价管理办法》（湘财绩〔2020〕7号）等文件精神，我局就2022年度财政资金部门整体支出的使用情况开展绩效评价，自评报告如下：</w:t>
      </w:r>
    </w:p>
    <w:p>
      <w:pPr>
        <w:numPr>
          <w:ilvl w:val="0"/>
          <w:numId w:val="1"/>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部门基本情况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1.部门职责</w:t>
      </w:r>
    </w:p>
    <w:p>
      <w:pPr>
        <w:numPr>
          <w:ilvl w:val="0"/>
          <w:numId w:val="0"/>
        </w:numPr>
        <w:ind w:firstLine="640"/>
        <w:rPr>
          <w:rFonts w:hint="eastAsia" w:ascii="仿宋" w:hAnsi="仿宋" w:eastAsia="仿宋" w:cs="仿宋"/>
          <w:sz w:val="32"/>
          <w:szCs w:val="32"/>
        </w:rPr>
      </w:pPr>
      <w:r>
        <w:rPr>
          <w:rFonts w:hint="eastAsia" w:ascii="仿宋" w:hAnsi="仿宋" w:eastAsia="仿宋" w:cs="仿宋"/>
          <w:sz w:val="32"/>
          <w:szCs w:val="32"/>
          <w:lang w:val="en-US" w:eastAsia="zh-CN"/>
        </w:rPr>
        <w:t>我</w:t>
      </w:r>
      <w:r>
        <w:rPr>
          <w:rFonts w:hint="eastAsia" w:ascii="仿宋" w:hAnsi="仿宋" w:eastAsia="仿宋" w:cs="仿宋"/>
          <w:sz w:val="32"/>
          <w:szCs w:val="32"/>
        </w:rPr>
        <w:t>局贯彻落实党中央关于市场监督管理工作的方针政策和决策部署,全面贯彻落实省委、市委</w:t>
      </w:r>
      <w:r>
        <w:rPr>
          <w:rFonts w:hint="eastAsia" w:ascii="仿宋" w:hAnsi="仿宋" w:eastAsia="仿宋" w:cs="仿宋"/>
          <w:sz w:val="32"/>
          <w:szCs w:val="32"/>
          <w:lang w:eastAsia="zh-CN"/>
        </w:rPr>
        <w:t>、</w:t>
      </w:r>
      <w:r>
        <w:rPr>
          <w:rFonts w:hint="eastAsia" w:ascii="仿宋" w:hAnsi="仿宋" w:eastAsia="仿宋" w:cs="仿宋"/>
          <w:sz w:val="32"/>
          <w:szCs w:val="32"/>
        </w:rPr>
        <w:t>县委关于市场监督管理工作的部署要求,在履行职责过程中坚持和加强党对市场监督管理工作的集中统一领导。</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2.机构设置情况</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全局共设内设办公室、政策法规股等机构</w:t>
      </w:r>
      <w:r>
        <w:rPr>
          <w:rFonts w:ascii="仿宋_GB2312" w:hAnsi="仿宋_GB2312" w:eastAsia="仿宋_GB2312" w:cs="仿宋_GB2312"/>
          <w:kern w:val="0"/>
          <w:sz w:val="32"/>
          <w:szCs w:val="32"/>
        </w:rPr>
        <w:t>26个，派出机构（乡镇监管所）13个</w:t>
      </w:r>
      <w:r>
        <w:rPr>
          <w:rFonts w:hint="eastAsia" w:ascii="仿宋_GB2312" w:hAnsi="仿宋_GB2312" w:eastAsia="仿宋_GB2312" w:cs="仿宋_GB2312"/>
          <w:kern w:val="0"/>
          <w:sz w:val="32"/>
          <w:szCs w:val="32"/>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3.</w:t>
      </w:r>
      <w:r>
        <w:rPr>
          <w:rFonts w:hint="eastAsia" w:ascii="仿宋" w:hAnsi="仿宋" w:eastAsia="仿宋" w:cs="仿宋"/>
          <w:sz w:val="32"/>
          <w:szCs w:val="32"/>
          <w:lang w:val="en-US" w:eastAsia="zh-CN"/>
        </w:rPr>
        <w:t>人员编制情况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在职干部职工242人，其中,行政编制107人，全额事业编99人，差额编制18人，自费编制18人。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二、部门整体支出管理及使用情况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1.部门预算收支情况（含公共财政拨款、政府性基金拨款、纳入专户管理的非税收入拨款及其他资金）及部门决算情况。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2022年度年初经费预算安排数为3061.81万元，其中：基本支出2797.8万元，项目支出264万元，年中追加财政预算1418.13万元，其中包括追加人员经费、公用经费等基本支出498.98万元，追加知识产权工作资金、食品抽检等项目经费919.16万元。</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2.支出分类情况</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部门整体支出分为基本支出和项目支出两部分，其中基本支出3296.78万元，项目支出1183.16万元，2022年支出决算数合计4479.94万元。具体分类情况如下：</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年基本支出主要用于人员经费和日常公用经费。其中：工资福利支出</w:t>
      </w:r>
      <w:r>
        <w:rPr>
          <w:rFonts w:hint="eastAsia" w:ascii="仿宋" w:hAnsi="仿宋" w:eastAsia="仿宋" w:cs="仿宋"/>
          <w:sz w:val="32"/>
          <w:szCs w:val="32"/>
          <w:lang w:val="en-US" w:eastAsia="zh-CN"/>
        </w:rPr>
        <w:t>3050.98</w:t>
      </w:r>
      <w:r>
        <w:rPr>
          <w:rFonts w:hint="default" w:ascii="仿宋" w:hAnsi="仿宋" w:eastAsia="仿宋" w:cs="仿宋"/>
          <w:sz w:val="32"/>
          <w:szCs w:val="32"/>
          <w:lang w:val="en-US" w:eastAsia="zh-CN"/>
        </w:rPr>
        <w:t>万元，商品和服务支出</w:t>
      </w:r>
      <w:r>
        <w:rPr>
          <w:rFonts w:hint="eastAsia" w:ascii="仿宋" w:hAnsi="仿宋" w:eastAsia="仿宋" w:cs="仿宋"/>
          <w:sz w:val="32"/>
          <w:szCs w:val="32"/>
          <w:lang w:val="en-US" w:eastAsia="zh-CN"/>
        </w:rPr>
        <w:t>118.66</w:t>
      </w:r>
      <w:r>
        <w:rPr>
          <w:rFonts w:hint="default" w:ascii="仿宋" w:hAnsi="仿宋" w:eastAsia="仿宋" w:cs="仿宋"/>
          <w:sz w:val="32"/>
          <w:szCs w:val="32"/>
          <w:lang w:val="en-US" w:eastAsia="zh-CN"/>
        </w:rPr>
        <w:t>万元，对个人和家庭补助</w:t>
      </w:r>
      <w:r>
        <w:rPr>
          <w:rFonts w:hint="eastAsia" w:ascii="仿宋" w:hAnsi="仿宋" w:eastAsia="仿宋" w:cs="仿宋"/>
          <w:sz w:val="32"/>
          <w:szCs w:val="32"/>
          <w:lang w:val="en-US" w:eastAsia="zh-CN"/>
        </w:rPr>
        <w:t>127.15</w:t>
      </w:r>
      <w:r>
        <w:rPr>
          <w:rFonts w:hint="default" w:ascii="仿宋" w:hAnsi="仿宋" w:eastAsia="仿宋" w:cs="仿宋"/>
          <w:sz w:val="32"/>
          <w:szCs w:val="32"/>
          <w:lang w:val="en-US" w:eastAsia="zh-CN"/>
        </w:rPr>
        <w:t>万元。</w:t>
      </w:r>
    </w:p>
    <w:p>
      <w:pPr>
        <w:numPr>
          <w:ilvl w:val="0"/>
          <w:numId w:val="0"/>
        </w:numPr>
        <w:ind w:firstLine="64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202</w:t>
      </w: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年项目支出</w:t>
      </w:r>
      <w:r>
        <w:rPr>
          <w:rFonts w:hint="eastAsia" w:ascii="仿宋" w:hAnsi="仿宋" w:eastAsia="仿宋" w:cs="仿宋"/>
          <w:sz w:val="32"/>
          <w:szCs w:val="32"/>
          <w:lang w:val="en-US" w:eastAsia="zh-CN"/>
        </w:rPr>
        <w:t>1183.16</w:t>
      </w:r>
      <w:r>
        <w:rPr>
          <w:rFonts w:hint="default" w:ascii="仿宋" w:hAnsi="仿宋" w:eastAsia="仿宋" w:cs="仿宋"/>
          <w:sz w:val="32"/>
          <w:szCs w:val="32"/>
          <w:lang w:val="en-US" w:eastAsia="zh-CN"/>
        </w:rPr>
        <w:t>万元，其中市场监督管理</w:t>
      </w:r>
      <w:r>
        <w:rPr>
          <w:rFonts w:hint="eastAsia" w:ascii="仿宋" w:hAnsi="仿宋" w:eastAsia="仿宋" w:cs="仿宋"/>
          <w:sz w:val="32"/>
          <w:szCs w:val="32"/>
          <w:lang w:val="en-US" w:eastAsia="zh-CN"/>
        </w:rPr>
        <w:t>事务</w:t>
      </w:r>
      <w:r>
        <w:rPr>
          <w:rFonts w:hint="default" w:ascii="仿宋" w:hAnsi="仿宋" w:eastAsia="仿宋" w:cs="仿宋"/>
          <w:sz w:val="32"/>
          <w:szCs w:val="32"/>
          <w:lang w:val="en-US" w:eastAsia="zh-CN"/>
        </w:rPr>
        <w:t>经费</w:t>
      </w:r>
      <w:r>
        <w:rPr>
          <w:rFonts w:hint="eastAsia" w:ascii="仿宋" w:hAnsi="仿宋" w:eastAsia="仿宋" w:cs="仿宋"/>
          <w:sz w:val="32"/>
          <w:szCs w:val="32"/>
          <w:lang w:val="en-US" w:eastAsia="zh-CN"/>
        </w:rPr>
        <w:t>合计408.68</w:t>
      </w:r>
      <w:r>
        <w:rPr>
          <w:rFonts w:hint="default" w:ascii="仿宋" w:hAnsi="仿宋" w:eastAsia="仿宋" w:cs="仿宋"/>
          <w:sz w:val="32"/>
          <w:szCs w:val="32"/>
          <w:lang w:val="en-US" w:eastAsia="zh-CN"/>
        </w:rPr>
        <w:t>万元,系保障专利培育费、特种设备安全监管、省级市场监管专项、价格监督与反垄断</w:t>
      </w:r>
      <w:r>
        <w:rPr>
          <w:rFonts w:hint="eastAsia" w:ascii="仿宋" w:hAnsi="仿宋" w:eastAsia="仿宋" w:cs="仿宋"/>
          <w:sz w:val="32"/>
          <w:szCs w:val="32"/>
          <w:lang w:val="en-US" w:eastAsia="zh-CN"/>
        </w:rPr>
        <w:t>、食品安全抽检</w:t>
      </w:r>
      <w:r>
        <w:rPr>
          <w:rFonts w:hint="default" w:ascii="仿宋" w:hAnsi="仿宋" w:eastAsia="仿宋" w:cs="仿宋"/>
          <w:sz w:val="32"/>
          <w:szCs w:val="32"/>
          <w:lang w:val="en-US" w:eastAsia="zh-CN"/>
        </w:rPr>
        <w:t>等支出；</w:t>
      </w:r>
      <w:r>
        <w:rPr>
          <w:rFonts w:hint="eastAsia" w:ascii="仿宋" w:hAnsi="仿宋" w:eastAsia="仿宋" w:cs="仿宋"/>
          <w:sz w:val="32"/>
          <w:szCs w:val="32"/>
          <w:lang w:val="en-US" w:eastAsia="zh-CN"/>
        </w:rPr>
        <w:t>知识产权工作资金93.92万元</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上年结转680.56万元</w:t>
      </w:r>
      <w:r>
        <w:rPr>
          <w:rFonts w:hint="default" w:ascii="仿宋" w:hAnsi="仿宋" w:eastAsia="仿宋" w:cs="仿宋"/>
          <w:sz w:val="32"/>
          <w:szCs w:val="32"/>
          <w:lang w:val="en-US" w:eastAsia="zh-CN"/>
        </w:rPr>
        <w:t>。</w:t>
      </w:r>
    </w:p>
    <w:p>
      <w:pPr>
        <w:numPr>
          <w:ilvl w:val="0"/>
          <w:numId w:val="0"/>
        </w:num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3.“三公”经费情况</w:t>
      </w:r>
    </w:p>
    <w:p>
      <w:pPr>
        <w:numPr>
          <w:ilvl w:val="0"/>
          <w:numId w:val="0"/>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2022年“三公”经费开支52.79万元,其中,公务接待费2.99万元,公务用车购置及运行维护费49.8万元，无因公出国出境开支。</w:t>
      </w:r>
    </w:p>
    <w:p>
      <w:p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三、部门整体支出绩效评价情况</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严格按照国家财经法律法规和制度的要求，围绕县委、县政府中心工作，积极履职，强化管理，较好的完成了年度工作目标，加强了对各项资金的绩效管理。通过内部控制领导小组，严格遵循专款专用、独立核算的管理原则。专项项目的申报严格按照县财政资金管理的要求进行，专项资金财政拨款到位后及时进行了项目开支和资金投入。</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2022年我局通过加强预算收支管理，不断建立健全内部管理制度，梳理内部管理流程，部门整体支出管理情况得到提升。根据2022年部门整体支出状况的概述和分析，部门整体支出绩效情况如下：</w:t>
      </w:r>
    </w:p>
    <w:p>
      <w:pPr>
        <w:numPr>
          <w:ilvl w:val="0"/>
          <w:numId w:val="2"/>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财政供养人员控制在预算编制以内，编制内在职人员控制率为100%；</w:t>
      </w:r>
    </w:p>
    <w:p>
      <w:pPr>
        <w:numPr>
          <w:ilvl w:val="0"/>
          <w:numId w:val="2"/>
        </w:numPr>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“三公”经费变动率小于0，控制率为100%，主要因为我局在202</w:t>
      </w: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年按照规定严格</w:t>
      </w:r>
      <w:r>
        <w:rPr>
          <w:rFonts w:hint="eastAsia" w:ascii="仿宋" w:hAnsi="仿宋" w:eastAsia="仿宋" w:cs="仿宋"/>
          <w:sz w:val="32"/>
          <w:szCs w:val="32"/>
          <w:lang w:val="en-US" w:eastAsia="zh-CN"/>
        </w:rPr>
        <w:t>按照三公经费预算开支，</w:t>
      </w:r>
      <w:r>
        <w:rPr>
          <w:rFonts w:hint="default" w:ascii="仿宋" w:hAnsi="仿宋" w:eastAsia="仿宋" w:cs="仿宋"/>
          <w:sz w:val="32"/>
          <w:szCs w:val="32"/>
          <w:lang w:val="en-US" w:eastAsia="zh-CN"/>
        </w:rPr>
        <w:t>招待费支出</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公务用车运行</w:t>
      </w:r>
      <w:r>
        <w:rPr>
          <w:rFonts w:hint="eastAsia" w:ascii="仿宋" w:hAnsi="仿宋" w:eastAsia="仿宋" w:cs="仿宋"/>
          <w:sz w:val="32"/>
          <w:szCs w:val="32"/>
          <w:lang w:val="en-US" w:eastAsia="zh-CN"/>
        </w:rPr>
        <w:t>购置</w:t>
      </w:r>
      <w:r>
        <w:rPr>
          <w:rFonts w:hint="default" w:ascii="仿宋" w:hAnsi="仿宋" w:eastAsia="仿宋" w:cs="仿宋"/>
          <w:sz w:val="32"/>
          <w:szCs w:val="32"/>
          <w:lang w:val="en-US" w:eastAsia="zh-CN"/>
        </w:rPr>
        <w:t>维护费开支</w:t>
      </w:r>
      <w:r>
        <w:rPr>
          <w:rFonts w:hint="eastAsia" w:ascii="仿宋" w:hAnsi="仿宋" w:eastAsia="仿宋" w:cs="仿宋"/>
          <w:sz w:val="32"/>
          <w:szCs w:val="32"/>
          <w:lang w:val="en-US" w:eastAsia="zh-CN"/>
        </w:rPr>
        <w:t>都</w:t>
      </w:r>
      <w:r>
        <w:rPr>
          <w:rFonts w:hint="default" w:ascii="仿宋" w:hAnsi="仿宋" w:eastAsia="仿宋" w:cs="仿宋"/>
          <w:sz w:val="32"/>
          <w:szCs w:val="32"/>
          <w:lang w:val="en-US" w:eastAsia="zh-CN"/>
        </w:rPr>
        <w:t>低于预算控制数</w:t>
      </w:r>
      <w:r>
        <w:rPr>
          <w:rFonts w:hint="eastAsia" w:ascii="仿宋" w:hAnsi="仿宋" w:eastAsia="仿宋" w:cs="仿宋"/>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rPr>
        <w:t>预算完成率：</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lang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预算调整率：132.31%。2022年预算调整数</w:t>
      </w:r>
      <w:r>
        <w:rPr>
          <w:rFonts w:hint="eastAsia" w:ascii="仿宋" w:hAnsi="仿宋" w:eastAsia="仿宋" w:cs="仿宋"/>
          <w:sz w:val="32"/>
          <w:szCs w:val="32"/>
          <w:lang w:val="en-US" w:eastAsia="zh-CN"/>
        </w:rPr>
        <w:t>4479.94</w:t>
      </w:r>
      <w:r>
        <w:rPr>
          <w:rFonts w:hint="eastAsia" w:ascii="仿宋_GB2312" w:hAnsi="仿宋_GB2312" w:eastAsia="仿宋_GB2312" w:cs="仿宋_GB2312"/>
          <w:kern w:val="0"/>
          <w:sz w:val="32"/>
          <w:szCs w:val="32"/>
          <w:lang w:val="en-US" w:eastAsia="zh-CN"/>
        </w:rPr>
        <w:t>万元，2022年决算数</w:t>
      </w:r>
      <w:r>
        <w:rPr>
          <w:rFonts w:hint="eastAsia" w:ascii="仿宋" w:hAnsi="仿宋" w:eastAsia="仿宋" w:cs="仿宋"/>
          <w:sz w:val="32"/>
          <w:szCs w:val="32"/>
          <w:lang w:val="en-US" w:eastAsia="zh-CN"/>
        </w:rPr>
        <w:t>4479.94</w:t>
      </w:r>
      <w:r>
        <w:rPr>
          <w:rFonts w:hint="eastAsia" w:ascii="仿宋_GB2312" w:hAnsi="仿宋_GB2312" w:eastAsia="仿宋_GB2312" w:cs="仿宋_GB2312"/>
          <w:kern w:val="0"/>
          <w:sz w:val="32"/>
          <w:szCs w:val="32"/>
          <w:lang w:val="en-US" w:eastAsia="zh-CN"/>
        </w:rPr>
        <w:t>万元。年初预算3061.80万元，决算数为全年预算的146.32%，主要原因是：</w:t>
      </w:r>
      <w:r>
        <w:rPr>
          <w:rFonts w:ascii="仿宋_GB2312" w:hAnsi="仿宋_GB2312" w:eastAsia="仿宋_GB2312" w:cs="仿宋_GB2312"/>
          <w:kern w:val="0"/>
          <w:sz w:val="32"/>
          <w:szCs w:val="32"/>
        </w:rPr>
        <w:t>1、政策性追加人员经费</w:t>
      </w:r>
      <w:r>
        <w:rPr>
          <w:rFonts w:hint="eastAsia" w:ascii="仿宋_GB2312" w:hAnsi="仿宋_GB2312" w:eastAsia="仿宋_GB2312" w:cs="仿宋_GB2312"/>
          <w:kern w:val="0"/>
          <w:sz w:val="32"/>
          <w:szCs w:val="32"/>
          <w:lang w:eastAsia="zh-CN"/>
        </w:rPr>
        <w:t>。</w:t>
      </w:r>
      <w:r>
        <w:rPr>
          <w:rFonts w:ascii="仿宋_GB2312" w:hAnsi="仿宋_GB2312" w:eastAsia="仿宋_GB2312" w:cs="仿宋_GB2312"/>
          <w:kern w:val="0"/>
          <w:sz w:val="32"/>
          <w:szCs w:val="32"/>
        </w:rPr>
        <w:t>2、</w:t>
      </w:r>
      <w:r>
        <w:rPr>
          <w:rFonts w:hint="eastAsia" w:ascii="仿宋_GB2312" w:hAnsi="仿宋_GB2312" w:eastAsia="仿宋_GB2312" w:cs="仿宋_GB2312"/>
          <w:kern w:val="0"/>
          <w:sz w:val="32"/>
          <w:szCs w:val="32"/>
        </w:rPr>
        <w:t>我局2</w:t>
      </w:r>
      <w:r>
        <w:rPr>
          <w:rFonts w:ascii="仿宋_GB2312" w:hAnsi="仿宋_GB2312" w:eastAsia="仿宋_GB2312" w:cs="仿宋_GB2312"/>
          <w:kern w:val="0"/>
          <w:sz w:val="32"/>
          <w:szCs w:val="32"/>
        </w:rPr>
        <w:t>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知识产权资金</w:t>
      </w:r>
      <w:r>
        <w:rPr>
          <w:rFonts w:hint="eastAsia" w:ascii="仿宋" w:hAnsi="仿宋" w:eastAsia="仿宋" w:cs="仿宋"/>
          <w:sz w:val="32"/>
          <w:szCs w:val="32"/>
          <w:lang w:val="en-US" w:eastAsia="zh-CN"/>
        </w:rPr>
        <w:t>及食品安全抽检</w:t>
      </w:r>
      <w:r>
        <w:rPr>
          <w:rFonts w:hint="eastAsia" w:ascii="仿宋_GB2312" w:hAnsi="仿宋_GB2312" w:eastAsia="仿宋_GB2312" w:cs="仿宋_GB2312"/>
          <w:kern w:val="0"/>
          <w:sz w:val="32"/>
          <w:szCs w:val="32"/>
        </w:rPr>
        <w:t>，本级财政追加必要项目资金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3、市局追加</w:t>
      </w:r>
      <w:r>
        <w:rPr>
          <w:rFonts w:hint="eastAsia" w:ascii="仿宋_GB2312" w:hAnsi="仿宋_GB2312" w:eastAsia="仿宋_GB2312" w:cs="仿宋_GB2312"/>
          <w:kern w:val="0"/>
          <w:sz w:val="32"/>
          <w:szCs w:val="32"/>
          <w:lang w:val="en-US" w:eastAsia="zh-CN"/>
        </w:rPr>
        <w:t>市场监管及食品监管</w:t>
      </w:r>
      <w:r>
        <w:rPr>
          <w:rFonts w:hint="eastAsia" w:ascii="仿宋_GB2312" w:hAnsi="仿宋_GB2312" w:eastAsia="仿宋_GB2312" w:cs="仿宋_GB2312"/>
          <w:kern w:val="0"/>
          <w:sz w:val="32"/>
          <w:szCs w:val="32"/>
        </w:rPr>
        <w:t>项目资金</w:t>
      </w:r>
      <w:r>
        <w:rPr>
          <w:rFonts w:hint="eastAsia" w:ascii="仿宋_GB2312" w:hAnsi="仿宋_GB2312" w:eastAsia="仿宋_GB2312" w:cs="仿宋_GB2312"/>
          <w:kern w:val="0"/>
          <w:sz w:val="32"/>
          <w:szCs w:val="32"/>
          <w:lang w:val="en-US" w:eastAsia="zh-CN"/>
        </w:rPr>
        <w:t>。</w:t>
      </w:r>
    </w:p>
    <w:p>
      <w:pPr>
        <w:numPr>
          <w:ilvl w:val="0"/>
          <w:numId w:val="2"/>
        </w:numPr>
        <w:ind w:firstLine="640" w:firstLineChars="200"/>
        <w:rPr>
          <w:rFonts w:hint="default"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政府采购执行率100%；</w:t>
      </w:r>
    </w:p>
    <w:p>
      <w:pPr>
        <w:numPr>
          <w:ilvl w:val="0"/>
          <w:numId w:val="2"/>
        </w:numPr>
        <w:ind w:firstLine="640" w:firstLineChars="200"/>
        <w:rPr>
          <w:rFonts w:hint="eastAsia" w:ascii="仿宋" w:hAnsi="仿宋" w:eastAsia="仿宋" w:cs="仿宋"/>
          <w:sz w:val="32"/>
          <w:szCs w:val="32"/>
          <w:lang w:val="en-US" w:eastAsia="zh-CN"/>
        </w:rPr>
      </w:pPr>
      <w:r>
        <w:rPr>
          <w:rFonts w:hint="eastAsia" w:ascii="仿宋_GB2312" w:hAnsi="仿宋_GB2312" w:eastAsia="仿宋_GB2312" w:cs="仿宋_GB2312"/>
          <w:kern w:val="0"/>
          <w:sz w:val="32"/>
          <w:szCs w:val="32"/>
          <w:lang w:val="en-US" w:eastAsia="zh-CN"/>
        </w:rPr>
        <w:t>在资金管理上，我局制定了一系列的财务管理制度。</w:t>
      </w:r>
    </w:p>
    <w:p>
      <w:pPr>
        <w:numPr>
          <w:ilvl w:val="0"/>
          <w:numId w:val="3"/>
        </w:num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存在的主要问题</w:t>
      </w:r>
    </w:p>
    <w:p>
      <w:pPr>
        <w:numPr>
          <w:ilvl w:val="0"/>
          <w:numId w:val="0"/>
        </w:numPr>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 xml:space="preserve">  1、预算收支方面。年初预算与部门决算仍存在偏差，在预算执行过程中，由于各种客观原因存在指标之间调剂使用的现象，预算编制、下达需要更加科学、及时。同时，内部控制制度还待于进一步完善，行政运行成本控制方面还有一定压缩空间。</w:t>
      </w:r>
    </w:p>
    <w:p>
      <w:pPr>
        <w:numPr>
          <w:ilvl w:val="0"/>
          <w:numId w:val="0"/>
        </w:numPr>
        <w:ind w:firstLine="640" w:firstLineChars="2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2、结转结余方面。预算管理方面，制度执行总体较为有效，仍需进一步强化；资金使用管理需进一步加强。</w:t>
      </w:r>
    </w:p>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五、改进措施及建议</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1、加强财务预算管理，严格执行财务管理制度，充分发挥监督作用，严格做好预算控制，精打细算执行资金管理。</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2、严格财务支出审批。抓好审核和审批两个环节，在审核审批中严把支出关，切实维护财务</w:t>
      </w:r>
      <w:r>
        <w:rPr>
          <w:rFonts w:hint="eastAsia" w:ascii="仿宋" w:hAnsi="仿宋" w:eastAsia="仿宋" w:cs="仿宋"/>
          <w:b w:val="0"/>
          <w:bCs w:val="0"/>
          <w:sz w:val="32"/>
          <w:szCs w:val="32"/>
          <w:lang w:val="en-US" w:eastAsia="zh-CN"/>
        </w:rPr>
        <w:t>制度</w:t>
      </w:r>
      <w:r>
        <w:rPr>
          <w:rFonts w:hint="default" w:ascii="仿宋" w:hAnsi="仿宋" w:eastAsia="仿宋" w:cs="仿宋"/>
          <w:b w:val="0"/>
          <w:bCs w:val="0"/>
          <w:sz w:val="32"/>
          <w:szCs w:val="32"/>
          <w:lang w:val="en-US" w:eastAsia="zh-CN"/>
        </w:rPr>
        <w:t>的严肃性。</w:t>
      </w:r>
    </w:p>
    <w:p>
      <w:pPr>
        <w:ind w:firstLine="640" w:firstLineChars="200"/>
        <w:rPr>
          <w:rFonts w:hint="default" w:ascii="仿宋" w:hAnsi="仿宋" w:eastAsia="仿宋" w:cs="仿宋"/>
          <w:b w:val="0"/>
          <w:bCs w:val="0"/>
          <w:sz w:val="32"/>
          <w:szCs w:val="32"/>
          <w:lang w:val="en-US" w:eastAsia="zh-CN"/>
        </w:rPr>
      </w:pPr>
      <w:r>
        <w:rPr>
          <w:rFonts w:hint="default" w:ascii="仿宋" w:hAnsi="仿宋" w:eastAsia="仿宋" w:cs="仿宋"/>
          <w:b w:val="0"/>
          <w:bCs w:val="0"/>
          <w:sz w:val="32"/>
          <w:szCs w:val="32"/>
          <w:lang w:val="en-US" w:eastAsia="zh-CN"/>
        </w:rPr>
        <w:t>3、强化经费管理。重点加强公用经费管理，严格控制支出，降低行政运行成本。</w:t>
      </w:r>
    </w:p>
    <w:p>
      <w:pPr>
        <w:ind w:firstLine="640" w:firstLineChars="200"/>
        <w:rPr>
          <w:rFonts w:hint="default" w:ascii="仿宋" w:hAnsi="仿宋" w:eastAsia="仿宋" w:cs="仿宋"/>
          <w:b w:val="0"/>
          <w:bCs w:val="0"/>
          <w:sz w:val="32"/>
          <w:szCs w:val="32"/>
          <w:lang w:val="en-US" w:eastAsia="zh-CN"/>
        </w:rPr>
      </w:pPr>
    </w:p>
    <w:p>
      <w:pPr>
        <w:ind w:firstLine="640" w:firstLineChars="200"/>
        <w:jc w:val="righ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衡南县市场监督管理局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711FA"/>
    <w:multiLevelType w:val="singleLevel"/>
    <w:tmpl w:val="8C6711FA"/>
    <w:lvl w:ilvl="0" w:tentative="0">
      <w:start w:val="1"/>
      <w:numFmt w:val="chineseCounting"/>
      <w:suff w:val="nothing"/>
      <w:lvlText w:val="%1、"/>
      <w:lvlJc w:val="left"/>
      <w:rPr>
        <w:rFonts w:hint="eastAsia"/>
      </w:rPr>
    </w:lvl>
  </w:abstractNum>
  <w:abstractNum w:abstractNumId="1">
    <w:nsid w:val="5302D36B"/>
    <w:multiLevelType w:val="singleLevel"/>
    <w:tmpl w:val="5302D36B"/>
    <w:lvl w:ilvl="0" w:tentative="0">
      <w:start w:val="1"/>
      <w:numFmt w:val="decimal"/>
      <w:lvlText w:val="%1."/>
      <w:lvlJc w:val="left"/>
      <w:pPr>
        <w:tabs>
          <w:tab w:val="left" w:pos="312"/>
        </w:tabs>
      </w:pPr>
    </w:lvl>
  </w:abstractNum>
  <w:abstractNum w:abstractNumId="2">
    <w:nsid w:val="73E516C3"/>
    <w:multiLevelType w:val="singleLevel"/>
    <w:tmpl w:val="73E516C3"/>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wYzFmODU2Y2E5ZmU3OGY4NzNlZTI1N2E5N2E0MmMifQ=="/>
  </w:docVars>
  <w:rsids>
    <w:rsidRoot w:val="00000000"/>
    <w:rsid w:val="04DF3623"/>
    <w:rsid w:val="084604D1"/>
    <w:rsid w:val="18AE2C91"/>
    <w:rsid w:val="1D594678"/>
    <w:rsid w:val="1E296F85"/>
    <w:rsid w:val="1ECE2A12"/>
    <w:rsid w:val="214C3644"/>
    <w:rsid w:val="25217F33"/>
    <w:rsid w:val="2D021B5F"/>
    <w:rsid w:val="2E4B53AF"/>
    <w:rsid w:val="312044C9"/>
    <w:rsid w:val="3D3221CB"/>
    <w:rsid w:val="44E5172B"/>
    <w:rsid w:val="4C7B6DED"/>
    <w:rsid w:val="50E7338E"/>
    <w:rsid w:val="52195EFA"/>
    <w:rsid w:val="53F459EC"/>
    <w:rsid w:val="566136BD"/>
    <w:rsid w:val="59F95B23"/>
    <w:rsid w:val="5D0F6CD8"/>
    <w:rsid w:val="66D9405A"/>
    <w:rsid w:val="678E0B69"/>
    <w:rsid w:val="67B101D9"/>
    <w:rsid w:val="69FD44AB"/>
    <w:rsid w:val="6C7D0661"/>
    <w:rsid w:val="71F60505"/>
    <w:rsid w:val="761F0668"/>
    <w:rsid w:val="7B734BB7"/>
    <w:rsid w:val="7D0A4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1638</Words>
  <Characters>1835</Characters>
  <Lines>0</Lines>
  <Paragraphs>0</Paragraphs>
  <TotalTime>1</TotalTime>
  <ScaleCrop>false</ScaleCrop>
  <LinksUpToDate>false</LinksUpToDate>
  <CharactersWithSpaces>1848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2022-04-21T03:27:00Z</dcterms:created>
  <dc:creator>ASUS</dc:creator>
  <cp:lastModifiedBy>孙泽宇</cp:lastModifiedBy>
  <dcterms:modified xsi:type="dcterms:W3CDTF">2023-10-11T08:43:41Z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A21C1C1F97A346279622BB138DE0B682_13</vt:lpwstr>
  </property>
</Properties>
</file>