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ind w:right="641"/>
        <w:jc w:val="center"/>
        <w:rPr>
          <w:rFonts w:hint="eastAsia" w:eastAsia="方正小标宋_GBK"/>
          <w:sz w:val="48"/>
          <w:szCs w:val="48"/>
        </w:rPr>
      </w:pPr>
      <w:bookmarkStart w:id="0" w:name="_GoBack"/>
      <w:bookmarkEnd w:id="0"/>
      <w:r>
        <w:rPr>
          <w:rFonts w:hint="eastAsia" w:eastAsia="方正小标宋_GBK"/>
          <w:sz w:val="48"/>
          <w:szCs w:val="4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20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22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年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共青团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整体支出绩效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自评报告</w:t>
      </w:r>
    </w:p>
    <w:p>
      <w:pPr>
        <w:adjustRightInd w:val="0"/>
        <w:spacing w:line="600" w:lineRule="exact"/>
        <w:ind w:right="641"/>
        <w:jc w:val="center"/>
        <w:rPr>
          <w:rFonts w:hint="eastAsia" w:eastAsia="方正小标宋_GBK"/>
          <w:sz w:val="48"/>
          <w:szCs w:val="4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为加强财政预算资金的管理，进一步规范预算资金的使用，提高财政资金的使用效益，根据《衡南县财政局关于开展202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年度县级财政资金绩效自评工作的通知》要求，我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年度本单位整体支出进行了绩效自评，现将具体情况报告如下： 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一、部门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基本情况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部门职责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行使中共衡南县委赋予的领导全县共青团和少先队工作的职权，对全县性青年社团组织进行指导和管理。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参与制定青少年事业发展规划和青少年工作方针、政策。对青少年活动阵地和青少年服务机构的建设进行规划和管理。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参与有关青少年事务的法律和法规的制定和实施，协助县委、县政府处理、协调与青少年利益相关的事务。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调查青年思想动态和青年工作状况，研究青少年运动、青少年工作理论和思想教育问题，提出相应对策，开展各种活动。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协助政府教育部门做好中、小学生的教育管理工作，维护学校稳定和社会安定团结。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6、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在全县经济建设中，组织和带领青年发挥生力军和突击队作用。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7、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负责青少年外事和县内外青少年交流工作，做好青年统战对象的团结教育工作。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8、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承担县委、县政府交办的有关事项。</w:t>
      </w:r>
    </w:p>
    <w:p>
      <w:pPr>
        <w:numPr>
          <w:ilvl w:val="0"/>
          <w:numId w:val="0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（二）机构设置及人员编制情况</w:t>
      </w:r>
    </w:p>
    <w:p>
      <w:pPr>
        <w:spacing w:line="52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共青团是县委领导下的群团组织，正科级参公单位，内设2个职能部（室），分别为办公室（加挂希望工程办公室、学少权益部牌子）、组织宣传部。在编在岗3人，挂职1人，兼职3人。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562" w:firstLineChars="175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二、部门整体支出管理及使用情况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（一）收入预算：202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年收入预算数为</w:t>
      </w:r>
      <w:r>
        <w:rPr>
          <w:rFonts w:hint="eastAsia" w:cs="宋体" w:asciiTheme="minorEastAsia" w:hAnsiTheme="minorEastAsia"/>
          <w:color w:val="000000"/>
          <w:sz w:val="32"/>
          <w:szCs w:val="32"/>
          <w:highlight w:val="none"/>
          <w:lang w:val="en-US" w:eastAsia="zh-CN"/>
        </w:rPr>
        <w:t>83.23</w:t>
      </w:r>
      <w:r>
        <w:rPr>
          <w:rFonts w:hint="eastAsia" w:ascii="仿宋" w:hAnsi="仿宋" w:eastAsia="仿宋"/>
          <w:sz w:val="32"/>
          <w:highlight w:val="none"/>
          <w:lang w:val="en-US"/>
        </w:rPr>
        <w:t>万元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,其中 ：一般公共预算拨款</w:t>
      </w:r>
      <w:r>
        <w:rPr>
          <w:rFonts w:hint="eastAsia" w:cs="宋体" w:asciiTheme="minorEastAsia" w:hAnsiTheme="minorEastAsia"/>
          <w:color w:val="000000"/>
          <w:sz w:val="32"/>
          <w:szCs w:val="32"/>
          <w:highlight w:val="none"/>
          <w:lang w:val="en-US" w:eastAsia="zh-CN"/>
        </w:rPr>
        <w:t>83.23</w:t>
      </w:r>
      <w:r>
        <w:rPr>
          <w:rFonts w:hint="eastAsia" w:ascii="仿宋" w:hAnsi="仿宋" w:eastAsia="仿宋"/>
          <w:sz w:val="32"/>
          <w:highlight w:val="none"/>
          <w:lang w:val="en-US"/>
        </w:rPr>
        <w:t>万元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（二）支出预算：202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年年初预算数为</w:t>
      </w:r>
      <w:r>
        <w:rPr>
          <w:rFonts w:hint="eastAsia" w:cs="宋体" w:asciiTheme="minorEastAsia" w:hAnsiTheme="minorEastAsia"/>
          <w:color w:val="000000"/>
          <w:sz w:val="32"/>
          <w:szCs w:val="32"/>
          <w:highlight w:val="none"/>
          <w:lang w:val="en-US" w:eastAsia="zh-CN"/>
        </w:rPr>
        <w:t>83.23</w:t>
      </w:r>
      <w:r>
        <w:rPr>
          <w:rFonts w:hint="eastAsia" w:ascii="仿宋" w:hAnsi="仿宋" w:eastAsia="仿宋"/>
          <w:sz w:val="32"/>
          <w:highlight w:val="none"/>
          <w:lang w:val="en-US"/>
        </w:rPr>
        <w:t>万元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。其中：一般公共服务支出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80.45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万元，社会保障和就业支出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0.18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万元，医疗卫生支出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1.6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万元，住房保障支出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万元。</w:t>
      </w:r>
    </w:p>
    <w:p>
      <w:pPr>
        <w:ind w:firstLine="600" w:firstLineChars="20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t>202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t>年一般公共预算拨款收入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  <w:lang w:val="en-US" w:eastAsia="zh-CN"/>
        </w:rPr>
        <w:t>83.23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t>万元，具体安排情况如下：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t>　　（一）基本支出：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 202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年年初预算数为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33.71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万元,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t>是指为保障单位机构正常运转、完成日常工作任务而发生的各项支出，包括用于基本工资、津贴补贴等人员经费以及办公费、印刷费、水电费、办公设备购置等日常公用经费。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br w:type="textWrapping"/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0"/>
          <w:szCs w:val="30"/>
        </w:rPr>
        <w:t>　　（二）项目支出：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 xml:space="preserve"> 202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年初预算为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49.52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万元，系保障我委承担乡镇团委工作、希望工程工作、五四青年活动、少先队工作、全委扩大会、青年志愿者服务队工作、预防青少年犯罪,青少年发展专项工作等业务工作的开支。</w:t>
      </w:r>
    </w:p>
    <w:p>
      <w:pPr>
        <w:pStyle w:val="2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三、部门整体支出绩效情况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整体支出情况较好，预算编制比较合理，财政财务制度健全且执行情况良好，在职责履行上收效较为明显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为我县对侨工作顺利开展提供了有力保障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360" w:lineRule="auto"/>
        <w:ind w:firstLine="729" w:firstLineChars="228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在确保人员工资、日常公用经费的正常开支基础上，保证重点支出，压缩一般消费性支出，尤其严控“三公”经费支出，</w:t>
      </w:r>
      <w:r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  <w:t>“三公”经费预算总额未突破上年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widowControl/>
        <w:shd w:val="clear" w:color="auto" w:fill="FFFFFF"/>
        <w:spacing w:line="360" w:lineRule="auto"/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  <w:t>　　2、预算执行方面，支出总额控制在预算总额以内。</w:t>
      </w:r>
    </w:p>
    <w:p>
      <w:pPr>
        <w:widowControl/>
        <w:spacing w:line="360" w:lineRule="auto"/>
        <w:ind w:firstLine="630"/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  <w:t xml:space="preserve">3、严格执行了国库集中支付、政府采购等有关规定，政府采购目录内的货物与服务全部按要求实施了政府采购，确保了支出管理流程、审批手续的完整。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10101"/>
          <w:kern w:val="0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在走访，维稳工作方面，我们认真贯彻中央、省、市、县有关指示精神，明确目标责任，把我县对侨工作深入较好地开展下去。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5、2022年度共青团衡南县委员会整体支出绩效自评考核评分95分。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四、存在的主要问题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初预算的编制较为精细，按照费用支出的使用范围和内容，进行了基本支出、项目支出的严格区分，并按照预算的最末级明细进行预算支出管理，专款专用。但对于追加的项目支出、上年结余结转的项目资金，没有进行预算分解，编制明细预算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五、改进措施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会进一步加强内部机构的预算管理意识，严格按照预算编制的相关制度和要求，进一步提高预算编制的科学性、合理性、严谨性和可控性，在日常预算管理过程中，进一步加强预算支出的审核、跟踪及预算执行情况分析。</w:t>
      </w:r>
    </w:p>
    <w:p>
      <w:pPr>
        <w:snapToGrid w:val="0"/>
        <w:spacing w:line="360" w:lineRule="auto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360" w:lineRule="auto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napToGrid w:val="0"/>
        <w:spacing w:line="360" w:lineRule="auto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snapToGrid w:val="0"/>
        <w:spacing w:line="360" w:lineRule="auto"/>
        <w:ind w:right="600"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共青团衡南县委员会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snapToGrid w:val="0"/>
        <w:spacing w:line="360" w:lineRule="auto"/>
        <w:ind w:right="600"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</w:t>
      </w:r>
    </w:p>
    <w:p>
      <w:pPr>
        <w:pStyle w:val="2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320" w:firstLineChars="1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MjcyMTYzZjgyNDU0NTA0ZWYzNzg4NGM3MWM0N2YifQ=="/>
  </w:docVars>
  <w:rsids>
    <w:rsidRoot w:val="1B6A1ED6"/>
    <w:rsid w:val="0B887B34"/>
    <w:rsid w:val="0D8509EC"/>
    <w:rsid w:val="12EC5067"/>
    <w:rsid w:val="1B6A1ED6"/>
    <w:rsid w:val="23E20D4A"/>
    <w:rsid w:val="28E73AF7"/>
    <w:rsid w:val="2A5408A6"/>
    <w:rsid w:val="44BC5FB9"/>
    <w:rsid w:val="55D4525D"/>
    <w:rsid w:val="565A14ED"/>
    <w:rsid w:val="67367F1D"/>
    <w:rsid w:val="697F2E91"/>
    <w:rsid w:val="69B31BA0"/>
    <w:rsid w:val="7994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2021-06-07T08:46:00Z</dcterms:created>
  <dc:creator>精钢男</dc:creator>
  <cp:lastModifiedBy>孙泽宇</cp:lastModifiedBy>
  <cp:lastPrinted>2022-04-27T02:56:00Z</cp:lastPrinted>
  <dcterms:modified xsi:type="dcterms:W3CDTF">2023-10-11T08:49:13Z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B20D15C0D1614B2185E65BC7FC5428A1_13</vt:lpwstr>
  </property>
</Properties>
</file>