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宋体" w:hAnsi="宋体" w:eastAsia="宋体" w:cs="宋体"/>
          <w:b/>
          <w:bCs/>
          <w:sz w:val="36"/>
          <w:szCs w:val="36"/>
        </w:rPr>
      </w:pPr>
      <w:bookmarkStart w:id="0" w:name="_GoBack"/>
      <w:bookmarkEnd w:id="0"/>
    </w:p>
    <w:p>
      <w:pPr>
        <w:spacing w:line="520" w:lineRule="exact"/>
        <w:jc w:val="center"/>
        <w:rPr>
          <w:rFonts w:ascii="宋体" w:hAnsi="宋体" w:eastAsia="宋体" w:cs="宋体"/>
          <w:b/>
          <w:bCs/>
          <w:sz w:val="36"/>
          <w:szCs w:val="36"/>
        </w:rPr>
      </w:pPr>
    </w:p>
    <w:p>
      <w:pPr>
        <w:spacing w:line="520" w:lineRule="exact"/>
        <w:jc w:val="center"/>
        <w:rPr>
          <w:rFonts w:ascii="宋体" w:hAnsi="宋体" w:eastAsia="宋体" w:cs="宋体"/>
          <w:b/>
          <w:bCs/>
          <w:sz w:val="36"/>
          <w:szCs w:val="36"/>
        </w:rPr>
      </w:pPr>
    </w:p>
    <w:p>
      <w:pPr>
        <w:spacing w:line="520" w:lineRule="exact"/>
        <w:jc w:val="center"/>
        <w:rPr>
          <w:rFonts w:ascii="宋体" w:hAnsi="宋体" w:eastAsia="宋体" w:cs="宋体"/>
          <w:b/>
          <w:bCs/>
          <w:sz w:val="36"/>
          <w:szCs w:val="36"/>
        </w:rPr>
      </w:pPr>
    </w:p>
    <w:p>
      <w:pPr>
        <w:spacing w:line="520" w:lineRule="exact"/>
        <w:jc w:val="center"/>
        <w:rPr>
          <w:rFonts w:ascii="宋体" w:hAnsi="宋体" w:eastAsia="宋体" w:cs="宋体"/>
          <w:b/>
          <w:bCs/>
          <w:sz w:val="36"/>
          <w:szCs w:val="36"/>
        </w:rPr>
      </w:pPr>
    </w:p>
    <w:p>
      <w:pPr>
        <w:spacing w:line="520" w:lineRule="exact"/>
        <w:jc w:val="center"/>
        <w:rPr>
          <w:rFonts w:ascii="宋体" w:hAnsi="宋体" w:eastAsia="宋体" w:cs="宋体"/>
          <w:b/>
          <w:bCs/>
          <w:sz w:val="44"/>
          <w:szCs w:val="44"/>
        </w:rPr>
      </w:pPr>
      <w:r>
        <w:rPr>
          <w:rFonts w:hint="eastAsia" w:ascii="宋体" w:hAnsi="宋体" w:eastAsia="宋体" w:cs="宋体"/>
          <w:b/>
          <w:bCs/>
          <w:sz w:val="44"/>
          <w:szCs w:val="44"/>
        </w:rPr>
        <w:t>衡南县供销合作社联合社</w:t>
      </w:r>
    </w:p>
    <w:p>
      <w:pPr>
        <w:spacing w:line="520" w:lineRule="exact"/>
        <w:jc w:val="center"/>
        <w:rPr>
          <w:rFonts w:ascii="宋体" w:hAnsi="宋体" w:eastAsia="宋体" w:cs="宋体"/>
          <w:b/>
          <w:bCs/>
          <w:sz w:val="44"/>
          <w:szCs w:val="44"/>
        </w:rPr>
      </w:pPr>
      <w:r>
        <w:rPr>
          <w:rFonts w:hint="eastAsia" w:ascii="宋体" w:hAnsi="宋体" w:eastAsia="宋体" w:cs="宋体"/>
          <w:b/>
          <w:bCs/>
          <w:sz w:val="44"/>
          <w:szCs w:val="44"/>
        </w:rPr>
        <w:t>部门整体支出绩效报告</w:t>
      </w:r>
    </w:p>
    <w:p>
      <w:pPr>
        <w:spacing w:line="520" w:lineRule="exact"/>
        <w:jc w:val="center"/>
        <w:rPr>
          <w:rFonts w:ascii="仿宋_GB2312" w:hAnsi="仿宋_GB2312" w:eastAsia="仿宋_GB2312" w:cs="仿宋_GB2312"/>
          <w:b/>
          <w:bCs/>
          <w:sz w:val="32"/>
          <w:szCs w:val="32"/>
        </w:rPr>
      </w:pPr>
    </w:p>
    <w:p>
      <w:pPr>
        <w:spacing w:line="600" w:lineRule="exact"/>
        <w:ind w:firstLine="640" w:firstLineChars="200"/>
        <w:jc w:val="left"/>
        <w:rPr>
          <w:rFonts w:ascii="仿宋" w:hAnsi="仿宋" w:eastAsia="仿宋" w:cs="仿宋"/>
          <w:kern w:val="32"/>
          <w:sz w:val="32"/>
          <w:szCs w:val="32"/>
        </w:rPr>
      </w:pPr>
      <w:r>
        <w:rPr>
          <w:rFonts w:hint="eastAsia" w:ascii="仿宋" w:hAnsi="仿宋" w:eastAsia="仿宋" w:cs="仿宋"/>
          <w:kern w:val="0"/>
          <w:sz w:val="32"/>
          <w:szCs w:val="32"/>
        </w:rPr>
        <w:t>为切实加强财政资金管理，进一步规范预算资金使用，提高财政资金使用效益，根据《中共湖南省委办公厅湖南省人民政府办公厅关于全面实施预算绩效管理的实施意见》（湘办发〔2019〕10号）、财政部《项目支出绩效评价管理办法》（财预〔2020〕10号）、</w:t>
      </w:r>
      <w:r>
        <w:rPr>
          <w:rFonts w:hint="eastAsia" w:ascii="仿宋" w:hAnsi="仿宋" w:eastAsia="仿宋" w:cs="仿宋"/>
          <w:sz w:val="32"/>
          <w:szCs w:val="32"/>
        </w:rPr>
        <w:t>《湖南省预算支出绩效评价管理办法》（湘财绩</w:t>
      </w:r>
      <w:r>
        <w:rPr>
          <w:rFonts w:hint="eastAsia" w:ascii="仿宋" w:hAnsi="仿宋" w:eastAsia="仿宋" w:cs="仿宋"/>
          <w:kern w:val="0"/>
          <w:sz w:val="32"/>
          <w:szCs w:val="32"/>
        </w:rPr>
        <w:t>〔2020〕7号</w:t>
      </w:r>
      <w:r>
        <w:rPr>
          <w:rFonts w:hint="eastAsia" w:ascii="仿宋" w:hAnsi="仿宋" w:eastAsia="仿宋" w:cs="仿宋"/>
          <w:sz w:val="32"/>
          <w:szCs w:val="32"/>
        </w:rPr>
        <w:t>）、《衡南县财政局关于开展2022年度财政资金绩效自评工作的通知》（清财绩【2023】53号）等文件精神要求，我办领导高度重视，召开了绩效评价工作专题会议，并对该项工作进行了安排部署，</w:t>
      </w:r>
      <w:r>
        <w:rPr>
          <w:rFonts w:hint="eastAsia" w:ascii="仿宋" w:hAnsi="仿宋" w:eastAsia="仿宋" w:cs="仿宋"/>
          <w:kern w:val="32"/>
          <w:sz w:val="32"/>
          <w:szCs w:val="32"/>
        </w:rPr>
        <w:t>现将我社2022年度财政资金绩效自评工作汇报如下：</w:t>
      </w:r>
    </w:p>
    <w:p>
      <w:pPr>
        <w:adjustRightInd w:val="0"/>
        <w:snapToGrid w:val="0"/>
        <w:spacing w:line="560" w:lineRule="exact"/>
        <w:ind w:left="640"/>
        <w:rPr>
          <w:rFonts w:cs="仿宋_GB2312" w:asciiTheme="minorEastAsia" w:hAnsiTheme="minorEastAsia"/>
          <w:b/>
          <w:sz w:val="32"/>
          <w:szCs w:val="32"/>
        </w:rPr>
      </w:pPr>
      <w:r>
        <w:rPr>
          <w:rFonts w:hint="eastAsia" w:cs="仿宋_GB2312" w:asciiTheme="minorEastAsia" w:hAnsiTheme="minorEastAsia"/>
          <w:b/>
          <w:sz w:val="32"/>
          <w:szCs w:val="32"/>
        </w:rPr>
        <w:t>一、基本情况</w:t>
      </w:r>
    </w:p>
    <w:p>
      <w:pPr>
        <w:spacing w:line="560" w:lineRule="exact"/>
        <w:ind w:firstLine="630"/>
        <w:rPr>
          <w:rFonts w:ascii="仿宋" w:hAnsi="仿宋" w:eastAsia="仿宋" w:cs="仿宋_GB2312"/>
          <w:sz w:val="32"/>
          <w:szCs w:val="32"/>
        </w:rPr>
      </w:pPr>
      <w:r>
        <w:rPr>
          <w:rFonts w:hint="eastAsia" w:ascii="仿宋" w:hAnsi="仿宋" w:eastAsia="仿宋" w:cs="仿宋_GB2312"/>
          <w:sz w:val="32"/>
          <w:szCs w:val="32"/>
        </w:rPr>
        <w:t>衡南县供销合作社联合社为县人民政府正科级直属事业单位,财政预算全额拨款事业单位，财务核算适用事业单位会计制度。现有在职干部职工23人(含集商办)，退休人员37人。长期临时工1人。</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（一）机构设置情况</w:t>
      </w:r>
    </w:p>
    <w:p>
      <w:pPr>
        <w:adjustRightInd w:val="0"/>
        <w:snapToGrid w:val="0"/>
        <w:spacing w:line="560" w:lineRule="exact"/>
        <w:ind w:firstLine="640" w:firstLineChars="200"/>
        <w:contextualSpacing/>
        <w:rPr>
          <w:rFonts w:ascii="仿宋" w:hAnsi="仿宋" w:eastAsia="仿宋" w:cs="仿宋_GB2312"/>
          <w:sz w:val="32"/>
          <w:szCs w:val="32"/>
        </w:rPr>
      </w:pPr>
      <w:r>
        <w:rPr>
          <w:rFonts w:hint="eastAsia" w:ascii="仿宋" w:hAnsi="仿宋" w:eastAsia="仿宋" w:cs="仿宋_GB2312"/>
          <w:sz w:val="32"/>
          <w:szCs w:val="32"/>
        </w:rPr>
        <w:t>下设二级机构1个：衡南县集体商业服务中心。7个内设机构：办公室、人事股、财务股、合作指导股、安全保卫股、监事会办公室、审计股。</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（二）主要职能</w:t>
      </w:r>
    </w:p>
    <w:p>
      <w:pPr>
        <w:widowControl/>
        <w:spacing w:before="100" w:beforeAutospacing="1" w:after="100" w:afterAutospacing="1" w:line="560" w:lineRule="exact"/>
        <w:ind w:firstLine="640" w:firstLineChars="200"/>
        <w:contextualSpacing/>
        <w:jc w:val="left"/>
        <w:rPr>
          <w:rFonts w:ascii="仿宋" w:hAnsi="仿宋" w:eastAsia="仿宋" w:cs="仿宋_GB2312"/>
          <w:sz w:val="32"/>
          <w:szCs w:val="32"/>
        </w:rPr>
      </w:pPr>
      <w:r>
        <w:rPr>
          <w:rFonts w:hint="eastAsia" w:ascii="仿宋" w:hAnsi="仿宋" w:eastAsia="仿宋" w:cs="仿宋_GB2312"/>
          <w:sz w:val="32"/>
          <w:szCs w:val="32"/>
        </w:rPr>
        <w:t>1、负责制定全县供销合作社系统综合改革和发展规划。</w:t>
      </w:r>
    </w:p>
    <w:p>
      <w:pPr>
        <w:widowControl/>
        <w:spacing w:before="100" w:beforeAutospacing="1" w:after="100" w:afterAutospacing="1" w:line="560" w:lineRule="exact"/>
        <w:ind w:firstLine="640" w:firstLineChars="200"/>
        <w:contextualSpacing/>
        <w:jc w:val="left"/>
        <w:rPr>
          <w:rFonts w:ascii="仿宋" w:hAnsi="仿宋" w:eastAsia="仿宋" w:cs="仿宋_GB2312"/>
          <w:sz w:val="32"/>
          <w:szCs w:val="32"/>
        </w:rPr>
      </w:pPr>
      <w:r>
        <w:rPr>
          <w:rFonts w:hint="eastAsia" w:ascii="仿宋" w:hAnsi="仿宋" w:eastAsia="仿宋" w:cs="仿宋_GB2312"/>
          <w:sz w:val="32"/>
          <w:szCs w:val="32"/>
        </w:rPr>
        <w:t>2、负责建立新型的完善的为农服务体系，现代商品流通体系，实施惠农服务工程。</w:t>
      </w:r>
    </w:p>
    <w:p>
      <w:pPr>
        <w:widowControl/>
        <w:spacing w:before="100" w:beforeAutospacing="1" w:after="100" w:afterAutospacing="1" w:line="560" w:lineRule="exact"/>
        <w:ind w:firstLine="640" w:firstLineChars="200"/>
        <w:contextualSpacing/>
        <w:jc w:val="left"/>
        <w:rPr>
          <w:rFonts w:ascii="仿宋" w:hAnsi="仿宋" w:eastAsia="仿宋" w:cs="仿宋_GB2312"/>
          <w:sz w:val="32"/>
          <w:szCs w:val="32"/>
        </w:rPr>
      </w:pPr>
      <w:r>
        <w:rPr>
          <w:rFonts w:hint="eastAsia" w:ascii="仿宋" w:hAnsi="仿宋" w:eastAsia="仿宋" w:cs="仿宋_GB2312"/>
          <w:sz w:val="32"/>
          <w:szCs w:val="32"/>
        </w:rPr>
        <w:t>3、指导全县供销合作社系统企业做大做强，培育参股控股各类农业服务龙头企业，推进社有企业健全现代企业制度。</w:t>
      </w:r>
    </w:p>
    <w:p>
      <w:pPr>
        <w:widowControl/>
        <w:spacing w:before="100" w:beforeAutospacing="1" w:after="100" w:afterAutospacing="1" w:line="560" w:lineRule="exact"/>
        <w:ind w:firstLine="640" w:firstLineChars="200"/>
        <w:contextualSpacing/>
        <w:jc w:val="left"/>
        <w:rPr>
          <w:rFonts w:ascii="仿宋" w:hAnsi="仿宋" w:eastAsia="仿宋" w:cs="仿宋_GB2312"/>
          <w:sz w:val="32"/>
          <w:szCs w:val="32"/>
        </w:rPr>
      </w:pPr>
      <w:r>
        <w:rPr>
          <w:rFonts w:hint="eastAsia" w:ascii="仿宋" w:hAnsi="仿宋" w:eastAsia="仿宋" w:cs="仿宋_GB2312"/>
          <w:sz w:val="32"/>
          <w:szCs w:val="32"/>
        </w:rPr>
        <w:t>4、监督管理全县供销社系统的社有资产，依法维护供销社的合法权益。</w:t>
      </w:r>
    </w:p>
    <w:p>
      <w:pPr>
        <w:widowControl/>
        <w:spacing w:before="100" w:beforeAutospacing="1" w:after="100" w:afterAutospacing="1" w:line="560" w:lineRule="exact"/>
        <w:ind w:firstLine="640" w:firstLineChars="200"/>
        <w:contextualSpacing/>
        <w:jc w:val="left"/>
        <w:rPr>
          <w:rFonts w:ascii="仿宋" w:hAnsi="仿宋" w:eastAsia="仿宋" w:cs="仿宋_GB2312"/>
          <w:sz w:val="32"/>
          <w:szCs w:val="32"/>
        </w:rPr>
      </w:pPr>
      <w:r>
        <w:rPr>
          <w:rFonts w:hint="eastAsia" w:ascii="仿宋" w:hAnsi="仿宋" w:eastAsia="仿宋" w:cs="仿宋_GB2312"/>
          <w:sz w:val="32"/>
          <w:szCs w:val="32"/>
        </w:rPr>
        <w:t>5、指导全县供销社系统的科技开发和有关科技成果的转化推广工作，推进农业专业合作社联合社、行业协会建设。</w:t>
      </w:r>
    </w:p>
    <w:p>
      <w:pPr>
        <w:widowControl/>
        <w:spacing w:before="100" w:beforeAutospacing="1" w:after="100" w:afterAutospacing="1" w:line="560" w:lineRule="exact"/>
        <w:ind w:firstLine="640" w:firstLineChars="200"/>
        <w:contextualSpacing/>
        <w:jc w:val="left"/>
        <w:rPr>
          <w:rFonts w:ascii="仿宋" w:hAnsi="仿宋" w:eastAsia="仿宋" w:cs="仿宋_GB2312"/>
          <w:sz w:val="32"/>
          <w:szCs w:val="32"/>
        </w:rPr>
      </w:pPr>
      <w:r>
        <w:rPr>
          <w:rFonts w:hint="eastAsia" w:ascii="仿宋" w:hAnsi="仿宋" w:eastAsia="仿宋" w:cs="仿宋_GB2312"/>
          <w:sz w:val="32"/>
          <w:szCs w:val="32"/>
        </w:rPr>
        <w:t>6、负责全县供销社系统人才队伍建设和干部职工教育培训工作。</w:t>
      </w:r>
    </w:p>
    <w:p>
      <w:pPr>
        <w:widowControl/>
        <w:spacing w:before="100" w:beforeAutospacing="1" w:after="100" w:afterAutospacing="1" w:line="560" w:lineRule="exact"/>
        <w:ind w:firstLine="640" w:firstLineChars="200"/>
        <w:contextualSpacing/>
        <w:jc w:val="left"/>
        <w:rPr>
          <w:rFonts w:ascii="仿宋" w:hAnsi="仿宋" w:eastAsia="仿宋" w:cs="仿宋_GB2312"/>
          <w:sz w:val="32"/>
          <w:szCs w:val="32"/>
        </w:rPr>
      </w:pPr>
      <w:r>
        <w:rPr>
          <w:rFonts w:hint="eastAsia" w:ascii="仿宋" w:hAnsi="仿宋" w:eastAsia="仿宋" w:cs="仿宋_GB2312"/>
          <w:sz w:val="32"/>
          <w:szCs w:val="32"/>
        </w:rPr>
        <w:t>7、推进乡镇惠农服务中心建设，搭建农村农资供应，电子商务、商品流通、现代物流、土地托管等为农服务平台。</w:t>
      </w:r>
    </w:p>
    <w:p>
      <w:pPr>
        <w:widowControl/>
        <w:spacing w:before="100" w:beforeAutospacing="1" w:after="100" w:afterAutospacing="1" w:line="560" w:lineRule="exact"/>
        <w:ind w:firstLine="640" w:firstLineChars="200"/>
        <w:contextualSpacing/>
        <w:jc w:val="left"/>
        <w:rPr>
          <w:rFonts w:ascii="仿宋" w:hAnsi="仿宋" w:eastAsia="仿宋" w:cs="仿宋_GB2312"/>
          <w:sz w:val="32"/>
          <w:szCs w:val="32"/>
        </w:rPr>
      </w:pPr>
      <w:r>
        <w:rPr>
          <w:rFonts w:hint="eastAsia" w:ascii="仿宋" w:hAnsi="仿宋" w:eastAsia="仿宋" w:cs="仿宋_GB2312"/>
          <w:sz w:val="32"/>
          <w:szCs w:val="32"/>
        </w:rPr>
        <w:t>8、加快村级（社区）综合服务社建设。</w:t>
      </w:r>
    </w:p>
    <w:p>
      <w:pPr>
        <w:widowControl/>
        <w:spacing w:before="100" w:beforeAutospacing="1" w:after="100" w:afterAutospacing="1" w:line="560" w:lineRule="exact"/>
        <w:ind w:firstLine="640" w:firstLineChars="200"/>
        <w:contextualSpacing/>
        <w:jc w:val="left"/>
        <w:rPr>
          <w:rFonts w:ascii="仿宋" w:hAnsi="仿宋" w:eastAsia="仿宋" w:cs="仿宋_GB2312"/>
          <w:sz w:val="32"/>
          <w:szCs w:val="32"/>
        </w:rPr>
      </w:pPr>
      <w:r>
        <w:rPr>
          <w:rFonts w:hint="eastAsia" w:ascii="仿宋" w:hAnsi="仿宋" w:eastAsia="仿宋" w:cs="仿宋_GB2312"/>
          <w:sz w:val="32"/>
          <w:szCs w:val="32"/>
        </w:rPr>
        <w:t>9、协调处理基层社、社有企业遗留问题，及时做好安全生产、信访维稳工作。</w:t>
      </w:r>
    </w:p>
    <w:p>
      <w:pPr>
        <w:adjustRightInd w:val="0"/>
        <w:snapToGrid w:val="0"/>
        <w:spacing w:line="56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二、部门整体支出管理及使用情况</w:t>
      </w:r>
    </w:p>
    <w:p>
      <w:pPr>
        <w:spacing w:line="60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（一）部门预算收支情况</w:t>
      </w:r>
    </w:p>
    <w:p>
      <w:pPr>
        <w:autoSpaceDE w:val="0"/>
        <w:autoSpaceDN w:val="0"/>
        <w:adjustRightInd w:val="0"/>
        <w:spacing w:line="600" w:lineRule="exact"/>
        <w:ind w:firstLine="640"/>
        <w:rPr>
          <w:rFonts w:ascii="仿宋" w:hAnsi="仿宋" w:eastAsia="仿宋" w:cs="仿宋"/>
          <w:sz w:val="32"/>
          <w:szCs w:val="32"/>
        </w:rPr>
      </w:pPr>
      <w:r>
        <w:rPr>
          <w:rFonts w:hint="eastAsia" w:ascii="仿宋" w:hAnsi="仿宋" w:eastAsia="仿宋" w:cs="仿宋"/>
          <w:sz w:val="32"/>
          <w:szCs w:val="32"/>
        </w:rPr>
        <w:t>2022年，本部门年初预算收入281.70万元，其中：一般公共预算财政拨款收入年初预算281.70万元。收入调整预算数为</w:t>
      </w:r>
      <w:r>
        <w:rPr>
          <w:rFonts w:ascii="仿宋" w:hAnsi="仿宋" w:eastAsia="仿宋" w:cs="仿宋"/>
          <w:sz w:val="32"/>
          <w:szCs w:val="32"/>
        </w:rPr>
        <w:t>453</w:t>
      </w:r>
      <w:r>
        <w:rPr>
          <w:rFonts w:hint="eastAsia" w:ascii="仿宋" w:hAnsi="仿宋" w:eastAsia="仿宋" w:cs="仿宋"/>
          <w:sz w:val="32"/>
          <w:szCs w:val="32"/>
        </w:rPr>
        <w:t>.</w:t>
      </w:r>
      <w:r>
        <w:rPr>
          <w:rFonts w:ascii="仿宋" w:hAnsi="仿宋" w:eastAsia="仿宋" w:cs="仿宋"/>
          <w:sz w:val="32"/>
          <w:szCs w:val="32"/>
        </w:rPr>
        <w:t>2</w:t>
      </w:r>
      <w:r>
        <w:rPr>
          <w:rFonts w:hint="eastAsia" w:ascii="仿宋" w:hAnsi="仿宋" w:eastAsia="仿宋" w:cs="仿宋"/>
          <w:sz w:val="32"/>
          <w:szCs w:val="32"/>
        </w:rPr>
        <w:t>7万元，其中一般公共预算财政拨款收入</w:t>
      </w:r>
      <w:r>
        <w:rPr>
          <w:rFonts w:ascii="仿宋" w:hAnsi="仿宋" w:eastAsia="仿宋" w:cs="仿宋"/>
          <w:sz w:val="32"/>
          <w:szCs w:val="32"/>
        </w:rPr>
        <w:t>394</w:t>
      </w:r>
      <w:r>
        <w:rPr>
          <w:rFonts w:hint="eastAsia" w:ascii="仿宋" w:hAnsi="仿宋" w:eastAsia="仿宋" w:cs="仿宋"/>
          <w:sz w:val="32"/>
          <w:szCs w:val="32"/>
        </w:rPr>
        <w:t>.</w:t>
      </w:r>
      <w:r>
        <w:rPr>
          <w:rFonts w:ascii="仿宋" w:hAnsi="仿宋" w:eastAsia="仿宋" w:cs="仿宋"/>
          <w:sz w:val="32"/>
          <w:szCs w:val="32"/>
        </w:rPr>
        <w:t>3</w:t>
      </w:r>
      <w:r>
        <w:rPr>
          <w:rFonts w:hint="eastAsia" w:ascii="仿宋" w:hAnsi="仿宋" w:eastAsia="仿宋" w:cs="仿宋"/>
          <w:sz w:val="32"/>
          <w:szCs w:val="32"/>
        </w:rPr>
        <w:t>5  万元,其它收入</w:t>
      </w:r>
      <w:r>
        <w:rPr>
          <w:rFonts w:ascii="仿宋" w:hAnsi="仿宋" w:eastAsia="仿宋" w:cs="仿宋"/>
          <w:sz w:val="32"/>
          <w:szCs w:val="32"/>
        </w:rPr>
        <w:t>58</w:t>
      </w:r>
      <w:r>
        <w:rPr>
          <w:rFonts w:hint="eastAsia" w:ascii="仿宋" w:hAnsi="仿宋" w:eastAsia="仿宋" w:cs="仿宋"/>
          <w:sz w:val="32"/>
          <w:szCs w:val="32"/>
        </w:rPr>
        <w:t>.</w:t>
      </w:r>
      <w:r>
        <w:rPr>
          <w:rFonts w:ascii="仿宋" w:hAnsi="仿宋" w:eastAsia="仿宋" w:cs="仿宋"/>
          <w:sz w:val="32"/>
          <w:szCs w:val="32"/>
        </w:rPr>
        <w:t>9</w:t>
      </w:r>
      <w:r>
        <w:rPr>
          <w:rFonts w:hint="eastAsia" w:ascii="仿宋" w:hAnsi="仿宋" w:eastAsia="仿宋" w:cs="仿宋"/>
          <w:sz w:val="32"/>
          <w:szCs w:val="32"/>
        </w:rPr>
        <w:t>2万元。</w:t>
      </w:r>
      <w:r>
        <w:rPr>
          <w:rFonts w:hint="eastAsia" w:ascii="仿宋" w:hAnsi="仿宋" w:eastAsia="仿宋" w:cs="迷你简黑体"/>
          <w:bCs/>
          <w:sz w:val="30"/>
          <w:szCs w:val="30"/>
        </w:rPr>
        <w:t>2022年支出决算数为</w:t>
      </w:r>
      <w:r>
        <w:rPr>
          <w:rFonts w:ascii="仿宋" w:hAnsi="仿宋" w:eastAsia="仿宋" w:cs="仿宋"/>
          <w:sz w:val="32"/>
          <w:szCs w:val="32"/>
        </w:rPr>
        <w:t>453</w:t>
      </w:r>
      <w:r>
        <w:rPr>
          <w:rFonts w:hint="eastAsia" w:ascii="仿宋" w:hAnsi="仿宋" w:eastAsia="仿宋" w:cs="仿宋"/>
          <w:sz w:val="32"/>
          <w:szCs w:val="32"/>
        </w:rPr>
        <w:t>.</w:t>
      </w:r>
      <w:r>
        <w:rPr>
          <w:rFonts w:ascii="仿宋" w:hAnsi="仿宋" w:eastAsia="仿宋" w:cs="仿宋"/>
          <w:sz w:val="32"/>
          <w:szCs w:val="32"/>
        </w:rPr>
        <w:t>2</w:t>
      </w:r>
      <w:r>
        <w:rPr>
          <w:rFonts w:hint="eastAsia" w:ascii="仿宋" w:hAnsi="仿宋" w:eastAsia="仿宋" w:cs="仿宋"/>
          <w:sz w:val="32"/>
          <w:szCs w:val="32"/>
        </w:rPr>
        <w:t>7</w:t>
      </w:r>
      <w:r>
        <w:rPr>
          <w:rFonts w:hint="eastAsia" w:ascii="仿宋" w:hAnsi="仿宋" w:eastAsia="仿宋" w:cs="迷你简黑体"/>
          <w:bCs/>
          <w:sz w:val="30"/>
          <w:szCs w:val="30"/>
        </w:rPr>
        <w:t>万元，其中基本支出</w:t>
      </w:r>
      <w:r>
        <w:rPr>
          <w:rFonts w:ascii="仿宋" w:hAnsi="仿宋" w:eastAsia="仿宋" w:cs="迷你简黑体"/>
          <w:bCs/>
          <w:sz w:val="30"/>
          <w:szCs w:val="30"/>
        </w:rPr>
        <w:t>197</w:t>
      </w:r>
      <w:r>
        <w:rPr>
          <w:rFonts w:hint="eastAsia" w:ascii="仿宋" w:hAnsi="仿宋" w:eastAsia="仿宋" w:cs="迷你简黑体"/>
          <w:bCs/>
          <w:sz w:val="30"/>
          <w:szCs w:val="30"/>
        </w:rPr>
        <w:t>.</w:t>
      </w:r>
      <w:r>
        <w:rPr>
          <w:rFonts w:ascii="仿宋" w:hAnsi="仿宋" w:eastAsia="仿宋" w:cs="迷你简黑体"/>
          <w:bCs/>
          <w:sz w:val="30"/>
          <w:szCs w:val="30"/>
        </w:rPr>
        <w:t>8</w:t>
      </w:r>
      <w:r>
        <w:rPr>
          <w:rFonts w:hint="eastAsia" w:ascii="仿宋" w:hAnsi="仿宋" w:eastAsia="仿宋" w:cs="迷你简黑体"/>
          <w:bCs/>
          <w:sz w:val="30"/>
          <w:szCs w:val="30"/>
        </w:rPr>
        <w:t>8万元，项目支出</w:t>
      </w:r>
      <w:r>
        <w:rPr>
          <w:rFonts w:ascii="仿宋" w:hAnsi="仿宋" w:eastAsia="仿宋" w:cs="迷你简黑体"/>
          <w:bCs/>
          <w:sz w:val="30"/>
          <w:szCs w:val="30"/>
        </w:rPr>
        <w:t>255</w:t>
      </w:r>
      <w:r>
        <w:rPr>
          <w:rFonts w:hint="eastAsia" w:ascii="仿宋" w:hAnsi="仿宋" w:eastAsia="仿宋" w:cs="迷你简黑体"/>
          <w:bCs/>
          <w:sz w:val="30"/>
          <w:szCs w:val="30"/>
        </w:rPr>
        <w:t>.</w:t>
      </w:r>
      <w:r>
        <w:rPr>
          <w:rFonts w:ascii="仿宋" w:hAnsi="仿宋" w:eastAsia="仿宋" w:cs="迷你简黑体"/>
          <w:bCs/>
          <w:sz w:val="30"/>
          <w:szCs w:val="30"/>
        </w:rPr>
        <w:t>39</w:t>
      </w:r>
      <w:r>
        <w:rPr>
          <w:rFonts w:hint="eastAsia" w:ascii="仿宋" w:hAnsi="仿宋" w:eastAsia="仿宋" w:cs="迷你简黑体"/>
          <w:bCs/>
          <w:sz w:val="30"/>
          <w:szCs w:val="30"/>
        </w:rPr>
        <w:t>万元。</w:t>
      </w:r>
    </w:p>
    <w:p>
      <w:pPr>
        <w:autoSpaceDE w:val="0"/>
        <w:autoSpaceDN w:val="0"/>
        <w:adjustRightInd w:val="0"/>
        <w:spacing w:line="600" w:lineRule="exact"/>
        <w:ind w:firstLine="640"/>
        <w:rPr>
          <w:rFonts w:hint="eastAsia" w:ascii="仿宋" w:hAnsi="仿宋" w:eastAsia="仿宋" w:cs="迷你简黑体"/>
          <w:bCs/>
          <w:sz w:val="30"/>
          <w:szCs w:val="30"/>
        </w:rPr>
      </w:pPr>
      <w:r>
        <w:rPr>
          <w:rFonts w:hint="eastAsia" w:ascii="仿宋" w:hAnsi="仿宋" w:eastAsia="仿宋" w:cs="仿宋"/>
          <w:sz w:val="32"/>
          <w:szCs w:val="32"/>
        </w:rPr>
        <w:t>2022年，本部门年初预算支出281.70万元，其中：基本</w:t>
      </w:r>
      <w:r>
        <w:rPr>
          <w:rFonts w:hint="eastAsia" w:ascii="仿宋" w:hAnsi="仿宋" w:eastAsia="仿宋" w:cs="仿宋"/>
          <w:sz w:val="32"/>
          <w:szCs w:val="32"/>
          <w:lang w:val="zh-CN"/>
        </w:rPr>
        <w:t>支出</w:t>
      </w:r>
      <w:r>
        <w:rPr>
          <w:rFonts w:hint="eastAsia" w:ascii="仿宋" w:hAnsi="仿宋" w:eastAsia="仿宋" w:cs="仿宋"/>
          <w:sz w:val="32"/>
          <w:szCs w:val="32"/>
        </w:rPr>
        <w:t>年初预算</w:t>
      </w:r>
      <w:r>
        <w:rPr>
          <w:rFonts w:ascii="仿宋" w:hAnsi="仿宋" w:eastAsia="仿宋" w:cs="仿宋"/>
          <w:sz w:val="32"/>
          <w:szCs w:val="32"/>
        </w:rPr>
        <w:t>175</w:t>
      </w:r>
      <w:r>
        <w:rPr>
          <w:rFonts w:hint="eastAsia" w:ascii="仿宋" w:hAnsi="仿宋" w:eastAsia="仿宋" w:cs="仿宋"/>
          <w:sz w:val="32"/>
          <w:szCs w:val="32"/>
        </w:rPr>
        <w:t>.</w:t>
      </w:r>
      <w:r>
        <w:rPr>
          <w:rFonts w:ascii="仿宋" w:hAnsi="仿宋" w:eastAsia="仿宋" w:cs="仿宋"/>
          <w:sz w:val="32"/>
          <w:szCs w:val="32"/>
        </w:rPr>
        <w:t>7</w:t>
      </w:r>
      <w:r>
        <w:rPr>
          <w:rFonts w:hint="eastAsia" w:ascii="仿宋" w:hAnsi="仿宋" w:eastAsia="仿宋" w:cs="仿宋"/>
          <w:sz w:val="32"/>
          <w:szCs w:val="32"/>
        </w:rPr>
        <w:t>0万元，项目支出年初预算106.00万元，年度执行中因基层帮扶解困、</w:t>
      </w:r>
      <w:r>
        <w:rPr>
          <w:rStyle w:val="7"/>
          <w:rFonts w:hint="eastAsia" w:ascii="华文楷体" w:hAnsi="华文楷体" w:eastAsia="华文楷体" w:cs="华文楷体"/>
          <w:b w:val="0"/>
          <w:spacing w:val="8"/>
          <w:sz w:val="30"/>
          <w:szCs w:val="30"/>
        </w:rPr>
        <w:t>农业社会化服务、供销运营平台</w:t>
      </w:r>
      <w:r>
        <w:rPr>
          <w:rFonts w:hint="eastAsia" w:ascii="仿宋" w:hAnsi="仿宋" w:eastAsia="仿宋" w:cs="仿宋"/>
          <w:sz w:val="32"/>
          <w:szCs w:val="32"/>
        </w:rPr>
        <w:t>等工作需要，预算跟随调整，支出</w:t>
      </w:r>
      <w:r>
        <w:rPr>
          <w:rFonts w:ascii="仿宋" w:hAnsi="仿宋" w:eastAsia="仿宋" w:cs="仿宋"/>
          <w:sz w:val="32"/>
          <w:szCs w:val="32"/>
        </w:rPr>
        <w:t>453</w:t>
      </w:r>
      <w:r>
        <w:rPr>
          <w:rFonts w:hint="eastAsia" w:ascii="仿宋" w:hAnsi="仿宋" w:eastAsia="仿宋" w:cs="仿宋"/>
          <w:sz w:val="32"/>
          <w:szCs w:val="32"/>
        </w:rPr>
        <w:t>.</w:t>
      </w:r>
      <w:r>
        <w:rPr>
          <w:rFonts w:ascii="仿宋" w:hAnsi="仿宋" w:eastAsia="仿宋" w:cs="仿宋"/>
          <w:sz w:val="32"/>
          <w:szCs w:val="32"/>
        </w:rPr>
        <w:t>2</w:t>
      </w:r>
      <w:r>
        <w:rPr>
          <w:rFonts w:hint="eastAsia" w:ascii="仿宋" w:hAnsi="仿宋" w:eastAsia="仿宋" w:cs="仿宋"/>
          <w:sz w:val="32"/>
          <w:szCs w:val="32"/>
        </w:rPr>
        <w:t>7万元，</w:t>
      </w:r>
      <w:r>
        <w:rPr>
          <w:rFonts w:hint="eastAsia" w:ascii="仿宋" w:hAnsi="仿宋" w:eastAsia="仿宋" w:cs="迷你简黑体"/>
          <w:bCs/>
          <w:sz w:val="30"/>
          <w:szCs w:val="30"/>
        </w:rPr>
        <w:t>其中基本支出</w:t>
      </w:r>
      <w:r>
        <w:rPr>
          <w:rFonts w:ascii="仿宋" w:hAnsi="仿宋" w:eastAsia="仿宋" w:cs="迷你简黑体"/>
          <w:bCs/>
          <w:sz w:val="30"/>
          <w:szCs w:val="30"/>
        </w:rPr>
        <w:t>197</w:t>
      </w:r>
      <w:r>
        <w:rPr>
          <w:rFonts w:hint="eastAsia" w:ascii="仿宋" w:hAnsi="仿宋" w:eastAsia="仿宋" w:cs="迷你简黑体"/>
          <w:bCs/>
          <w:sz w:val="30"/>
          <w:szCs w:val="30"/>
        </w:rPr>
        <w:t>.</w:t>
      </w:r>
      <w:r>
        <w:rPr>
          <w:rFonts w:ascii="仿宋" w:hAnsi="仿宋" w:eastAsia="仿宋" w:cs="迷你简黑体"/>
          <w:bCs/>
          <w:sz w:val="30"/>
          <w:szCs w:val="30"/>
        </w:rPr>
        <w:t>8</w:t>
      </w:r>
      <w:r>
        <w:rPr>
          <w:rFonts w:hint="eastAsia" w:ascii="仿宋" w:hAnsi="仿宋" w:eastAsia="仿宋" w:cs="迷你简黑体"/>
          <w:bCs/>
          <w:sz w:val="30"/>
          <w:szCs w:val="30"/>
        </w:rPr>
        <w:t>8万元，项目支出</w:t>
      </w:r>
      <w:r>
        <w:rPr>
          <w:rFonts w:ascii="仿宋" w:hAnsi="仿宋" w:eastAsia="仿宋" w:cs="迷你简黑体"/>
          <w:bCs/>
          <w:sz w:val="30"/>
          <w:szCs w:val="30"/>
        </w:rPr>
        <w:t>255</w:t>
      </w:r>
      <w:r>
        <w:rPr>
          <w:rFonts w:hint="eastAsia" w:ascii="仿宋" w:hAnsi="仿宋" w:eastAsia="仿宋" w:cs="迷你简黑体"/>
          <w:bCs/>
          <w:sz w:val="30"/>
          <w:szCs w:val="30"/>
        </w:rPr>
        <w:t>.</w:t>
      </w:r>
      <w:r>
        <w:rPr>
          <w:rFonts w:ascii="仿宋" w:hAnsi="仿宋" w:eastAsia="仿宋" w:cs="迷你简黑体"/>
          <w:bCs/>
          <w:sz w:val="30"/>
          <w:szCs w:val="30"/>
        </w:rPr>
        <w:t>39</w:t>
      </w:r>
      <w:r>
        <w:rPr>
          <w:rFonts w:hint="eastAsia" w:ascii="仿宋" w:hAnsi="仿宋" w:eastAsia="仿宋" w:cs="迷你简黑体"/>
          <w:bCs/>
          <w:sz w:val="30"/>
          <w:szCs w:val="30"/>
        </w:rPr>
        <w:t>万元。</w:t>
      </w:r>
    </w:p>
    <w:p>
      <w:pPr>
        <w:spacing w:line="60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（二）支出分类情况</w:t>
      </w:r>
    </w:p>
    <w:p>
      <w:pPr>
        <w:spacing w:line="600" w:lineRule="exact"/>
        <w:ind w:firstLine="643" w:firstLineChars="200"/>
        <w:rPr>
          <w:rFonts w:ascii="仿宋" w:hAnsi="仿宋" w:eastAsia="仿宋" w:cs="仿宋"/>
          <w:b/>
          <w:sz w:val="32"/>
          <w:szCs w:val="32"/>
        </w:rPr>
      </w:pPr>
      <w:r>
        <w:rPr>
          <w:rFonts w:hint="eastAsia" w:ascii="仿宋" w:hAnsi="仿宋" w:eastAsia="仿宋" w:cs="仿宋"/>
          <w:b/>
          <w:sz w:val="32"/>
          <w:szCs w:val="32"/>
        </w:rPr>
        <w:t>1、基本支出管理情况</w:t>
      </w:r>
    </w:p>
    <w:p>
      <w:pPr>
        <w:widowControl/>
        <w:spacing w:before="100" w:beforeAutospacing="1" w:after="100" w:afterAutospacing="1" w:line="560" w:lineRule="exact"/>
        <w:ind w:firstLine="640" w:firstLineChars="200"/>
        <w:contextualSpacing/>
        <w:jc w:val="left"/>
        <w:rPr>
          <w:rFonts w:ascii="仿宋" w:hAnsi="仿宋" w:eastAsia="仿宋" w:cs="仿宋_GB2312"/>
          <w:sz w:val="32"/>
          <w:szCs w:val="32"/>
        </w:rPr>
      </w:pPr>
      <w:r>
        <w:rPr>
          <w:rFonts w:hint="eastAsia" w:ascii="仿宋" w:hAnsi="仿宋" w:eastAsia="仿宋" w:cs="仿宋_GB2312"/>
          <w:sz w:val="32"/>
          <w:szCs w:val="32"/>
        </w:rPr>
        <w:t>基本支出总额</w:t>
      </w:r>
      <w:r>
        <w:rPr>
          <w:rFonts w:ascii="仿宋" w:hAnsi="仿宋" w:eastAsia="仿宋" w:cs="迷你简黑体"/>
          <w:bCs/>
          <w:sz w:val="30"/>
          <w:szCs w:val="30"/>
        </w:rPr>
        <w:t>197</w:t>
      </w:r>
      <w:r>
        <w:rPr>
          <w:rFonts w:hint="eastAsia" w:ascii="仿宋" w:hAnsi="仿宋" w:eastAsia="仿宋" w:cs="迷你简黑体"/>
          <w:bCs/>
          <w:sz w:val="30"/>
          <w:szCs w:val="30"/>
        </w:rPr>
        <w:t>.</w:t>
      </w:r>
      <w:r>
        <w:rPr>
          <w:rFonts w:ascii="仿宋" w:hAnsi="仿宋" w:eastAsia="仿宋" w:cs="迷你简黑体"/>
          <w:bCs/>
          <w:sz w:val="30"/>
          <w:szCs w:val="30"/>
        </w:rPr>
        <w:t>8</w:t>
      </w:r>
      <w:r>
        <w:rPr>
          <w:rFonts w:hint="eastAsia" w:ascii="仿宋" w:hAnsi="仿宋" w:eastAsia="仿宋" w:cs="迷你简黑体"/>
          <w:bCs/>
          <w:sz w:val="30"/>
          <w:szCs w:val="30"/>
        </w:rPr>
        <w:t>8</w:t>
      </w:r>
      <w:r>
        <w:rPr>
          <w:rFonts w:hint="eastAsia" w:ascii="仿宋" w:hAnsi="仿宋" w:eastAsia="仿宋" w:cs="仿宋_GB2312"/>
          <w:sz w:val="32"/>
          <w:szCs w:val="32"/>
        </w:rPr>
        <w:t>万元，其中：工资福利支出</w:t>
      </w:r>
      <w:r>
        <w:rPr>
          <w:rFonts w:ascii="仿宋" w:hAnsi="仿宋" w:eastAsia="仿宋" w:cs="仿宋_GB2312"/>
          <w:sz w:val="32"/>
          <w:szCs w:val="32"/>
        </w:rPr>
        <w:t>178</w:t>
      </w:r>
      <w:r>
        <w:rPr>
          <w:rFonts w:hint="eastAsia" w:ascii="仿宋" w:hAnsi="仿宋" w:eastAsia="仿宋" w:cs="仿宋_GB2312"/>
          <w:sz w:val="32"/>
          <w:szCs w:val="32"/>
        </w:rPr>
        <w:t>.</w:t>
      </w:r>
      <w:r>
        <w:rPr>
          <w:rFonts w:ascii="仿宋" w:hAnsi="仿宋" w:eastAsia="仿宋" w:cs="仿宋_GB2312"/>
          <w:sz w:val="32"/>
          <w:szCs w:val="32"/>
        </w:rPr>
        <w:t>3</w:t>
      </w:r>
      <w:r>
        <w:rPr>
          <w:rFonts w:hint="eastAsia" w:ascii="仿宋" w:hAnsi="仿宋" w:eastAsia="仿宋" w:cs="仿宋_GB2312"/>
          <w:sz w:val="32"/>
          <w:szCs w:val="32"/>
        </w:rPr>
        <w:t>8万元；一般商品和服务支出5.96万元；对个人和家庭的补助支出13.54万元；办公设备购置0万元。用于保障我社机构正常运转，完成日常工作任务而发生的各项支出，包括用于在职人员基本工资，津贴补贴、劳动保险费、遗属人员抚恤费等人员经费，以及办公费、印刷费、水电费、办公设备购置等日常公用经费。</w:t>
      </w:r>
    </w:p>
    <w:p>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2、专项商品和服务支出</w:t>
      </w:r>
      <w:r>
        <w:rPr>
          <w:rFonts w:ascii="仿宋" w:hAnsi="仿宋" w:eastAsia="仿宋" w:cs="迷你简黑体"/>
          <w:bCs/>
          <w:sz w:val="30"/>
          <w:szCs w:val="30"/>
        </w:rPr>
        <w:t>255</w:t>
      </w:r>
      <w:r>
        <w:rPr>
          <w:rFonts w:hint="eastAsia" w:ascii="仿宋" w:hAnsi="仿宋" w:eastAsia="仿宋" w:cs="迷你简黑体"/>
          <w:bCs/>
          <w:sz w:val="30"/>
          <w:szCs w:val="30"/>
        </w:rPr>
        <w:t>.</w:t>
      </w:r>
      <w:r>
        <w:rPr>
          <w:rFonts w:ascii="仿宋" w:hAnsi="仿宋" w:eastAsia="仿宋" w:cs="迷你简黑体"/>
          <w:bCs/>
          <w:sz w:val="30"/>
          <w:szCs w:val="30"/>
        </w:rPr>
        <w:t>39</w:t>
      </w:r>
      <w:r>
        <w:rPr>
          <w:rFonts w:hint="eastAsia" w:ascii="仿宋" w:hAnsi="仿宋" w:eastAsia="仿宋" w:cs="仿宋_GB2312"/>
          <w:sz w:val="32"/>
          <w:szCs w:val="32"/>
        </w:rPr>
        <w:t>万元，其中：工资福利支出57.75万元；商品和服务支出118.16万元，对个人和家庭的补助74.97万元。保障我社支持基层组织发展、推进新农村现代流通网络、“万村千乡”、供销电子商务发展、基层单位人员维稳等专项支出。</w:t>
      </w:r>
    </w:p>
    <w:p>
      <w:pPr>
        <w:pStyle w:val="4"/>
        <w:spacing w:before="0" w:beforeAutospacing="0" w:after="0" w:afterAutospacing="0" w:line="560" w:lineRule="exact"/>
        <w:ind w:firstLine="640" w:firstLineChars="200"/>
        <w:contextualSpacing/>
        <w:jc w:val="both"/>
        <w:rPr>
          <w:rFonts w:ascii="仿宋" w:hAnsi="仿宋" w:eastAsia="仿宋" w:cs="仿宋_GB2312"/>
          <w:kern w:val="2"/>
          <w:sz w:val="32"/>
          <w:szCs w:val="32"/>
        </w:rPr>
      </w:pPr>
      <w:r>
        <w:rPr>
          <w:rFonts w:hint="eastAsia" w:ascii="仿宋" w:hAnsi="仿宋" w:eastAsia="仿宋" w:cs="仿宋_GB2312"/>
          <w:kern w:val="2"/>
          <w:sz w:val="32"/>
          <w:szCs w:val="32"/>
        </w:rPr>
        <w:t>3、“三公”经费支出使用和管理情况</w:t>
      </w:r>
    </w:p>
    <w:p>
      <w:pPr>
        <w:widowControl/>
        <w:shd w:val="clear" w:color="auto" w:fill="FFFFFF"/>
        <w:spacing w:line="560" w:lineRule="exact"/>
        <w:ind w:firstLine="640"/>
        <w:jc w:val="left"/>
        <w:rPr>
          <w:rFonts w:ascii="仿宋" w:hAnsi="仿宋" w:eastAsia="仿宋" w:cs="仿宋_GB2312"/>
          <w:sz w:val="32"/>
          <w:szCs w:val="32"/>
        </w:rPr>
      </w:pPr>
      <w:r>
        <w:rPr>
          <w:rFonts w:hint="eastAsia" w:ascii="仿宋" w:hAnsi="仿宋" w:eastAsia="仿宋" w:cs="仿宋_GB2312"/>
          <w:sz w:val="32"/>
          <w:szCs w:val="32"/>
        </w:rPr>
        <w:t>“三公”经费各费用均控制在预算范围内，且较预算金额有不同程度的结余。因公出国（境）费用及公务用车运行维护费均为0万元。公务接待费实际发生 0.10万元，本年较上年减少74.21%。</w:t>
      </w:r>
    </w:p>
    <w:p>
      <w:pPr>
        <w:adjustRightInd w:val="0"/>
        <w:snapToGrid w:val="0"/>
        <w:spacing w:line="5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三、部门整体支出绩效情况</w:t>
      </w:r>
    </w:p>
    <w:p>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2022年我社通过加强预算收支的管理，不断建立健全内部管理制度，理顺内部管理流程，部门整体支出管理情况得到了提升。部门整体支出绩效情况如下：</w:t>
      </w:r>
    </w:p>
    <w:p>
      <w:pPr>
        <w:spacing w:line="560" w:lineRule="exact"/>
        <w:ind w:firstLine="630"/>
        <w:rPr>
          <w:rFonts w:ascii="仿宋" w:hAnsi="仿宋" w:eastAsia="仿宋" w:cs="仿宋_GB2312"/>
          <w:sz w:val="32"/>
          <w:szCs w:val="32"/>
        </w:rPr>
      </w:pPr>
      <w:r>
        <w:rPr>
          <w:rFonts w:hint="eastAsia" w:ascii="仿宋" w:hAnsi="仿宋" w:eastAsia="仿宋" w:cs="仿宋_GB2312"/>
          <w:sz w:val="32"/>
          <w:szCs w:val="32"/>
        </w:rPr>
        <w:t>1、在职人员控制率：100%</w:t>
      </w:r>
    </w:p>
    <w:p>
      <w:pPr>
        <w:spacing w:line="560" w:lineRule="exact"/>
        <w:ind w:firstLine="630"/>
        <w:rPr>
          <w:rFonts w:ascii="仿宋" w:hAnsi="仿宋" w:eastAsia="仿宋" w:cs="仿宋_GB2312"/>
          <w:sz w:val="32"/>
          <w:szCs w:val="32"/>
        </w:rPr>
      </w:pPr>
      <w:r>
        <w:rPr>
          <w:rFonts w:hint="eastAsia" w:ascii="仿宋" w:hAnsi="仿宋" w:eastAsia="仿宋" w:cs="仿宋_GB2312"/>
          <w:sz w:val="32"/>
          <w:szCs w:val="32"/>
        </w:rPr>
        <w:t>2、“三公经费”控制率：100%。严格控制“三公经费”支出，开源节流。2022年我社“三公经费”控制数为1万元，实际支出为0.10万元。</w:t>
      </w:r>
    </w:p>
    <w:p>
      <w:pPr>
        <w:spacing w:line="560" w:lineRule="exact"/>
        <w:ind w:firstLine="630"/>
        <w:rPr>
          <w:rFonts w:ascii="仿宋" w:hAnsi="仿宋" w:eastAsia="仿宋" w:cs="仿宋_GB2312"/>
          <w:sz w:val="32"/>
          <w:szCs w:val="32"/>
        </w:rPr>
      </w:pPr>
      <w:r>
        <w:rPr>
          <w:rFonts w:hint="eastAsia" w:ascii="仿宋" w:hAnsi="仿宋" w:eastAsia="仿宋" w:cs="仿宋_GB2312"/>
          <w:sz w:val="32"/>
          <w:szCs w:val="32"/>
        </w:rPr>
        <w:t>3、预算完成率：100%</w:t>
      </w:r>
    </w:p>
    <w:p>
      <w:pPr>
        <w:spacing w:line="560" w:lineRule="exact"/>
        <w:ind w:firstLine="630"/>
        <w:rPr>
          <w:rFonts w:ascii="仿宋" w:hAnsi="仿宋" w:eastAsia="仿宋" w:cs="仿宋_GB2312"/>
          <w:sz w:val="32"/>
          <w:szCs w:val="32"/>
        </w:rPr>
      </w:pPr>
      <w:r>
        <w:rPr>
          <w:rFonts w:hint="eastAsia" w:ascii="仿宋" w:hAnsi="仿宋" w:eastAsia="仿宋" w:cs="仿宋_GB2312"/>
          <w:sz w:val="32"/>
          <w:szCs w:val="32"/>
        </w:rPr>
        <w:t>4、政府采购执行率100%</w:t>
      </w:r>
    </w:p>
    <w:p>
      <w:pPr>
        <w:spacing w:line="560" w:lineRule="exact"/>
        <w:ind w:firstLine="630"/>
        <w:rPr>
          <w:rFonts w:ascii="仿宋" w:hAnsi="仿宋" w:eastAsia="仿宋" w:cs="仿宋_GB2312"/>
          <w:sz w:val="32"/>
          <w:szCs w:val="32"/>
        </w:rPr>
      </w:pPr>
      <w:r>
        <w:rPr>
          <w:rFonts w:hint="eastAsia" w:ascii="仿宋" w:hAnsi="仿宋" w:eastAsia="仿宋" w:cs="仿宋_GB2312"/>
          <w:sz w:val="32"/>
          <w:szCs w:val="32"/>
        </w:rPr>
        <w:t>5、在资金管理上，我社制定了一系列的财务管理制度。</w:t>
      </w:r>
    </w:p>
    <w:p>
      <w:pPr>
        <w:adjustRightInd w:val="0"/>
        <w:snapToGrid w:val="0"/>
        <w:spacing w:line="5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四、存在的主要问题</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1.预算编制的口径与实际执行出现误差：按照现行的预算编制原则，人员经费和日常公用经费都是按照上年度反映的人数安排，而实际执行中单位工作人员往往有变动或流动。</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2.预算编制的分类和实行执行出现脱节：预算编制的功能分类与经济分类不够细化，而实际支出中的情况更加多元化和明细化，出现了分类不一致的情况。</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3.部门整体支出不能很好的对比支出与成果，投入与产出效果，进而很难有针对性的发现问题，分析问题，提出解决方案。</w:t>
      </w:r>
    </w:p>
    <w:p>
      <w:pPr>
        <w:adjustRightInd w:val="0"/>
        <w:snapToGrid w:val="0"/>
        <w:spacing w:line="5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五、改进措施和有关建议</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1.进一步强化预算管理意识，预算编制前多与有关各方做好沟通衔接，提高预算编制的科学性、合理性、准确性和可控性。</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2.完善各类支出管理制度，明细收支项目，坚持专款专用，提高预算编制的前瞻性和指导性。</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3.进一步推进预算绩效管理信息系统建设，完善绩效管理相关制度，提高可操作性。</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4.构建单位财务部门和业务部门共同参与、协调配合的绩效评价工作机制，落实 “谁干事谁花钱、谁花钱谁担责”的权责机制，提高财政资金使用效益。</w:t>
      </w:r>
    </w:p>
    <w:p>
      <w:pPr>
        <w:adjustRightInd w:val="0"/>
        <w:snapToGrid w:val="0"/>
        <w:spacing w:line="560" w:lineRule="exact"/>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衡南县供销合作社联合社</w:t>
      </w:r>
    </w:p>
    <w:p>
      <w:pPr>
        <w:adjustRightInd w:val="0"/>
        <w:snapToGrid w:val="0"/>
        <w:spacing w:line="560" w:lineRule="exact"/>
        <w:ind w:right="16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2022年12月31日</w:t>
      </w:r>
    </w:p>
    <w:sectPr>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迷你简黑体">
    <w:altName w:val="黑体"/>
    <w:panose1 w:val="00000000000000000000"/>
    <w:charset w:val="86"/>
    <w:family w:val="auto"/>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FAB"/>
    <w:rsid w:val="00006FAB"/>
    <w:rsid w:val="000C6B11"/>
    <w:rsid w:val="00175CBB"/>
    <w:rsid w:val="00246E11"/>
    <w:rsid w:val="0024757E"/>
    <w:rsid w:val="00264553"/>
    <w:rsid w:val="00274EA0"/>
    <w:rsid w:val="00292743"/>
    <w:rsid w:val="002C291D"/>
    <w:rsid w:val="002F6EF4"/>
    <w:rsid w:val="003C3394"/>
    <w:rsid w:val="003C512E"/>
    <w:rsid w:val="003F46FB"/>
    <w:rsid w:val="004D2881"/>
    <w:rsid w:val="004E0163"/>
    <w:rsid w:val="005B5942"/>
    <w:rsid w:val="007C7805"/>
    <w:rsid w:val="00862C20"/>
    <w:rsid w:val="00932D70"/>
    <w:rsid w:val="00A724B5"/>
    <w:rsid w:val="00AD1A97"/>
    <w:rsid w:val="00BA43ED"/>
    <w:rsid w:val="00BD3D38"/>
    <w:rsid w:val="00BF6617"/>
    <w:rsid w:val="00C6557A"/>
    <w:rsid w:val="00D875C2"/>
    <w:rsid w:val="00DA02CB"/>
    <w:rsid w:val="00DA76EE"/>
    <w:rsid w:val="00DF2420"/>
    <w:rsid w:val="00FF688D"/>
    <w:rsid w:val="01964C36"/>
    <w:rsid w:val="02DC3EDD"/>
    <w:rsid w:val="04FB2A81"/>
    <w:rsid w:val="12517446"/>
    <w:rsid w:val="163D5BF9"/>
    <w:rsid w:val="31281947"/>
    <w:rsid w:val="340C71B6"/>
    <w:rsid w:val="3830331D"/>
    <w:rsid w:val="4AAA348D"/>
    <w:rsid w:val="4AAB292B"/>
    <w:rsid w:val="4DBA25C8"/>
    <w:rsid w:val="4EC317CF"/>
    <w:rsid w:val="502473D1"/>
    <w:rsid w:val="53926C62"/>
    <w:rsid w:val="576A537F"/>
    <w:rsid w:val="57AE684B"/>
    <w:rsid w:val="5B6519F8"/>
    <w:rsid w:val="5D8544D0"/>
    <w:rsid w:val="620505FA"/>
    <w:rsid w:val="65C866F7"/>
    <w:rsid w:val="6C350865"/>
    <w:rsid w:val="6E042A7B"/>
    <w:rsid w:val="70350E1A"/>
    <w:rsid w:val="73B861AD"/>
    <w:rsid w:val="77300CCA"/>
    <w:rsid w:val="78A9749E"/>
    <w:rsid w:val="7A7C783B"/>
    <w:rsid w:val="7C8C7AF8"/>
    <w:rsid w:val="7F5C0C9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unhideWhenUsed/>
    <w:qFormat/>
    <w:uiPriority w:val="0"/>
    <w:pPr>
      <w:keepNext/>
      <w:keepLines/>
      <w:spacing w:line="413" w:lineRule="auto"/>
      <w:outlineLvl w:val="1"/>
    </w:pPr>
    <w:rPr>
      <w:rFonts w:ascii="Arial" w:hAnsi="Arial" w:eastAsia="黑体"/>
      <w:b/>
      <w:sz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7">
    <w:name w:val="Strong"/>
    <w:basedOn w:val="6"/>
    <w:qFormat/>
    <w:uiPriority w:val="0"/>
    <w:rPr>
      <w:b/>
    </w:rPr>
  </w:style>
  <w:style w:type="paragraph" w:customStyle="1" w:styleId="8">
    <w:name w:val="样式 首行缩进:  2 字符"/>
    <w:basedOn w:val="1"/>
    <w:qFormat/>
    <w:uiPriority w:val="2"/>
    <w:pPr>
      <w:ind w:firstLine="200"/>
      <w:jc w:val="left"/>
    </w:pPr>
    <w:rPr>
      <w:kern w:val="1"/>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335</Words>
  <Characters>1914</Characters>
  <Lines>15</Lines>
  <Paragraphs>4</Paragraphs>
  <TotalTime>59</TotalTime>
  <ScaleCrop>false</ScaleCrop>
  <LinksUpToDate>false</LinksUpToDate>
  <CharactersWithSpaces>2245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2023-09-20T09:31:00Z</dcterms:created>
  <dc:creator>Administrator</dc:creator>
  <cp:lastModifiedBy>孙泽宇</cp:lastModifiedBy>
  <cp:lastPrinted>2022-04-27T03:14:00Z</cp:lastPrinted>
  <dcterms:modified xsi:type="dcterms:W3CDTF">2023-10-11T09:13:54Z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F5D0B555AAAE4658B0602FBE320D2342_13</vt:lpwstr>
  </property>
</Properties>
</file>