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before="100" w:beforeAutospacing="1" w:after="100" w:afterAutospacing="1" w:line="390" w:lineRule="atLeast"/>
        <w:jc w:val="center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6"/>
          <w:szCs w:val="36"/>
          <w:lang w:eastAsia="zh-CN"/>
        </w:rPr>
        <w:t>衡南县粮食和物资储备中心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6"/>
          <w:szCs w:val="36"/>
          <w:lang w:val="en-US" w:eastAsia="zh-CN"/>
        </w:rPr>
        <w:t>2022年整体绩效</w:t>
      </w:r>
    </w:p>
    <w:p>
      <w:pPr>
        <w:widowControl/>
        <w:shd w:val="clear" w:color="auto" w:fill="FFFFFF"/>
        <w:spacing w:before="100" w:beforeAutospacing="1" w:after="100" w:afterAutospacing="1" w:line="390" w:lineRule="atLeast"/>
        <w:jc w:val="center"/>
        <w:rPr>
          <w:rFonts w:hint="default" w:ascii="仿宋_GB2312" w:hAnsi="仿宋_GB2312" w:eastAsia="仿宋_GB2312" w:cs="仿宋_GB2312"/>
          <w:b/>
          <w:bCs/>
          <w:color w:val="000000"/>
          <w:kern w:val="0"/>
          <w:sz w:val="36"/>
          <w:szCs w:val="36"/>
          <w:lang w:val="en-US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6"/>
          <w:szCs w:val="36"/>
          <w:lang w:val="en-US" w:eastAsia="zh-CN"/>
        </w:rPr>
        <w:t>自评报告</w:t>
      </w:r>
    </w:p>
    <w:p>
      <w:pPr>
        <w:widowControl/>
        <w:shd w:val="clear" w:color="auto" w:fill="FFFFFF"/>
        <w:spacing w:before="100" w:beforeAutospacing="1" w:after="100" w:afterAutospacing="1" w:line="390" w:lineRule="atLeast"/>
        <w:ind w:firstLine="640" w:firstLineChars="200"/>
        <w:jc w:val="left"/>
        <w:rPr>
          <w:rFonts w:hint="eastAsia" w:ascii="仿宋" w:hAnsi="仿宋" w:eastAsia="仿宋" w:cs="仿宋"/>
          <w:b w:val="0"/>
          <w:bCs w:val="0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2"/>
          <w:szCs w:val="32"/>
          <w:lang w:eastAsia="zh-CN"/>
        </w:rPr>
        <w:t>根据市委编办《关于衡南县机构改革涉改科级事业单位调整的批复》（衡编办复字[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2"/>
          <w:szCs w:val="32"/>
          <w:lang w:val="en-US" w:eastAsia="zh-CN"/>
        </w:rPr>
        <w:t>2019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2"/>
          <w:szCs w:val="32"/>
          <w:lang w:eastAsia="zh-CN"/>
        </w:rPr>
        <w:t>]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2"/>
          <w:szCs w:val="32"/>
          <w:lang w:val="en-US" w:eastAsia="zh-CN"/>
        </w:rPr>
        <w:t>1号精神，组建衡南县粮食和物资储备中心，为衡南县商务和粮食局所属副科级公益一类事业单位，主要负责全县地方储备粮油实物管理、战略、救灾物资储备管理和粮食质量检验监测工作。</w:t>
      </w: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</w:rPr>
        <w:t>部门基本情况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（一）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部门职能职责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800" w:firstLineChars="25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1、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贯彻落实国家战略和救灾物资储备的仓储管理政策和制度；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800" w:firstLineChars="25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2、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按照权限组织实施全县粮油储备、各类战略物资和救灾物资的收储、轮换和日常管理工作；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800" w:firstLineChars="250"/>
        <w:textAlignment w:val="auto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3、落实全县战略物资和救灾物资储备管理工作；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800" w:firstLineChars="25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承担全县粮食质量检验监测及原粮卫生安全监测、收获粮食质量调查和品质测报；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800" w:firstLineChars="25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5、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承担全县粮食和物资储备仓库的实物、资产的管理。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750" w:firstLineChars="250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eastAsia="zh-CN"/>
        </w:rPr>
        <w:t>（二）机构设置</w:t>
      </w:r>
    </w:p>
    <w:p>
      <w:pPr>
        <w:ind w:left="638" w:leftChars="304"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eastAsia="zh-CN"/>
        </w:rPr>
        <w:t>衡南县粮食和物资储备中心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</w:rPr>
        <w:t>内设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</w:rPr>
        <w:t>个机构：办公室、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eastAsia="zh-CN"/>
        </w:rPr>
        <w:t>储备储藏股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eastAsia="zh-CN"/>
        </w:rPr>
        <w:t>质量检验监测股、物资储备股。</w:t>
      </w:r>
    </w:p>
    <w:p>
      <w:pPr>
        <w:numPr>
          <w:ilvl w:val="0"/>
          <w:numId w:val="2"/>
        </w:numPr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eastAsia="zh-CN"/>
        </w:rPr>
        <w:t>人员编制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eastAsia="zh-CN"/>
        </w:rPr>
        <w:t>衡南县粮食和物资储备中心全额拨款事业编制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val="en-US" w:eastAsia="zh-CN"/>
        </w:rPr>
        <w:t>21名。</w:t>
      </w:r>
    </w:p>
    <w:p>
      <w:pPr>
        <w:ind w:left="640" w:hanging="640" w:hangingChars="200"/>
        <w:rPr>
          <w:rFonts w:hint="eastAsia" w:ascii="仿宋" w:hAnsi="仿宋" w:eastAsia="仿宋" w:cs="仿宋"/>
          <w:b w:val="0"/>
          <w:bCs w:val="0"/>
          <w:sz w:val="32"/>
          <w:szCs w:val="32"/>
          <w:highlight w:val="lightGray"/>
          <w:lang w:eastAsia="zh-CN"/>
        </w:rPr>
      </w:pPr>
    </w:p>
    <w:p>
      <w:pPr>
        <w:ind w:left="640" w:hanging="643" w:hangingChars="20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</w:rPr>
        <w:t>二、部门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eastAsia="zh-CN"/>
        </w:rPr>
        <w:t>决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</w:rPr>
        <w:t>算单位构成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eastAsia="zh-CN"/>
        </w:rPr>
        <w:t>衡南县粮食和物资储备中心本级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。</w:t>
      </w:r>
    </w:p>
    <w:p>
      <w:pPr>
        <w:widowControl/>
        <w:shd w:val="clear" w:color="auto" w:fill="FFFFFF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</w:p>
    <w:p>
      <w:pPr>
        <w:widowControl/>
        <w:numPr>
          <w:ilvl w:val="0"/>
          <w:numId w:val="0"/>
        </w:numPr>
        <w:shd w:val="clear" w:color="auto" w:fill="FFFFFF"/>
        <w:ind w:leftChars="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eastAsia="zh-CN"/>
        </w:rPr>
        <w:t>三、收入支出预算执行情况分析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eastAsia="zh-CN"/>
        </w:rPr>
        <w:t>（一）收入支出预算安排情况</w:t>
      </w:r>
    </w:p>
    <w:p>
      <w:pPr>
        <w:widowControl/>
        <w:shd w:val="clear" w:color="auto" w:fill="FFFFFF"/>
        <w:ind w:firstLine="640" w:firstLineChars="20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收入预算：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年年初预算数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171.49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万元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。</w:t>
      </w:r>
    </w:p>
    <w:p>
      <w:pPr>
        <w:widowControl/>
        <w:shd w:val="clear" w:color="auto" w:fill="FFFFFF"/>
        <w:ind w:firstLine="640" w:firstLineChars="20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支出预算：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年年初预算数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171.49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万元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其中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人员经费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158.89万元、公用经费12.6万元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。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</w:p>
    <w:p>
      <w:pPr>
        <w:numPr>
          <w:ilvl w:val="0"/>
          <w:numId w:val="3"/>
        </w:numP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收入支出预算执行情况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本年末决算总收入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178.99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万元，决算总支出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178.99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万元，本年收支结余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零</w:t>
      </w:r>
      <w:r>
        <w:rPr>
          <w:rFonts w:hint="eastAsia" w:ascii="仿宋_GB2312" w:hAnsi="仿宋_GB2312" w:eastAsia="仿宋_GB2312" w:cs="仿宋_GB2312"/>
          <w:sz w:val="32"/>
          <w:szCs w:val="32"/>
        </w:rPr>
        <w:t>元。</w:t>
      </w:r>
    </w:p>
    <w:p>
      <w:pPr>
        <w:widowControl/>
        <w:shd w:val="clear" w:color="auto" w:fill="FFFFFF"/>
        <w:ind w:firstLine="640" w:firstLineChars="20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本年度一般公共预算收入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178.99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万元，预算支出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178.99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万元，与20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年相比，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减少12.29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万元，主要是因为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人员经费及日常运转经费减少。</w:t>
      </w:r>
    </w:p>
    <w:p>
      <w:pPr>
        <w:widowControl/>
        <w:shd w:val="clear" w:color="auto" w:fill="FFFFFF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１、收入决算情况说明</w:t>
      </w:r>
    </w:p>
    <w:p>
      <w:pPr>
        <w:widowControl/>
        <w:shd w:val="clear" w:color="auto" w:fill="FFFFFF"/>
        <w:ind w:firstLine="640" w:firstLineChars="20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本年收入合计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178.99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万元，其中：财政拨款收入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178.99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万元，占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100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%。</w:t>
      </w:r>
    </w:p>
    <w:p>
      <w:pPr>
        <w:widowControl/>
        <w:shd w:val="clear" w:color="auto" w:fill="FFFFFF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２、支出决算情况说明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本年支出合计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178.99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万元，其中：基本支出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178.99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万元，占100%。</w:t>
      </w:r>
    </w:p>
    <w:p>
      <w:pPr>
        <w:numPr>
          <w:ilvl w:val="0"/>
          <w:numId w:val="0"/>
        </w:numPr>
        <w:ind w:firstLine="640" w:firstLineChars="200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基本支出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按经济分类明细包括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工资福利支出158.30万元，占总支出比重88.44％；商品及服务支出20.20万元，占总支出比重11.29％；对个人及家庭的补助0.48万元，占总支出比重0.27％。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　　</w:t>
      </w:r>
    </w:p>
    <w:p>
      <w:pPr>
        <w:widowControl/>
        <w:shd w:val="clear" w:color="auto" w:fill="FFFFFF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</w:p>
    <w:p>
      <w:pPr>
        <w:numPr>
          <w:ilvl w:val="0"/>
          <w:numId w:val="4"/>
        </w:numP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</w:rPr>
        <w:t>其他重要事项的情况说明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“三公”经费预算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　　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年“三公”经费预算数为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万元，其中，公务接待费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万元，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无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公务用车购置及运行费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，办公经费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万元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年“三公”经费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实际支出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万元，严控三公经费支出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lightGray"/>
        </w:rPr>
        <w:br w:type="textWrapping"/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sz w:val="32"/>
          <w:szCs w:val="32"/>
        </w:rPr>
        <w:t>年末结转和结余情况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上年末结转和结余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元。本年基本支出结转结余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零</w:t>
      </w:r>
      <w:r>
        <w:rPr>
          <w:rFonts w:hint="eastAsia" w:ascii="仿宋_GB2312" w:hAnsi="仿宋_GB2312" w:eastAsia="仿宋_GB2312" w:cs="仿宋_GB2312"/>
          <w:sz w:val="32"/>
          <w:szCs w:val="32"/>
        </w:rPr>
        <w:t>，本年末结转和结余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元。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numPr>
          <w:ilvl w:val="0"/>
          <w:numId w:val="4"/>
        </w:numPr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存在的问题</w:t>
      </w:r>
    </w:p>
    <w:p>
      <w:pPr>
        <w:numPr>
          <w:ilvl w:val="0"/>
          <w:numId w:val="0"/>
        </w:numPr>
        <w:ind w:leftChars="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财源收入结构单一，收入来源主要靠上级补助收入，无项目、产业收入。支出结构有待调整优化，预算工作需进一步的精细化，预算绩效管理质量有待提高。</w:t>
      </w:r>
    </w:p>
    <w:p>
      <w:pPr>
        <w:numPr>
          <w:ilvl w:val="0"/>
          <w:numId w:val="4"/>
        </w:numPr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改进措施</w:t>
      </w:r>
    </w:p>
    <w:p>
      <w:pPr>
        <w:numPr>
          <w:ilvl w:val="0"/>
          <w:numId w:val="0"/>
        </w:numPr>
        <w:ind w:leftChars="0" w:firstLine="64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细化预算编制工作，进一步提高预算编制的科学性、严谨性和可控性，加强财务管理，严格财务审核，对相关人员加强培训，切实提高财务人员业务水平。</w:t>
      </w:r>
    </w:p>
    <w:p>
      <w:pPr>
        <w:numPr>
          <w:ilvl w:val="0"/>
          <w:numId w:val="0"/>
        </w:num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七、部门整体支出绩效自评结果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单位积极履职，强化管理，较好地完成年度工作目标。通过加强预算收支管理，不断建立健全内部管理制度，梳理内部管理流程，部门整体支出管理水平得到提升。预算编制及执行情况预算编制的准确完整性100%，评估96分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6C073F0"/>
    <w:multiLevelType w:val="singleLevel"/>
    <w:tmpl w:val="16C073F0"/>
    <w:lvl w:ilvl="0" w:tentative="0">
      <w:start w:val="2"/>
      <w:numFmt w:val="chineseCounting"/>
      <w:suff w:val="nothing"/>
      <w:lvlText w:val="（%1）　"/>
      <w:lvlJc w:val="left"/>
      <w:rPr>
        <w:rFonts w:hint="eastAsia"/>
      </w:rPr>
    </w:lvl>
  </w:abstractNum>
  <w:abstractNum w:abstractNumId="1">
    <w:nsid w:val="186BE858"/>
    <w:multiLevelType w:val="singleLevel"/>
    <w:tmpl w:val="186BE858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45027ACC"/>
    <w:multiLevelType w:val="singleLevel"/>
    <w:tmpl w:val="45027ACC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680D4912"/>
    <w:multiLevelType w:val="singleLevel"/>
    <w:tmpl w:val="680D491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c1NjViMTY4MTJmODk2ZDE1YWU2OGE1MDRkMGYzMTYifQ=="/>
  </w:docVars>
  <w:rsids>
    <w:rsidRoot w:val="0175358E"/>
    <w:rsid w:val="0054479A"/>
    <w:rsid w:val="0175358E"/>
    <w:rsid w:val="03D22E8D"/>
    <w:rsid w:val="05091295"/>
    <w:rsid w:val="067C6343"/>
    <w:rsid w:val="07B76144"/>
    <w:rsid w:val="0E1166AF"/>
    <w:rsid w:val="0E2E3029"/>
    <w:rsid w:val="124B0BE3"/>
    <w:rsid w:val="12C168CB"/>
    <w:rsid w:val="130F42B8"/>
    <w:rsid w:val="131A10F8"/>
    <w:rsid w:val="13941628"/>
    <w:rsid w:val="14793AE6"/>
    <w:rsid w:val="14B73237"/>
    <w:rsid w:val="15B84227"/>
    <w:rsid w:val="1796057D"/>
    <w:rsid w:val="19E54CF5"/>
    <w:rsid w:val="1ABF78ED"/>
    <w:rsid w:val="1D4430FE"/>
    <w:rsid w:val="203C05CE"/>
    <w:rsid w:val="204877AA"/>
    <w:rsid w:val="24AA5F36"/>
    <w:rsid w:val="24CD12BC"/>
    <w:rsid w:val="2B9C0262"/>
    <w:rsid w:val="2C9A2AD4"/>
    <w:rsid w:val="2D5B31EC"/>
    <w:rsid w:val="2E432414"/>
    <w:rsid w:val="2F5129C9"/>
    <w:rsid w:val="2FB05ED0"/>
    <w:rsid w:val="2FC173FA"/>
    <w:rsid w:val="31081E72"/>
    <w:rsid w:val="328E40F0"/>
    <w:rsid w:val="330D5AA7"/>
    <w:rsid w:val="3416740F"/>
    <w:rsid w:val="363A0253"/>
    <w:rsid w:val="370B3DCF"/>
    <w:rsid w:val="372F0C0C"/>
    <w:rsid w:val="3740796D"/>
    <w:rsid w:val="384F213A"/>
    <w:rsid w:val="3B1A3C77"/>
    <w:rsid w:val="3B71423A"/>
    <w:rsid w:val="3ED70E36"/>
    <w:rsid w:val="40D91D25"/>
    <w:rsid w:val="42880EF2"/>
    <w:rsid w:val="431B4482"/>
    <w:rsid w:val="43764343"/>
    <w:rsid w:val="44C205EC"/>
    <w:rsid w:val="46437FFA"/>
    <w:rsid w:val="46AD344D"/>
    <w:rsid w:val="46BA7F8D"/>
    <w:rsid w:val="475E217C"/>
    <w:rsid w:val="4780534D"/>
    <w:rsid w:val="4E495EF0"/>
    <w:rsid w:val="4FAC25C0"/>
    <w:rsid w:val="50902C3F"/>
    <w:rsid w:val="50F266CF"/>
    <w:rsid w:val="517C5C2C"/>
    <w:rsid w:val="52CA240F"/>
    <w:rsid w:val="52FB2836"/>
    <w:rsid w:val="53907C6C"/>
    <w:rsid w:val="55CE6B89"/>
    <w:rsid w:val="56693E1B"/>
    <w:rsid w:val="582B6D74"/>
    <w:rsid w:val="586926A4"/>
    <w:rsid w:val="5BB9375E"/>
    <w:rsid w:val="5D9418F1"/>
    <w:rsid w:val="5DF90375"/>
    <w:rsid w:val="5DFB2CB9"/>
    <w:rsid w:val="5F7A346A"/>
    <w:rsid w:val="6001247B"/>
    <w:rsid w:val="6113457A"/>
    <w:rsid w:val="61AC7509"/>
    <w:rsid w:val="62596467"/>
    <w:rsid w:val="63B92879"/>
    <w:rsid w:val="63FE1F09"/>
    <w:rsid w:val="6414773F"/>
    <w:rsid w:val="64244A1B"/>
    <w:rsid w:val="655C2E65"/>
    <w:rsid w:val="65682CE7"/>
    <w:rsid w:val="657E37B2"/>
    <w:rsid w:val="66D45E94"/>
    <w:rsid w:val="66EF4FC7"/>
    <w:rsid w:val="674C749E"/>
    <w:rsid w:val="67CD7654"/>
    <w:rsid w:val="6A7D7596"/>
    <w:rsid w:val="6DE3415D"/>
    <w:rsid w:val="6E86293D"/>
    <w:rsid w:val="700B6FC6"/>
    <w:rsid w:val="702E0092"/>
    <w:rsid w:val="706634BE"/>
    <w:rsid w:val="71652025"/>
    <w:rsid w:val="724673D1"/>
    <w:rsid w:val="729D6FC1"/>
    <w:rsid w:val="76AE4CB6"/>
    <w:rsid w:val="785A511F"/>
    <w:rsid w:val="78B346F9"/>
    <w:rsid w:val="79B27475"/>
    <w:rsid w:val="79D00705"/>
    <w:rsid w:val="7A614774"/>
    <w:rsid w:val="7B2B554D"/>
    <w:rsid w:val="7B2D3A05"/>
    <w:rsid w:val="7C534B26"/>
    <w:rsid w:val="7D5C7663"/>
    <w:rsid w:val="7EC30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1393</Words>
  <Characters>1590</Characters>
  <Lines>0</Lines>
  <Paragraphs>0</Paragraphs>
  <TotalTime>1</TotalTime>
  <ScaleCrop>false</ScaleCrop>
  <LinksUpToDate>false</LinksUpToDate>
  <CharactersWithSpaces>1608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2021-01-15T09:28:00Z</dcterms:created>
  <dc:creator>周周</dc:creator>
  <cp:lastModifiedBy>孙泽宇</cp:lastModifiedBy>
  <dcterms:modified xsi:type="dcterms:W3CDTF">2023-10-11T09:27:51Z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E7C91BD9E45E40AABC3C6C15F7C4FEDD_13</vt:lpwstr>
  </property>
</Properties>
</file>