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before="0" w:beforeAutospacing="0"/>
        <w:jc w:val="center"/>
        <w:rPr>
          <w:rFonts w:hint="default" w:ascii="方正小标宋_GBK" w:hAnsi="方正小标宋_GBK" w:eastAsia="方正小标宋_GBK" w:cs="方正小标宋_GBK"/>
          <w:shd w:val="clear" w:color="auto" w:fill="FFFFFF"/>
        </w:rPr>
      </w:pPr>
    </w:p>
    <w:p>
      <w:pPr>
        <w:pStyle w:val="9"/>
        <w:spacing w:before="0" w:beforeAutospacing="0"/>
        <w:jc w:val="center"/>
        <w:rPr>
          <w:rFonts w:hint="default" w:ascii="方正小标宋_GBK" w:hAnsi="方正小标宋_GBK" w:eastAsia="方正小标宋_GBK" w:cs="方正小标宋_GBK"/>
          <w:shd w:val="clear" w:color="auto" w:fill="FFFFFF"/>
        </w:rPr>
      </w:pPr>
      <w:r>
        <w:rPr>
          <w:rFonts w:ascii="方正小标宋_GBK" w:hAnsi="方正小标宋_GBK" w:eastAsia="方正小标宋_GBK" w:cs="方正小标宋_GBK"/>
          <w:shd w:val="clear" w:color="auto" w:fill="FFFFFF"/>
        </w:rPr>
        <w:t xml:space="preserve"> </w:t>
      </w:r>
    </w:p>
    <w:p>
      <w:pPr>
        <w:pStyle w:val="9"/>
        <w:spacing w:before="0" w:beforeAutospacing="0"/>
        <w:jc w:val="center"/>
        <w:rPr>
          <w:rFonts w:hint="default" w:ascii="方正小标宋_GBK" w:hAnsi="方正小标宋_GBK" w:eastAsia="方正小标宋_GBK" w:cs="方正小标宋_GBK"/>
          <w:shd w:val="clear" w:color="auto" w:fill="FFFFFF"/>
        </w:rPr>
      </w:pPr>
      <w:r>
        <w:rPr>
          <w:rFonts w:ascii="方正小标宋_GBK" w:hAnsi="方正小标宋_GBK" w:eastAsia="方正小标宋_GBK" w:cs="方正小标宋_GBK"/>
          <w:shd w:val="clear" w:color="auto" w:fill="FFFFFF"/>
        </w:rPr>
        <w:t xml:space="preserve"> </w:t>
      </w:r>
    </w:p>
    <w:p>
      <w:pPr>
        <w:pStyle w:val="9"/>
        <w:spacing w:before="0" w:beforeAutospacing="0"/>
        <w:jc w:val="center"/>
        <w:rPr>
          <w:rFonts w:hint="default" w:ascii="方正小标宋_GBK" w:hAnsi="方正小标宋_GBK" w:eastAsia="方正小标宋_GBK" w:cs="方正小标宋_GBK"/>
          <w:shd w:val="clear" w:color="auto" w:fill="FFFFFF"/>
        </w:rPr>
      </w:pPr>
      <w:r>
        <w:rPr>
          <w:rFonts w:ascii="方正小标宋_GBK" w:hAnsi="方正小标宋_GBK" w:eastAsia="方正小标宋_GBK" w:cs="方正小标宋_GBK"/>
          <w:shd w:val="clear" w:color="auto" w:fill="FFFFFF"/>
        </w:rPr>
        <w:t xml:space="preserve"> </w:t>
      </w:r>
    </w:p>
    <w:p>
      <w:pPr>
        <w:jc w:val="center"/>
        <w:rPr>
          <w:rFonts w:hint="default" w:ascii="方正小标宋_GBK" w:hAnsi="方正小标宋_GBK" w:eastAsia="方正小标宋_GBK" w:cs="方正小标宋_GBK"/>
          <w:sz w:val="52"/>
          <w:szCs w:val="52"/>
        </w:rPr>
      </w:pPr>
      <w:r>
        <w:rPr>
          <w:rFonts w:ascii="方正小标宋_GBK" w:hAnsi="方正小标宋_GBK" w:eastAsia="方正小标宋_GBK" w:cs="方正小标宋_GBK"/>
          <w:sz w:val="52"/>
          <w:szCs w:val="52"/>
        </w:rPr>
        <w:t>衡南县工商业联合会</w:t>
      </w:r>
    </w:p>
    <w:p>
      <w:pPr>
        <w:jc w:val="center"/>
        <w:rPr>
          <w:rFonts w:hint="default" w:ascii="方正小标宋_GBK" w:hAnsi="方正小标宋_GBK" w:eastAsia="方正小标宋_GBK" w:cs="方正小标宋_GBK"/>
          <w:sz w:val="52"/>
          <w:szCs w:val="52"/>
        </w:rPr>
      </w:pPr>
      <w:r>
        <w:rPr>
          <w:rFonts w:ascii="方正小标宋_GBK" w:hAnsi="方正小标宋_GBK" w:eastAsia="方正小标宋_GBK" w:cs="方正小标宋_GBK"/>
          <w:sz w:val="52"/>
          <w:szCs w:val="52"/>
        </w:rPr>
        <w:t>2020年度部门决算公开材料</w:t>
      </w:r>
    </w:p>
    <w:p>
      <w:pPr>
        <w:jc w:val="center"/>
        <w:rPr>
          <w:rFonts w:hint="default" w:ascii="Times New Roman" w:hAnsi="Times New Roman"/>
          <w:b/>
          <w:sz w:val="44"/>
          <w:szCs w:val="44"/>
        </w:rPr>
      </w:pPr>
      <w:r>
        <w:rPr>
          <w:rFonts w:ascii="Times New Roman" w:hAnsi="Times New Roman"/>
          <w:b/>
          <w:sz w:val="44"/>
          <w:szCs w:val="44"/>
        </w:rPr>
        <w:t xml:space="preserve"> </w:t>
      </w:r>
    </w:p>
    <w:p>
      <w:pPr>
        <w:pStyle w:val="9"/>
        <w:spacing w:before="0" w:beforeAutospacing="0"/>
        <w:jc w:val="center"/>
        <w:rPr>
          <w:rFonts w:hint="default" w:cs="宋体"/>
          <w:shd w:val="clear" w:color="auto" w:fill="FFFFFF"/>
        </w:rPr>
      </w:pPr>
      <w:r>
        <w:rPr>
          <w:rFonts w:cs="宋体"/>
          <w:shd w:val="clear" w:color="auto" w:fill="FFFFFF"/>
        </w:rPr>
        <w:t xml:space="preserve"> </w:t>
      </w:r>
    </w:p>
    <w:p>
      <w:pPr>
        <w:pStyle w:val="9"/>
        <w:spacing w:before="0" w:beforeAutospacing="0"/>
        <w:jc w:val="center"/>
        <w:rPr>
          <w:rFonts w:hint="default" w:cs="宋体"/>
          <w:shd w:val="clear" w:color="auto" w:fill="FFFFFF"/>
        </w:rPr>
      </w:pPr>
      <w:r>
        <w:rPr>
          <w:rFonts w:cs="宋体"/>
          <w:shd w:val="clear" w:color="auto" w:fill="FFFFFF"/>
        </w:rPr>
        <w:t xml:space="preserve"> </w:t>
      </w:r>
    </w:p>
    <w:p>
      <w:pPr>
        <w:pStyle w:val="9"/>
        <w:spacing w:before="0" w:beforeAutospacing="0"/>
        <w:jc w:val="both"/>
        <w:rPr>
          <w:rFonts w:hint="default" w:cs="宋体"/>
          <w:shd w:val="clear" w:color="auto" w:fill="FFFFFF"/>
        </w:rPr>
      </w:pPr>
      <w:r>
        <w:rPr>
          <w:rFonts w:cs="宋体"/>
          <w:shd w:val="clear" w:color="auto" w:fill="FFFFFF"/>
        </w:rPr>
        <w:t xml:space="preserve"> </w:t>
      </w:r>
    </w:p>
    <w:p>
      <w:pPr>
        <w:pStyle w:val="9"/>
        <w:spacing w:before="0" w:beforeAutospacing="0"/>
        <w:jc w:val="center"/>
        <w:rPr>
          <w:rFonts w:hint="default" w:cs="宋体"/>
          <w:shd w:val="clear" w:color="auto" w:fill="FFFFFF"/>
        </w:rPr>
      </w:pPr>
      <w:r>
        <w:rPr>
          <w:rFonts w:cs="宋体"/>
          <w:shd w:val="clear" w:color="auto" w:fill="FFFFFF"/>
        </w:rPr>
        <w:t xml:space="preserve"> </w:t>
      </w:r>
    </w:p>
    <w:p>
      <w:pPr>
        <w:pStyle w:val="9"/>
        <w:spacing w:before="0" w:beforeAutospacing="0"/>
        <w:jc w:val="center"/>
        <w:rPr>
          <w:rFonts w:hint="default" w:cs="宋体"/>
          <w:shd w:val="clear" w:color="auto" w:fill="FFFFFF"/>
        </w:rPr>
      </w:pPr>
      <w:r>
        <w:rPr>
          <w:rFonts w:cs="宋体"/>
          <w:shd w:val="clear" w:color="auto" w:fill="FFFFFF"/>
        </w:rPr>
        <w:t xml:space="preserve"> </w:t>
      </w:r>
    </w:p>
    <w:p>
      <w:pPr>
        <w:pStyle w:val="9"/>
        <w:spacing w:before="0" w:beforeAutospacing="0"/>
        <w:jc w:val="center"/>
        <w:rPr>
          <w:rFonts w:hint="default" w:cs="宋体"/>
          <w:shd w:val="clear" w:color="auto" w:fill="FFFFFF"/>
        </w:rPr>
      </w:pPr>
      <w:r>
        <w:rPr>
          <w:rFonts w:cs="宋体"/>
          <w:shd w:val="clear" w:color="auto" w:fill="FFFFFF"/>
        </w:rPr>
        <w:t xml:space="preserve"> </w:t>
      </w:r>
    </w:p>
    <w:p>
      <w:pPr>
        <w:pStyle w:val="9"/>
        <w:spacing w:before="0" w:beforeAutospacing="0"/>
        <w:jc w:val="center"/>
        <w:rPr>
          <w:rFonts w:hint="default" w:cs="宋体"/>
          <w:shd w:val="clear" w:color="auto" w:fill="FFFFFF"/>
        </w:rPr>
      </w:pPr>
      <w:r>
        <w:rPr>
          <w:rFonts w:cs="宋体"/>
          <w:shd w:val="clear" w:color="auto" w:fill="FFFFFF"/>
        </w:rPr>
        <w:t xml:space="preserve"> </w:t>
      </w:r>
    </w:p>
    <w:p>
      <w:pPr>
        <w:pStyle w:val="9"/>
        <w:spacing w:before="0" w:beforeAutospacing="0"/>
        <w:jc w:val="center"/>
        <w:rPr>
          <w:rFonts w:hint="default" w:cs="宋体"/>
          <w:shd w:val="clear" w:color="auto" w:fill="FFFFFF"/>
        </w:rPr>
      </w:pPr>
      <w:r>
        <w:rPr>
          <w:rFonts w:cs="宋体"/>
          <w:shd w:val="clear" w:color="auto" w:fill="FFFFFF"/>
        </w:rPr>
        <w:t xml:space="preserve"> </w:t>
      </w:r>
    </w:p>
    <w:p>
      <w:pPr>
        <w:pStyle w:val="9"/>
        <w:spacing w:before="0" w:beforeAutospacing="0"/>
        <w:jc w:val="center"/>
        <w:rPr>
          <w:rFonts w:hint="default" w:cs="宋体"/>
          <w:shd w:val="clear" w:color="auto" w:fill="FFFFFF"/>
        </w:rPr>
      </w:pPr>
      <w:r>
        <w:rPr>
          <w:rFonts w:cs="宋体"/>
          <w:shd w:val="clear" w:color="auto" w:fill="FFFFFF"/>
        </w:rPr>
        <w:t xml:space="preserve"> </w:t>
      </w:r>
    </w:p>
    <w:p>
      <w:pPr>
        <w:pStyle w:val="9"/>
        <w:spacing w:before="0" w:beforeAutospacing="0"/>
        <w:jc w:val="both"/>
        <w:rPr>
          <w:rFonts w:hint="default" w:cs="宋体"/>
          <w:shd w:val="clear" w:color="auto" w:fill="FFFFFF"/>
        </w:rPr>
      </w:pPr>
      <w:r>
        <w:rPr>
          <w:rFonts w:cs="宋体"/>
          <w:shd w:val="clear" w:color="auto" w:fill="FFFFFF"/>
        </w:rPr>
        <w:t xml:space="preserve"> </w:t>
      </w:r>
    </w:p>
    <w:p>
      <w:pPr>
        <w:pStyle w:val="9"/>
        <w:spacing w:before="0" w:beforeAutospacing="0"/>
        <w:jc w:val="center"/>
        <w:rPr>
          <w:rFonts w:hint="default" w:cs="宋体"/>
          <w:shd w:val="clear" w:color="auto" w:fill="FFFFFF"/>
        </w:rPr>
      </w:pPr>
      <w:r>
        <w:rPr>
          <w:rFonts w:cs="宋体"/>
          <w:shd w:val="clear" w:color="auto" w:fill="FFFFFF"/>
        </w:rPr>
        <w:t xml:space="preserve"> </w:t>
      </w:r>
    </w:p>
    <w:p>
      <w:pPr>
        <w:pStyle w:val="9"/>
        <w:spacing w:before="0" w:beforeAutospacing="0"/>
        <w:jc w:val="center"/>
        <w:rPr>
          <w:rFonts w:hint="default" w:cs="宋体"/>
          <w:shd w:val="clear" w:color="auto" w:fill="FFFFFF"/>
        </w:rPr>
      </w:pPr>
      <w:r>
        <w:rPr>
          <w:rFonts w:cs="宋体"/>
          <w:shd w:val="clear" w:color="auto" w:fill="FFFFFF"/>
        </w:rPr>
        <w:t xml:space="preserve"> </w:t>
      </w:r>
    </w:p>
    <w:p>
      <w:pPr>
        <w:pStyle w:val="9"/>
        <w:spacing w:before="0" w:beforeAutospacing="0"/>
        <w:jc w:val="center"/>
        <w:rPr>
          <w:rFonts w:hint="default" w:cs="宋体"/>
          <w:shd w:val="clear" w:color="auto" w:fill="FFFFFF"/>
        </w:rPr>
      </w:pPr>
    </w:p>
    <w:p>
      <w:pPr>
        <w:pStyle w:val="9"/>
        <w:spacing w:before="0" w:beforeAutospacing="0" w:line="600" w:lineRule="exact"/>
        <w:jc w:val="center"/>
        <w:rPr>
          <w:rFonts w:hint="default" w:ascii="方正小标宋_GBK" w:hAnsi="方正小标宋_GBK" w:eastAsia="方正小标宋_GBK" w:cs="方正小标宋_GBK"/>
          <w:sz w:val="44"/>
          <w:szCs w:val="44"/>
        </w:rPr>
      </w:pPr>
      <w:r>
        <w:rPr>
          <w:rFonts w:ascii="方正小标宋_GBK" w:hAnsi="方正小标宋_GBK" w:eastAsia="方正小标宋_GBK" w:cs="方正小标宋_GBK"/>
          <w:sz w:val="44"/>
          <w:szCs w:val="44"/>
          <w:shd w:val="clear" w:color="auto" w:fill="FFFFFF"/>
        </w:rPr>
        <w:t>目  录</w:t>
      </w:r>
    </w:p>
    <w:p>
      <w:pPr>
        <w:pStyle w:val="9"/>
        <w:autoSpaceDE w:val="0"/>
        <w:spacing w:before="0" w:beforeAutospacing="0" w:line="600" w:lineRule="exact"/>
        <w:rPr>
          <w:rFonts w:hint="default" w:ascii="方正黑体_GBK" w:hAnsi="方正黑体_GBK" w:eastAsia="方正黑体_GBK" w:cs="方正黑体_GBK"/>
          <w:sz w:val="32"/>
          <w:szCs w:val="32"/>
        </w:rPr>
      </w:pPr>
      <w:r>
        <w:rPr>
          <w:rStyle w:val="8"/>
          <w:rFonts w:hint="eastAsia" w:ascii="方正黑体_GBK" w:hAnsi="方正黑体_GBK" w:eastAsia="方正黑体_GBK" w:cs="方正黑体_GBK"/>
          <w:b w:val="0"/>
          <w:sz w:val="32"/>
          <w:szCs w:val="32"/>
          <w:shd w:val="clear" w:color="auto" w:fill="FFFFFF"/>
        </w:rPr>
        <w:t>第一部分  衡南县工商业联合会概况</w:t>
      </w:r>
    </w:p>
    <w:p>
      <w:pPr>
        <w:pStyle w:val="9"/>
        <w:autoSpaceDE w:val="0"/>
        <w:spacing w:before="0" w:beforeAutospacing="0" w:line="600" w:lineRule="exact"/>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一、部门职责</w:t>
      </w:r>
    </w:p>
    <w:p>
      <w:pPr>
        <w:pStyle w:val="9"/>
        <w:autoSpaceDE w:val="0"/>
        <w:spacing w:before="0" w:beforeAutospacing="0" w:line="600" w:lineRule="exact"/>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二、机构设置</w:t>
      </w:r>
    </w:p>
    <w:p>
      <w:pPr>
        <w:pStyle w:val="9"/>
        <w:autoSpaceDE w:val="0"/>
        <w:spacing w:before="0" w:beforeAutospacing="0" w:line="600" w:lineRule="exact"/>
        <w:rPr>
          <w:rFonts w:hint="default" w:ascii="方正黑体_GBK" w:hAnsi="方正黑体_GBK" w:eastAsia="方正黑体_GBK" w:cs="方正黑体_GBK"/>
          <w:sz w:val="32"/>
          <w:szCs w:val="32"/>
          <w:shd w:val="clear" w:color="auto" w:fill="FFFFFF"/>
        </w:rPr>
      </w:pPr>
      <w:r>
        <w:rPr>
          <w:rStyle w:val="8"/>
          <w:rFonts w:hint="eastAsia" w:ascii="方正黑体_GBK" w:hAnsi="方正黑体_GBK" w:eastAsia="方正黑体_GBK" w:cs="方正黑体_GBK"/>
          <w:b w:val="0"/>
          <w:sz w:val="32"/>
          <w:szCs w:val="32"/>
          <w:shd w:val="clear" w:color="auto" w:fill="FFFFFF"/>
        </w:rPr>
        <w:t>第二部分  2020年度部门决算表</w:t>
      </w:r>
    </w:p>
    <w:p>
      <w:pPr>
        <w:pStyle w:val="9"/>
        <w:autoSpaceDE w:val="0"/>
        <w:spacing w:before="0" w:beforeAutospacing="0"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一、收入支出决算总表</w:t>
      </w:r>
    </w:p>
    <w:p>
      <w:pPr>
        <w:pStyle w:val="9"/>
        <w:autoSpaceDE w:val="0"/>
        <w:spacing w:before="0" w:beforeAutospacing="0"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二、收入决算表</w:t>
      </w:r>
    </w:p>
    <w:p>
      <w:pPr>
        <w:pStyle w:val="9"/>
        <w:autoSpaceDE w:val="0"/>
        <w:spacing w:before="0" w:beforeAutospacing="0"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三、支出决算表</w:t>
      </w:r>
    </w:p>
    <w:p>
      <w:pPr>
        <w:pStyle w:val="9"/>
        <w:autoSpaceDE w:val="0"/>
        <w:spacing w:before="0" w:beforeAutospacing="0"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四、财政拨款收入支出决算总表</w:t>
      </w:r>
    </w:p>
    <w:p>
      <w:pPr>
        <w:pStyle w:val="9"/>
        <w:autoSpaceDE w:val="0"/>
        <w:spacing w:before="0" w:beforeAutospacing="0"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五、一般公共预算财政拨款支出决算表</w:t>
      </w:r>
    </w:p>
    <w:p>
      <w:pPr>
        <w:pStyle w:val="9"/>
        <w:autoSpaceDE w:val="0"/>
        <w:spacing w:before="0" w:beforeAutospacing="0"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六、一般公共预算财政拨款基本支出决算表</w:t>
      </w:r>
    </w:p>
    <w:p>
      <w:pPr>
        <w:pStyle w:val="9"/>
        <w:autoSpaceDE w:val="0"/>
        <w:spacing w:before="0" w:beforeAutospacing="0"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七、一般公共预算财政拨款“三公”经费支出决算表</w:t>
      </w:r>
    </w:p>
    <w:p>
      <w:pPr>
        <w:pStyle w:val="9"/>
        <w:autoSpaceDE w:val="0"/>
        <w:spacing w:before="0" w:beforeAutospacing="0"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八、政府性基金预算财政拨款收入支出决算表</w:t>
      </w:r>
    </w:p>
    <w:p>
      <w:pPr>
        <w:pStyle w:val="10"/>
        <w:spacing w:line="520" w:lineRule="exact"/>
        <w:rPr>
          <w:rFonts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九、国有资本经营预算财政拨款支出决算表</w:t>
      </w:r>
    </w:p>
    <w:p>
      <w:pPr>
        <w:pStyle w:val="10"/>
        <w:spacing w:line="520" w:lineRule="exact"/>
        <w:rPr>
          <w:rFonts w:ascii="方正仿宋_GBK" w:hAnsi="方正仿宋_GBK" w:eastAsia="方正仿宋_GBK" w:cs="方正仿宋_GBK"/>
          <w:color w:val="auto"/>
          <w:sz w:val="32"/>
          <w:szCs w:val="32"/>
          <w:shd w:val="clear" w:color="auto" w:fill="FFFFFF"/>
        </w:rPr>
      </w:pPr>
    </w:p>
    <w:p>
      <w:pPr>
        <w:pStyle w:val="9"/>
        <w:autoSpaceDE w:val="0"/>
        <w:spacing w:before="0" w:beforeAutospacing="0" w:line="600" w:lineRule="exact"/>
        <w:rPr>
          <w:rFonts w:hint="default" w:ascii="方正黑体_GBK" w:hAnsi="方正黑体_GBK" w:eastAsia="方正黑体_GBK" w:cs="方正黑体_GBK"/>
          <w:sz w:val="32"/>
          <w:szCs w:val="32"/>
          <w:shd w:val="clear" w:color="auto" w:fill="FFFFFF"/>
        </w:rPr>
      </w:pPr>
      <w:r>
        <w:rPr>
          <w:rStyle w:val="8"/>
          <w:rFonts w:hint="eastAsia" w:ascii="方正黑体_GBK" w:hAnsi="方正黑体_GBK" w:eastAsia="方正黑体_GBK" w:cs="方正黑体_GBK"/>
          <w:b w:val="0"/>
          <w:sz w:val="32"/>
          <w:szCs w:val="32"/>
          <w:shd w:val="clear" w:color="auto" w:fill="FFFFFF"/>
        </w:rPr>
        <w:t>第三部分  2020年度部门决算情况说明</w:t>
      </w:r>
    </w:p>
    <w:p>
      <w:pPr>
        <w:pStyle w:val="9"/>
        <w:autoSpaceDE w:val="0"/>
        <w:spacing w:before="0" w:beforeAutospacing="0"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一、收入支出决算总体情况说明</w:t>
      </w:r>
    </w:p>
    <w:p>
      <w:pPr>
        <w:pStyle w:val="9"/>
        <w:autoSpaceDE w:val="0"/>
        <w:spacing w:before="0" w:beforeAutospacing="0"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二、收入决算情况说明</w:t>
      </w:r>
    </w:p>
    <w:p>
      <w:pPr>
        <w:pStyle w:val="9"/>
        <w:autoSpaceDE w:val="0"/>
        <w:spacing w:before="0" w:beforeAutospacing="0"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三、支出决算情况说明</w:t>
      </w:r>
    </w:p>
    <w:p>
      <w:pPr>
        <w:pStyle w:val="9"/>
        <w:autoSpaceDE w:val="0"/>
        <w:spacing w:before="0" w:beforeAutospacing="0"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四、财政拨款收入支出决算总体情况说明</w:t>
      </w:r>
    </w:p>
    <w:p>
      <w:pPr>
        <w:pStyle w:val="9"/>
        <w:autoSpaceDE w:val="0"/>
        <w:spacing w:before="0" w:beforeAutospacing="0"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五、一般公共预算财政拨款支出决算情况说明</w:t>
      </w:r>
    </w:p>
    <w:p>
      <w:pPr>
        <w:pStyle w:val="9"/>
        <w:autoSpaceDE w:val="0"/>
        <w:spacing w:before="0" w:beforeAutospacing="0"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六、一般公共预算财政拨款基本支出决算情况说明</w:t>
      </w:r>
    </w:p>
    <w:p>
      <w:pPr>
        <w:pStyle w:val="9"/>
        <w:autoSpaceDE w:val="0"/>
        <w:spacing w:before="0" w:beforeAutospacing="0"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七、一般公共预算财政拨款三公经费支出决算情况说明</w:t>
      </w:r>
    </w:p>
    <w:p>
      <w:pPr>
        <w:pStyle w:val="9"/>
        <w:autoSpaceDE w:val="0"/>
        <w:spacing w:before="0" w:beforeAutospacing="0"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八、政府性基金预算收入支出决算情况</w:t>
      </w:r>
    </w:p>
    <w:p>
      <w:pPr>
        <w:pStyle w:val="9"/>
        <w:autoSpaceDE w:val="0"/>
        <w:spacing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九、国有资本经营预算财政拨款支出决算情况</w:t>
      </w:r>
    </w:p>
    <w:p>
      <w:pPr>
        <w:pStyle w:val="9"/>
        <w:autoSpaceDE w:val="0"/>
        <w:spacing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十、关于机关运行经费支出说明</w:t>
      </w:r>
    </w:p>
    <w:p>
      <w:pPr>
        <w:pStyle w:val="9"/>
        <w:autoSpaceDE w:val="0"/>
        <w:spacing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十一、一般性支出情况说明</w:t>
      </w:r>
    </w:p>
    <w:p>
      <w:pPr>
        <w:pStyle w:val="9"/>
        <w:autoSpaceDE w:val="0"/>
        <w:spacing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十二、关于政府采购支出说明</w:t>
      </w:r>
    </w:p>
    <w:p>
      <w:pPr>
        <w:pStyle w:val="9"/>
        <w:autoSpaceDE w:val="0"/>
        <w:spacing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十三、关于国有资产占用情况说明</w:t>
      </w:r>
    </w:p>
    <w:p>
      <w:pPr>
        <w:pStyle w:val="9"/>
        <w:autoSpaceDE w:val="0"/>
        <w:spacing w:before="0" w:beforeAutospacing="0" w:line="600" w:lineRule="exact"/>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十四、关于</w:t>
      </w:r>
      <w:r>
        <w:rPr>
          <w:rFonts w:hint="default" w:ascii="方正仿宋_GBK" w:hAnsi="方正仿宋_GBK" w:eastAsia="方正仿宋_GBK" w:cs="方正仿宋_GBK"/>
          <w:sz w:val="32"/>
          <w:szCs w:val="32"/>
          <w:shd w:val="clear" w:color="auto" w:fill="FFFFFF"/>
        </w:rPr>
        <w:t>2020年度预算绩效情况说明</w:t>
      </w:r>
    </w:p>
    <w:p>
      <w:pPr>
        <w:pStyle w:val="9"/>
        <w:autoSpaceDE w:val="0"/>
        <w:spacing w:before="0" w:beforeAutospacing="0" w:line="600" w:lineRule="exact"/>
        <w:rPr>
          <w:rStyle w:val="8"/>
          <w:rFonts w:hint="eastAsia" w:ascii="方正黑体_GBK" w:hAnsi="方正黑体_GBK" w:eastAsia="方正黑体_GBK" w:cs="方正黑体_GBK"/>
          <w:b w:val="0"/>
          <w:sz w:val="32"/>
          <w:szCs w:val="32"/>
          <w:shd w:val="clear" w:color="auto" w:fill="FFFFFF"/>
        </w:rPr>
      </w:pPr>
      <w:r>
        <w:rPr>
          <w:rStyle w:val="8"/>
          <w:rFonts w:hint="eastAsia" w:ascii="方正黑体_GBK" w:hAnsi="方正黑体_GBK" w:eastAsia="方正黑体_GBK" w:cs="方正黑体_GBK"/>
          <w:b w:val="0"/>
          <w:sz w:val="32"/>
          <w:szCs w:val="32"/>
          <w:shd w:val="clear" w:color="auto" w:fill="FFFFFF"/>
        </w:rPr>
        <w:t>第四部分  名词解释</w:t>
      </w:r>
    </w:p>
    <w:p>
      <w:pPr>
        <w:pStyle w:val="9"/>
        <w:autoSpaceDE w:val="0"/>
        <w:spacing w:before="0" w:beforeAutospacing="0" w:line="600" w:lineRule="exact"/>
        <w:rPr>
          <w:rFonts w:hint="default" w:ascii="方正黑体_GBK" w:hAnsi="方正黑体_GBK" w:eastAsia="方正黑体_GBK" w:cs="方正黑体_GBK"/>
          <w:sz w:val="32"/>
          <w:szCs w:val="32"/>
          <w:shd w:val="clear" w:color="auto" w:fill="FFFFFF"/>
        </w:rPr>
      </w:pPr>
      <w:r>
        <w:rPr>
          <w:rStyle w:val="8"/>
          <w:rFonts w:hint="eastAsia" w:ascii="方正黑体_GBK" w:hAnsi="方正黑体_GBK" w:eastAsia="方正黑体_GBK" w:cs="方正黑体_GBK"/>
          <w:b w:val="0"/>
          <w:sz w:val="32"/>
          <w:szCs w:val="32"/>
          <w:shd w:val="clear" w:color="auto" w:fill="FFFFFF"/>
        </w:rPr>
        <w:t>第五部分  附件</w:t>
      </w:r>
    </w:p>
    <w:p>
      <w:pPr>
        <w:pStyle w:val="9"/>
        <w:spacing w:before="0" w:beforeAutospacing="0"/>
        <w:jc w:val="center"/>
        <w:rPr>
          <w:rFonts w:hint="default" w:ascii="方正小标宋_GBK" w:hAnsi="方正小标宋_GBK" w:eastAsia="方正小标宋_GBK" w:cs="方正小标宋_GBK"/>
          <w:sz w:val="40"/>
          <w:szCs w:val="40"/>
          <w:shd w:val="clear" w:color="auto" w:fill="FFFFFF"/>
        </w:rPr>
      </w:pPr>
      <w:r>
        <w:rPr>
          <w:rFonts w:ascii="方正小标宋_GBK" w:hAnsi="方正小标宋_GBK" w:eastAsia="方正小标宋_GBK" w:cs="方正小标宋_GBK"/>
          <w:sz w:val="40"/>
          <w:szCs w:val="40"/>
          <w:shd w:val="clear" w:color="auto" w:fill="FFFFFF"/>
        </w:rPr>
        <w:t>第一部分  单位概况</w:t>
      </w:r>
    </w:p>
    <w:p>
      <w:pPr>
        <w:pStyle w:val="9"/>
        <w:spacing w:before="0" w:beforeAutospacing="0" w:afterAutospacing="0" w:line="600" w:lineRule="exact"/>
        <w:ind w:firstLine="680" w:firstLineChars="200"/>
        <w:jc w:val="both"/>
        <w:rPr>
          <w:rFonts w:hint="default" w:ascii="方正黑体_GBK" w:hAnsi="方正黑体_GBK" w:eastAsia="方正黑体_GBK" w:cs="方正黑体_GBK"/>
          <w:sz w:val="34"/>
          <w:szCs w:val="34"/>
        </w:rPr>
      </w:pPr>
      <w:r>
        <w:rPr>
          <w:rFonts w:ascii="方正黑体_GBK" w:hAnsi="方正黑体_GBK" w:eastAsia="方正黑体_GBK" w:cs="方正黑体_GBK"/>
          <w:sz w:val="34"/>
          <w:szCs w:val="34"/>
        </w:rPr>
        <w:t>一、部门职责</w:t>
      </w:r>
    </w:p>
    <w:p>
      <w:pPr>
        <w:spacing w:before="100" w:after="100" w:line="390" w:lineRule="atLeast"/>
        <w:ind w:firstLine="465"/>
        <w:rPr>
          <w:rFonts w:hint="default" w:ascii="方正黑体_GBK" w:hAnsi="方正黑体_GBK" w:eastAsia="方正黑体_GBK" w:cs="方正黑体_GBK"/>
          <w:sz w:val="34"/>
          <w:szCs w:val="34"/>
          <w:lang w:bidi="ar"/>
        </w:rPr>
      </w:pPr>
      <w:r>
        <w:rPr>
          <w:rFonts w:ascii="方正黑体_GBK" w:hAnsi="方正黑体_GBK" w:eastAsia="方正黑体_GBK" w:cs="方正黑体_GBK"/>
          <w:sz w:val="34"/>
          <w:szCs w:val="34"/>
          <w:lang w:bidi="ar"/>
        </w:rPr>
        <w:t>1、团结、服务、引导、教育非公有制经济人士爱国、敬业、诚信、守法、贡献，培养拥护党的领导、走中国特色社会主义道路的非公有制经济人士队伍。</w:t>
      </w:r>
    </w:p>
    <w:p>
      <w:pPr>
        <w:spacing w:before="100" w:after="100" w:line="390" w:lineRule="atLeast"/>
        <w:ind w:firstLine="465"/>
        <w:rPr>
          <w:rFonts w:hint="default" w:ascii="方正黑体_GBK" w:hAnsi="方正黑体_GBK" w:eastAsia="方正黑体_GBK" w:cs="方正黑体_GBK"/>
          <w:sz w:val="34"/>
          <w:szCs w:val="34"/>
          <w:lang w:bidi="ar"/>
        </w:rPr>
      </w:pPr>
      <w:r>
        <w:rPr>
          <w:rFonts w:ascii="方正黑体_GBK" w:hAnsi="方正黑体_GBK" w:eastAsia="方正黑体_GBK" w:cs="方正黑体_GBK"/>
          <w:sz w:val="34"/>
          <w:szCs w:val="34"/>
          <w:lang w:bidi="ar"/>
        </w:rPr>
        <w:t>2、做好非公有制经济代表人士政治安排的推荐工作。参与政治协商，发挥民主监督作用，积极参政议政。</w:t>
      </w:r>
    </w:p>
    <w:p>
      <w:pPr>
        <w:spacing w:before="100" w:after="100" w:line="390" w:lineRule="atLeast"/>
        <w:ind w:firstLine="465"/>
        <w:rPr>
          <w:rFonts w:hint="default" w:ascii="方正黑体_GBK" w:hAnsi="方正黑体_GBK" w:eastAsia="方正黑体_GBK" w:cs="方正黑体_GBK"/>
          <w:sz w:val="34"/>
          <w:szCs w:val="34"/>
          <w:lang w:bidi="ar"/>
        </w:rPr>
      </w:pPr>
      <w:r>
        <w:rPr>
          <w:rFonts w:ascii="方正黑体_GBK" w:hAnsi="方正黑体_GBK" w:eastAsia="方正黑体_GBK" w:cs="方正黑体_GBK"/>
          <w:sz w:val="34"/>
          <w:szCs w:val="34"/>
          <w:lang w:bidi="ar"/>
        </w:rPr>
        <w:t>3、参与政府相关的经济活动，广泛联系各地工商界人士，开展民间外交，推动经贸交流和协作，促进经济社会发展。</w:t>
      </w:r>
      <w:bookmarkStart w:id="0" w:name="_GoBack"/>
      <w:bookmarkEnd w:id="0"/>
    </w:p>
    <w:p>
      <w:pPr>
        <w:spacing w:before="100" w:after="100" w:line="390" w:lineRule="atLeast"/>
        <w:ind w:firstLine="465"/>
        <w:rPr>
          <w:rFonts w:hint="default" w:ascii="方正黑体_GBK" w:hAnsi="方正黑体_GBK" w:eastAsia="方正黑体_GBK" w:cs="方正黑体_GBK"/>
          <w:sz w:val="34"/>
          <w:szCs w:val="34"/>
          <w:lang w:bidi="ar"/>
        </w:rPr>
      </w:pPr>
      <w:r>
        <w:rPr>
          <w:rFonts w:ascii="方正黑体_GBK" w:hAnsi="方正黑体_GBK" w:eastAsia="方正黑体_GBK" w:cs="方正黑体_GBK"/>
          <w:sz w:val="34"/>
          <w:szCs w:val="34"/>
          <w:lang w:bidi="ar"/>
        </w:rPr>
        <w:t>4、参与协调劳动关系，促进和谐社会建设。</w:t>
      </w:r>
    </w:p>
    <w:p>
      <w:pPr>
        <w:spacing w:before="100" w:after="100" w:line="390" w:lineRule="atLeast"/>
        <w:ind w:firstLine="465"/>
        <w:rPr>
          <w:rFonts w:hint="default" w:ascii="方正黑体_GBK" w:hAnsi="方正黑体_GBK" w:eastAsia="方正黑体_GBK" w:cs="方正黑体_GBK"/>
          <w:sz w:val="34"/>
          <w:szCs w:val="34"/>
          <w:lang w:bidi="ar"/>
        </w:rPr>
      </w:pPr>
      <w:r>
        <w:rPr>
          <w:rFonts w:ascii="方正黑体_GBK" w:hAnsi="方正黑体_GBK" w:eastAsia="方正黑体_GBK" w:cs="方正黑体_GBK"/>
          <w:sz w:val="34"/>
          <w:szCs w:val="34"/>
          <w:lang w:bidi="ar"/>
        </w:rPr>
        <w:t>5、指导本会直属商会工作，积极参与社会组织建设工作，促进行业协会商会改革发展。</w:t>
      </w:r>
    </w:p>
    <w:p>
      <w:pPr>
        <w:spacing w:before="100" w:after="100" w:line="390" w:lineRule="atLeast"/>
        <w:ind w:firstLine="465"/>
        <w:jc w:val="both"/>
        <w:rPr>
          <w:rFonts w:hint="default" w:ascii="方正黑体_GBK" w:hAnsi="方正黑体_GBK" w:eastAsia="方正黑体_GBK" w:cs="方正黑体_GBK"/>
          <w:sz w:val="34"/>
          <w:szCs w:val="34"/>
          <w:lang w:bidi="ar"/>
        </w:rPr>
      </w:pPr>
      <w:r>
        <w:rPr>
          <w:rFonts w:ascii="方正黑体_GBK" w:hAnsi="方正黑体_GBK" w:eastAsia="方正黑体_GBK" w:cs="方正黑体_GBK"/>
          <w:sz w:val="34"/>
          <w:szCs w:val="34"/>
          <w:lang w:bidi="ar"/>
        </w:rPr>
        <w:t>6、反映非公有制企业和非公有制经济人士利益诉求，维护其合法权益。</w:t>
      </w:r>
    </w:p>
    <w:p>
      <w:pPr>
        <w:spacing w:before="100" w:after="100" w:line="390" w:lineRule="atLeast"/>
        <w:ind w:firstLine="465"/>
        <w:rPr>
          <w:rFonts w:hint="default" w:ascii="方正黑体_GBK" w:hAnsi="方正黑体_GBK" w:eastAsia="方正黑体_GBK" w:cs="方正黑体_GBK"/>
          <w:sz w:val="34"/>
          <w:szCs w:val="34"/>
          <w:lang w:bidi="ar"/>
        </w:rPr>
      </w:pPr>
      <w:r>
        <w:rPr>
          <w:rFonts w:ascii="方正黑体_GBK" w:hAnsi="方正黑体_GBK" w:eastAsia="方正黑体_GBK" w:cs="方正黑体_GBK"/>
          <w:sz w:val="34"/>
          <w:szCs w:val="34"/>
          <w:lang w:bidi="ar"/>
        </w:rPr>
        <w:t>7、为会员提供政策信息、人才交流培训等服务。组织会员企业参加各类经贸活动，外出参观考察，帮助会员企业拓展市场。</w:t>
      </w:r>
    </w:p>
    <w:p>
      <w:pPr>
        <w:spacing w:before="100" w:after="100" w:line="390" w:lineRule="atLeast"/>
        <w:ind w:firstLine="465"/>
        <w:rPr>
          <w:rFonts w:hint="default" w:ascii="方正黑体_GBK" w:hAnsi="方正黑体_GBK" w:eastAsia="方正黑体_GBK" w:cs="方正黑体_GBK"/>
          <w:sz w:val="34"/>
          <w:szCs w:val="34"/>
          <w:lang w:bidi="ar"/>
        </w:rPr>
      </w:pPr>
      <w:r>
        <w:rPr>
          <w:rFonts w:ascii="方正黑体_GBK" w:hAnsi="方正黑体_GBK" w:eastAsia="方正黑体_GBK" w:cs="方正黑体_GBK"/>
          <w:sz w:val="34"/>
          <w:szCs w:val="34"/>
          <w:lang w:bidi="ar"/>
        </w:rPr>
        <w:t>8、配合有关部门开展非公有制会员企业党建工作。</w:t>
      </w:r>
    </w:p>
    <w:p>
      <w:pPr>
        <w:spacing w:before="100" w:after="100" w:line="390" w:lineRule="atLeast"/>
        <w:ind w:firstLine="465"/>
        <w:rPr>
          <w:rFonts w:hint="default" w:ascii="方正黑体_GBK" w:hAnsi="方正黑体_GBK" w:eastAsia="方正黑体_GBK" w:cs="方正黑体_GBK"/>
          <w:sz w:val="34"/>
          <w:szCs w:val="34"/>
          <w:lang w:bidi="ar"/>
        </w:rPr>
      </w:pPr>
      <w:r>
        <w:rPr>
          <w:rFonts w:ascii="方正黑体_GBK" w:hAnsi="方正黑体_GBK" w:eastAsia="方正黑体_GBK" w:cs="方正黑体_GBK"/>
          <w:sz w:val="34"/>
          <w:szCs w:val="34"/>
          <w:lang w:bidi="ar"/>
        </w:rPr>
        <w:t>9、积极引导非公有制企业及其非公有制经济人士承担社会责任，大力支持慈善公益事业发展，积极投身光彩事业。</w:t>
      </w:r>
    </w:p>
    <w:p>
      <w:pPr>
        <w:spacing w:before="100" w:after="100" w:line="390" w:lineRule="atLeast"/>
        <w:ind w:firstLine="465"/>
        <w:rPr>
          <w:rFonts w:hint="default" w:ascii="方正黑体_GBK" w:hAnsi="方正黑体_GBK" w:eastAsia="方正黑体_GBK" w:cs="方正黑体_GBK"/>
          <w:sz w:val="34"/>
          <w:szCs w:val="34"/>
          <w:lang w:bidi="ar"/>
        </w:rPr>
      </w:pPr>
      <w:r>
        <w:rPr>
          <w:rFonts w:ascii="方正黑体_GBK" w:hAnsi="方正黑体_GBK" w:eastAsia="方正黑体_GBK" w:cs="方正黑体_GBK"/>
          <w:sz w:val="34"/>
          <w:szCs w:val="34"/>
          <w:lang w:bidi="ar"/>
        </w:rPr>
        <w:t>10、承办县委、县政府和上级工商联交办的其它任务。</w:t>
      </w:r>
    </w:p>
    <w:p>
      <w:pPr>
        <w:snapToGrid w:val="0"/>
        <w:spacing w:line="600" w:lineRule="exact"/>
        <w:ind w:firstLine="680" w:firstLineChars="200"/>
        <w:jc w:val="both"/>
        <w:rPr>
          <w:rFonts w:hint="default" w:ascii="方正黑体_GBK" w:hAnsi="方正黑体_GBK" w:eastAsia="方正黑体_GBK" w:cs="方正黑体_GBK"/>
          <w:sz w:val="34"/>
          <w:szCs w:val="34"/>
          <w:lang w:bidi="ar"/>
        </w:rPr>
      </w:pPr>
      <w:r>
        <w:rPr>
          <w:rFonts w:ascii="方正黑体_GBK" w:hAnsi="方正黑体_GBK" w:eastAsia="方正黑体_GBK" w:cs="方正黑体_GBK"/>
          <w:sz w:val="34"/>
          <w:szCs w:val="34"/>
          <w:lang w:bidi="ar"/>
        </w:rPr>
        <w:t>二、机构设置及决算单位构成</w:t>
      </w:r>
    </w:p>
    <w:p>
      <w:pPr>
        <w:snapToGrid w:val="0"/>
        <w:spacing w:line="600" w:lineRule="exact"/>
        <w:ind w:firstLine="680" w:firstLineChars="200"/>
        <w:jc w:val="both"/>
        <w:rPr>
          <w:rFonts w:hint="default" w:ascii="方正黑体_GBK" w:hAnsi="方正黑体_GBK" w:eastAsia="方正黑体_GBK" w:cs="方正黑体_GBK"/>
          <w:sz w:val="34"/>
          <w:szCs w:val="34"/>
          <w:lang w:bidi="ar"/>
        </w:rPr>
      </w:pPr>
      <w:r>
        <w:rPr>
          <w:rFonts w:ascii="方正黑体_GBK" w:hAnsi="方正黑体_GBK" w:eastAsia="方正黑体_GBK" w:cs="方正黑体_GBK"/>
          <w:sz w:val="34"/>
          <w:szCs w:val="34"/>
          <w:lang w:bidi="ar"/>
        </w:rPr>
        <w:t>（一）内设机构设置</w:t>
      </w:r>
    </w:p>
    <w:p>
      <w:pPr>
        <w:widowControl w:val="0"/>
        <w:autoSpaceDE w:val="0"/>
        <w:snapToGrid w:val="0"/>
        <w:spacing w:line="600" w:lineRule="exact"/>
        <w:ind w:firstLine="680" w:firstLineChars="200"/>
        <w:jc w:val="both"/>
        <w:rPr>
          <w:rFonts w:hint="default" w:ascii="方正黑体_GBK" w:hAnsi="方正黑体_GBK" w:eastAsia="方正黑体_GBK" w:cs="方正黑体_GBK"/>
          <w:sz w:val="34"/>
          <w:szCs w:val="34"/>
          <w:lang w:bidi="ar"/>
        </w:rPr>
      </w:pPr>
      <w:r>
        <w:rPr>
          <w:rFonts w:ascii="方正黑体_GBK" w:hAnsi="方正黑体_GBK" w:eastAsia="方正黑体_GBK" w:cs="方正黑体_GBK"/>
          <w:sz w:val="34"/>
          <w:szCs w:val="34"/>
          <w:lang w:bidi="ar"/>
        </w:rPr>
        <w:t>衡南县工商业联合会为机关行政单位，现有在职人数12人，离退休人数6人，下设五个科室：办公室、会员部、经济联络部、宣教部、文明办。</w:t>
      </w:r>
    </w:p>
    <w:p>
      <w:pPr>
        <w:widowControl w:val="0"/>
        <w:autoSpaceDE w:val="0"/>
        <w:snapToGrid w:val="0"/>
        <w:spacing w:line="600" w:lineRule="exact"/>
        <w:ind w:firstLine="680" w:firstLineChars="200"/>
        <w:rPr>
          <w:rFonts w:hint="default" w:ascii="方正黑体_GBK" w:hAnsi="方正黑体_GBK" w:eastAsia="方正黑体_GBK" w:cs="方正黑体_GBK"/>
          <w:sz w:val="34"/>
          <w:szCs w:val="34"/>
          <w:lang w:bidi="ar"/>
        </w:rPr>
      </w:pPr>
      <w:r>
        <w:rPr>
          <w:rFonts w:ascii="方正黑体_GBK" w:hAnsi="方正黑体_GBK" w:eastAsia="方正黑体_GBK" w:cs="方正黑体_GBK"/>
          <w:sz w:val="34"/>
          <w:szCs w:val="34"/>
          <w:lang w:bidi="ar"/>
        </w:rPr>
        <w:t>（二）决算单位构成</w:t>
      </w:r>
    </w:p>
    <w:p>
      <w:pPr>
        <w:spacing w:line="600" w:lineRule="exact"/>
        <w:ind w:firstLine="680" w:firstLineChars="200"/>
        <w:rPr>
          <w:rFonts w:hint="default" w:ascii="方正黑体_GBK" w:hAnsi="方正黑体_GBK" w:eastAsia="方正黑体_GBK" w:cs="方正黑体_GBK"/>
          <w:sz w:val="34"/>
          <w:szCs w:val="34"/>
          <w:lang w:bidi="ar"/>
        </w:rPr>
      </w:pPr>
      <w:r>
        <w:rPr>
          <w:rFonts w:ascii="方正黑体_GBK" w:hAnsi="方正黑体_GBK" w:eastAsia="方正黑体_GBK" w:cs="方正黑体_GBK"/>
          <w:sz w:val="34"/>
          <w:szCs w:val="34"/>
          <w:lang w:bidi="ar"/>
        </w:rPr>
        <w:t xml:space="preserve">衡南县工商业联合会2020年部门决算汇总公开单位构成包括： 衡南县工商业联合会本级。 </w:t>
      </w:r>
    </w:p>
    <w:p>
      <w:pPr>
        <w:widowControl w:val="0"/>
        <w:autoSpaceDE w:val="0"/>
        <w:snapToGrid w:val="0"/>
        <w:spacing w:line="600" w:lineRule="exact"/>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 xml:space="preserve"> </w:t>
      </w:r>
    </w:p>
    <w:p>
      <w:pPr>
        <w:widowControl w:val="0"/>
        <w:autoSpaceDE w:val="0"/>
        <w:snapToGrid w:val="0"/>
        <w:spacing w:line="600" w:lineRule="exact"/>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 xml:space="preserve"> </w:t>
      </w:r>
    </w:p>
    <w:p>
      <w:pPr>
        <w:widowControl w:val="0"/>
        <w:autoSpaceDE w:val="0"/>
        <w:snapToGrid w:val="0"/>
        <w:spacing w:line="600" w:lineRule="exact"/>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 xml:space="preserve"> </w:t>
      </w:r>
    </w:p>
    <w:p>
      <w:pPr>
        <w:widowControl w:val="0"/>
        <w:autoSpaceDE w:val="0"/>
        <w:snapToGrid w:val="0"/>
        <w:spacing w:line="600" w:lineRule="exact"/>
        <w:rPr>
          <w:rFonts w:hint="default" w:ascii="方正仿宋_GBK" w:hAnsi="方正仿宋_GBK" w:eastAsia="方正仿宋_GBK" w:cs="方正仿宋_GBK"/>
          <w:sz w:val="34"/>
          <w:szCs w:val="34"/>
        </w:rPr>
      </w:pPr>
    </w:p>
    <w:p>
      <w:pPr>
        <w:widowControl w:val="0"/>
        <w:autoSpaceDE w:val="0"/>
        <w:snapToGrid w:val="0"/>
        <w:spacing w:line="600" w:lineRule="exact"/>
        <w:rPr>
          <w:rFonts w:hint="default" w:ascii="方正仿宋_GBK" w:hAnsi="方正仿宋_GBK" w:eastAsia="方正仿宋_GBK" w:cs="方正仿宋_GBK"/>
          <w:sz w:val="34"/>
          <w:szCs w:val="34"/>
        </w:rPr>
      </w:pPr>
    </w:p>
    <w:p>
      <w:pPr>
        <w:widowControl w:val="0"/>
        <w:autoSpaceDE w:val="0"/>
        <w:snapToGrid w:val="0"/>
        <w:spacing w:line="600" w:lineRule="exact"/>
        <w:rPr>
          <w:rFonts w:hint="default" w:ascii="方正仿宋_GBK" w:hAnsi="方正仿宋_GBK" w:eastAsia="方正仿宋_GBK" w:cs="方正仿宋_GBK"/>
          <w:sz w:val="34"/>
          <w:szCs w:val="34"/>
        </w:rPr>
      </w:pPr>
    </w:p>
    <w:p>
      <w:pPr>
        <w:widowControl w:val="0"/>
        <w:autoSpaceDE w:val="0"/>
        <w:snapToGrid w:val="0"/>
        <w:spacing w:line="600" w:lineRule="exact"/>
        <w:rPr>
          <w:rFonts w:hint="default" w:ascii="方正仿宋_GBK" w:hAnsi="方正仿宋_GBK" w:eastAsia="方正仿宋_GBK" w:cs="方正仿宋_GBK"/>
          <w:sz w:val="34"/>
          <w:szCs w:val="34"/>
        </w:rPr>
      </w:pPr>
    </w:p>
    <w:p>
      <w:pPr>
        <w:widowControl w:val="0"/>
        <w:autoSpaceDE w:val="0"/>
        <w:snapToGrid w:val="0"/>
        <w:spacing w:line="600" w:lineRule="exact"/>
        <w:rPr>
          <w:rFonts w:hint="default" w:ascii="方正仿宋_GBK" w:hAnsi="方正仿宋_GBK" w:eastAsia="方正仿宋_GBK" w:cs="方正仿宋_GBK"/>
          <w:sz w:val="34"/>
          <w:szCs w:val="34"/>
        </w:rPr>
      </w:pPr>
    </w:p>
    <w:p>
      <w:pPr>
        <w:widowControl w:val="0"/>
        <w:autoSpaceDE w:val="0"/>
        <w:snapToGrid w:val="0"/>
        <w:spacing w:line="600" w:lineRule="exact"/>
        <w:rPr>
          <w:rFonts w:hint="default" w:ascii="方正仿宋_GBK" w:hAnsi="方正仿宋_GBK" w:eastAsia="方正仿宋_GBK" w:cs="方正仿宋_GBK"/>
          <w:sz w:val="34"/>
          <w:szCs w:val="34"/>
        </w:rPr>
      </w:pPr>
    </w:p>
    <w:p>
      <w:pPr>
        <w:widowControl w:val="0"/>
        <w:autoSpaceDE w:val="0"/>
        <w:snapToGrid w:val="0"/>
        <w:spacing w:line="600" w:lineRule="exact"/>
        <w:rPr>
          <w:rFonts w:hint="default" w:ascii="方正仿宋_GBK" w:hAnsi="方正仿宋_GBK" w:eastAsia="方正仿宋_GBK" w:cs="方正仿宋_GBK"/>
          <w:sz w:val="34"/>
          <w:szCs w:val="34"/>
        </w:rPr>
      </w:pPr>
    </w:p>
    <w:p>
      <w:pPr>
        <w:widowControl w:val="0"/>
        <w:autoSpaceDE w:val="0"/>
        <w:snapToGrid w:val="0"/>
        <w:spacing w:line="600" w:lineRule="exact"/>
        <w:rPr>
          <w:rFonts w:hint="default" w:ascii="方正仿宋_GBK" w:hAnsi="方正仿宋_GBK" w:eastAsia="方正仿宋_GBK" w:cs="方正仿宋_GBK"/>
          <w:sz w:val="34"/>
          <w:szCs w:val="34"/>
        </w:rPr>
      </w:pPr>
    </w:p>
    <w:p>
      <w:pPr>
        <w:widowControl w:val="0"/>
        <w:autoSpaceDE w:val="0"/>
        <w:snapToGrid w:val="0"/>
        <w:spacing w:line="600" w:lineRule="exact"/>
        <w:rPr>
          <w:rFonts w:hint="default" w:ascii="方正小标宋_GBK" w:hAnsi="方正小标宋_GBK" w:eastAsia="方正小标宋_GBK" w:cs="方正小标宋_GBK"/>
          <w:sz w:val="40"/>
          <w:szCs w:val="40"/>
        </w:rPr>
      </w:pPr>
    </w:p>
    <w:p>
      <w:pPr>
        <w:widowControl w:val="0"/>
        <w:autoSpaceDE w:val="0"/>
        <w:snapToGrid w:val="0"/>
        <w:spacing w:line="600" w:lineRule="exact"/>
        <w:rPr>
          <w:rFonts w:hint="default" w:ascii="方正小标宋_GBK" w:hAnsi="方正小标宋_GBK" w:eastAsia="方正小标宋_GBK" w:cs="方正小标宋_GBK"/>
          <w:sz w:val="40"/>
          <w:szCs w:val="40"/>
        </w:rPr>
      </w:pPr>
    </w:p>
    <w:p>
      <w:pPr>
        <w:widowControl w:val="0"/>
        <w:autoSpaceDE w:val="0"/>
        <w:snapToGrid w:val="0"/>
        <w:spacing w:line="600" w:lineRule="exact"/>
        <w:rPr>
          <w:rFonts w:hint="default" w:ascii="方正小标宋_GBK" w:hAnsi="方正小标宋_GBK" w:eastAsia="方正小标宋_GBK" w:cs="方正小标宋_GBK"/>
          <w:sz w:val="40"/>
          <w:szCs w:val="40"/>
        </w:rPr>
      </w:pPr>
    </w:p>
    <w:p>
      <w:pPr>
        <w:widowControl w:val="0"/>
        <w:autoSpaceDE w:val="0"/>
        <w:snapToGrid w:val="0"/>
        <w:spacing w:line="600" w:lineRule="exact"/>
        <w:rPr>
          <w:rFonts w:hint="default" w:ascii="方正小标宋_GBK" w:hAnsi="方正小标宋_GBK" w:eastAsia="方正小标宋_GBK" w:cs="方正小标宋_GBK"/>
          <w:sz w:val="40"/>
          <w:szCs w:val="40"/>
        </w:rPr>
      </w:pPr>
    </w:p>
    <w:p>
      <w:pPr>
        <w:widowControl w:val="0"/>
        <w:autoSpaceDE w:val="0"/>
        <w:snapToGrid w:val="0"/>
        <w:spacing w:line="600" w:lineRule="exact"/>
        <w:rPr>
          <w:rFonts w:hint="default" w:ascii="方正小标宋_GBK" w:hAnsi="方正小标宋_GBK" w:eastAsia="方正小标宋_GBK" w:cs="方正小标宋_GBK"/>
          <w:sz w:val="40"/>
          <w:szCs w:val="40"/>
        </w:rPr>
      </w:pPr>
    </w:p>
    <w:p>
      <w:pPr>
        <w:numPr>
          <w:ilvl w:val="0"/>
          <w:numId w:val="1"/>
        </w:numPr>
        <w:spacing w:line="600" w:lineRule="exact"/>
        <w:jc w:val="center"/>
        <w:rPr>
          <w:rFonts w:hint="default" w:ascii="方正小标宋_GBK" w:hAnsi="方正小标宋_GBK" w:eastAsia="方正小标宋_GBK" w:cs="方正小标宋_GBK"/>
          <w:sz w:val="40"/>
          <w:szCs w:val="40"/>
        </w:rPr>
      </w:pPr>
      <w:r>
        <w:rPr>
          <w:rFonts w:ascii="方正小标宋_GBK" w:hAnsi="方正小标宋_GBK" w:eastAsia="方正小标宋_GBK" w:cs="方正小标宋_GBK"/>
          <w:sz w:val="40"/>
          <w:szCs w:val="40"/>
        </w:rPr>
        <w:t xml:space="preserve"> 2020年度部门决算表</w:t>
      </w:r>
    </w:p>
    <w:p>
      <w:pPr>
        <w:pStyle w:val="9"/>
        <w:spacing w:before="0" w:beforeAutospacing="0"/>
        <w:jc w:val="both"/>
        <w:rPr>
          <w:rFonts w:hint="default" w:ascii="方正小标宋_GBK" w:hAnsi="方正小标宋_GBK" w:eastAsia="方正小标宋_GBK" w:cs="方正小标宋_GBK"/>
          <w:sz w:val="40"/>
          <w:szCs w:val="40"/>
          <w:shd w:val="clear" w:color="auto" w:fill="FFFFFF"/>
        </w:rPr>
      </w:pPr>
      <w:r>
        <w:rPr>
          <w:rFonts w:ascii="方正小标宋_GBK" w:hAnsi="方正小标宋_GBK" w:eastAsia="方正小标宋_GBK" w:cs="方正小标宋_GBK"/>
          <w:sz w:val="40"/>
          <w:szCs w:val="40"/>
          <w:shd w:val="clear" w:color="auto" w:fill="FFFFFF"/>
        </w:rPr>
        <w:t xml:space="preserve"> </w:t>
      </w:r>
    </w:p>
    <w:p>
      <w:pPr>
        <w:jc w:val="center"/>
        <w:rPr>
          <w:rFonts w:hint="default"/>
          <w:sz w:val="36"/>
          <w:szCs w:val="36"/>
        </w:rPr>
      </w:pPr>
      <w:r>
        <w:rPr>
          <w:sz w:val="36"/>
          <w:szCs w:val="36"/>
        </w:rPr>
        <w:t>(部门决算公示表附后)</w:t>
      </w:r>
    </w:p>
    <w:p>
      <w:pPr>
        <w:pStyle w:val="9"/>
        <w:spacing w:before="0" w:beforeAutospacing="0" w:afterAutospacing="0" w:line="600" w:lineRule="exact"/>
        <w:jc w:val="center"/>
        <w:rPr>
          <w:rFonts w:hint="default" w:ascii="方正小标宋_GBK" w:hAnsi="方正小标宋_GBK" w:eastAsia="方正小标宋_GBK" w:cs="方正小标宋_GBK"/>
          <w:sz w:val="40"/>
          <w:szCs w:val="40"/>
        </w:rPr>
      </w:pPr>
      <w:r>
        <w:rPr>
          <w:rFonts w:hint="default" w:ascii="方正小标宋_GBK" w:hAnsi="方正小标宋_GBK" w:eastAsia="方正小标宋_GBK" w:cs="方正小标宋_GBK"/>
          <w:sz w:val="40"/>
          <w:szCs w:val="40"/>
          <w:shd w:val="clear" w:color="auto" w:fill="FFFFFF"/>
        </w:rPr>
        <w:br w:type="page"/>
      </w:r>
      <w:r>
        <w:rPr>
          <w:rFonts w:ascii="方正小标宋_GBK" w:hAnsi="方正小标宋_GBK" w:eastAsia="方正小标宋_GBK" w:cs="方正小标宋_GBK"/>
          <w:sz w:val="40"/>
          <w:szCs w:val="40"/>
        </w:rPr>
        <w:t>第三部分  2020年度部门决算情况说明</w:t>
      </w:r>
    </w:p>
    <w:p>
      <w:pPr>
        <w:spacing w:line="600" w:lineRule="exact"/>
        <w:ind w:firstLine="680" w:firstLineChars="200"/>
        <w:rPr>
          <w:rFonts w:hint="default" w:ascii="方正黑体_GBK" w:hAnsi="方正黑体_GBK" w:eastAsia="方正黑体_GBK" w:cs="方正黑体_GBK"/>
          <w:sz w:val="34"/>
          <w:szCs w:val="34"/>
        </w:rPr>
      </w:pPr>
      <w:r>
        <w:rPr>
          <w:rFonts w:ascii="方正黑体_GBK" w:hAnsi="方正黑体_GBK" w:eastAsia="方正黑体_GBK" w:cs="方正黑体_GBK"/>
          <w:sz w:val="34"/>
          <w:szCs w:val="34"/>
        </w:rPr>
        <w:t>一、收入支出决算总体情况说明</w:t>
      </w:r>
    </w:p>
    <w:p>
      <w:pPr>
        <w:pStyle w:val="10"/>
        <w:spacing w:line="560" w:lineRule="exact"/>
        <w:ind w:firstLine="680" w:firstLineChars="200"/>
        <w:rPr>
          <w:rFonts w:hint="eastAsia" w:ascii="方正仿宋_GBK" w:hAnsi="方正仿宋_GBK" w:eastAsia="方正仿宋_GBK" w:cs="方正仿宋_GBK"/>
          <w:sz w:val="34"/>
          <w:szCs w:val="34"/>
        </w:rPr>
      </w:pPr>
      <w:r>
        <w:rPr>
          <w:rFonts w:ascii="方正仿宋_GBK" w:hAnsi="方正仿宋_GBK" w:eastAsia="方正仿宋_GBK" w:cs="方正仿宋_GBK"/>
          <w:sz w:val="34"/>
          <w:szCs w:val="34"/>
        </w:rPr>
        <w:t>2020年度收</w:t>
      </w:r>
      <w:r>
        <w:rPr>
          <w:rFonts w:hint="eastAsia" w:ascii="方正仿宋_GBK" w:hAnsi="方正仿宋_GBK" w:eastAsia="方正仿宋_GBK" w:cs="方正仿宋_GBK"/>
          <w:sz w:val="34"/>
          <w:szCs w:val="34"/>
        </w:rPr>
        <w:t>、</w:t>
      </w:r>
      <w:r>
        <w:rPr>
          <w:rFonts w:ascii="方正仿宋_GBK" w:hAnsi="方正仿宋_GBK" w:eastAsia="方正仿宋_GBK" w:cs="方正仿宋_GBK"/>
          <w:sz w:val="34"/>
          <w:szCs w:val="34"/>
        </w:rPr>
        <w:t>支总计256.3011万元，其中：财政拨款255.82万元</w:t>
      </w:r>
      <w:r>
        <w:rPr>
          <w:rFonts w:hint="eastAsia" w:ascii="方正仿宋_GBK" w:hAnsi="方正仿宋_GBK" w:eastAsia="方正仿宋_GBK" w:cs="方正仿宋_GBK"/>
          <w:sz w:val="34"/>
          <w:szCs w:val="34"/>
        </w:rPr>
        <w:t>，</w:t>
      </w:r>
      <w:r>
        <w:rPr>
          <w:rFonts w:ascii="方正仿宋_GBK" w:hAnsi="方正仿宋_GBK" w:eastAsia="方正仿宋_GBK" w:cs="方正仿宋_GBK"/>
          <w:sz w:val="34"/>
          <w:szCs w:val="34"/>
        </w:rPr>
        <w:t>上年结余0.48万元</w:t>
      </w:r>
      <w:r>
        <w:rPr>
          <w:rFonts w:hint="eastAsia" w:ascii="方正仿宋_GBK" w:hAnsi="方正仿宋_GBK" w:eastAsia="方正仿宋_GBK" w:cs="方正仿宋_GBK"/>
          <w:sz w:val="34"/>
          <w:szCs w:val="34"/>
        </w:rPr>
        <w:t>，</w:t>
      </w:r>
      <w:r>
        <w:rPr>
          <w:rFonts w:ascii="方正仿宋_GBK" w:hAnsi="方正仿宋_GBK" w:eastAsia="方正仿宋_GBK" w:cs="方正仿宋_GBK"/>
          <w:sz w:val="34"/>
          <w:szCs w:val="34"/>
        </w:rPr>
        <w:t>较上年决算数减少7.4923万元</w:t>
      </w:r>
      <w:r>
        <w:rPr>
          <w:rFonts w:hint="eastAsia" w:ascii="方正仿宋_GBK" w:hAnsi="方正仿宋_GBK" w:eastAsia="方正仿宋_GBK" w:cs="方正仿宋_GBK"/>
          <w:sz w:val="34"/>
          <w:szCs w:val="34"/>
        </w:rPr>
        <w:t>，</w:t>
      </w:r>
      <w:r>
        <w:rPr>
          <w:rFonts w:ascii="方正仿宋_GBK" w:hAnsi="方正仿宋_GBK" w:eastAsia="方正仿宋_GBK" w:cs="方正仿宋_GBK"/>
          <w:sz w:val="34"/>
          <w:szCs w:val="34"/>
        </w:rPr>
        <w:t>减少</w:t>
      </w:r>
      <w:r>
        <w:rPr>
          <w:rFonts w:hint="eastAsia" w:ascii="方正仿宋_GBK" w:hAnsi="方正仿宋_GBK" w:eastAsia="方正仿宋_GBK" w:cs="方正仿宋_GBK"/>
          <w:sz w:val="34"/>
          <w:szCs w:val="34"/>
        </w:rPr>
        <w:t>2</w:t>
      </w:r>
      <w:r>
        <w:rPr>
          <w:rFonts w:ascii="方正仿宋_GBK" w:hAnsi="方正仿宋_GBK" w:eastAsia="方正仿宋_GBK" w:cs="方正仿宋_GBK"/>
          <w:sz w:val="34"/>
          <w:szCs w:val="34"/>
        </w:rPr>
        <w:t>.84</w:t>
      </w:r>
      <w:r>
        <w:rPr>
          <w:rFonts w:hint="eastAsia" w:ascii="方正仿宋_GBK" w:hAnsi="方正仿宋_GBK" w:eastAsia="方正仿宋_GBK" w:cs="方正仿宋_GBK"/>
          <w:sz w:val="34"/>
          <w:szCs w:val="34"/>
        </w:rPr>
        <w:t>%</w:t>
      </w:r>
      <w:r>
        <w:rPr>
          <w:rFonts w:ascii="方正仿宋_GBK" w:hAnsi="方正仿宋_GBK" w:eastAsia="方正仿宋_GBK" w:cs="方正仿宋_GBK"/>
          <w:sz w:val="34"/>
          <w:szCs w:val="34"/>
        </w:rPr>
        <w:t>。</w:t>
      </w:r>
      <w:r>
        <w:rPr>
          <w:rFonts w:hint="eastAsia" w:ascii="方正仿宋_GBK" w:hAnsi="方正仿宋_GBK" w:eastAsia="方正仿宋_GBK" w:cs="方正仿宋_GBK"/>
          <w:sz w:val="34"/>
          <w:szCs w:val="34"/>
        </w:rPr>
        <w:t>主要是因为上年部分结余以及贯彻落实国家过“紧日子”要求，压减了一般性支出。</w:t>
      </w:r>
    </w:p>
    <w:p>
      <w:pPr>
        <w:spacing w:line="600" w:lineRule="exact"/>
        <w:ind w:firstLine="680" w:firstLineChars="200"/>
        <w:jc w:val="both"/>
        <w:rPr>
          <w:rFonts w:hint="default" w:ascii="方正黑体_GBK" w:hAnsi="方正黑体_GBK" w:eastAsia="方正黑体_GBK" w:cs="方正黑体_GBK"/>
          <w:sz w:val="34"/>
          <w:szCs w:val="34"/>
        </w:rPr>
      </w:pPr>
      <w:r>
        <w:rPr>
          <w:rFonts w:ascii="方正黑体_GBK" w:hAnsi="方正黑体_GBK" w:eastAsia="方正黑体_GBK" w:cs="方正黑体_GBK"/>
          <w:sz w:val="34"/>
          <w:szCs w:val="34"/>
        </w:rPr>
        <w:t>二、收入决算情况说明</w:t>
      </w:r>
    </w:p>
    <w:p>
      <w:pPr>
        <w:spacing w:line="600" w:lineRule="exact"/>
        <w:ind w:firstLine="640"/>
        <w:jc w:val="both"/>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2020年度本年收入合计25</w:t>
      </w:r>
      <w:r>
        <w:rPr>
          <w:rFonts w:hint="default" w:ascii="方正仿宋_GBK" w:hAnsi="方正仿宋_GBK" w:eastAsia="方正仿宋_GBK" w:cs="方正仿宋_GBK"/>
          <w:sz w:val="34"/>
          <w:szCs w:val="34"/>
        </w:rPr>
        <w:t>5.81</w:t>
      </w:r>
      <w:r>
        <w:rPr>
          <w:rFonts w:ascii="方正仿宋_GBK" w:hAnsi="方正仿宋_GBK" w:eastAsia="方正仿宋_GBK" w:cs="方正仿宋_GBK"/>
          <w:sz w:val="34"/>
          <w:szCs w:val="34"/>
        </w:rPr>
        <w:t>万元，较上年决算数减少7.4923万元。本年收入决算各项构成及占比情况如下：</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（一）财政拨款收入2</w:t>
      </w:r>
      <w:r>
        <w:rPr>
          <w:rFonts w:hint="default" w:ascii="方正仿宋_GBK" w:hAnsi="方正仿宋_GBK" w:eastAsia="方正仿宋_GBK" w:cs="方正仿宋_GBK"/>
          <w:sz w:val="34"/>
          <w:szCs w:val="34"/>
        </w:rPr>
        <w:t>55.81</w:t>
      </w:r>
      <w:r>
        <w:rPr>
          <w:rFonts w:ascii="方正仿宋_GBK" w:hAnsi="方正仿宋_GBK" w:eastAsia="方正仿宋_GBK" w:cs="方正仿宋_GBK"/>
          <w:sz w:val="34"/>
          <w:szCs w:val="34"/>
        </w:rPr>
        <w:t>万元，占本年收入合计的100%。</w:t>
      </w:r>
    </w:p>
    <w:p>
      <w:pPr>
        <w:spacing w:line="600" w:lineRule="exact"/>
        <w:ind w:firstLine="680" w:firstLineChars="200"/>
        <w:jc w:val="both"/>
        <w:rPr>
          <w:rFonts w:hint="default" w:ascii="方正黑体_GBK" w:hAnsi="方正黑体_GBK" w:eastAsia="方正黑体_GBK" w:cs="方正黑体_GBK"/>
          <w:b/>
          <w:sz w:val="34"/>
          <w:szCs w:val="34"/>
        </w:rPr>
      </w:pPr>
      <w:r>
        <w:rPr>
          <w:rFonts w:ascii="方正黑体_GBK" w:hAnsi="方正黑体_GBK" w:eastAsia="方正黑体_GBK" w:cs="方正黑体_GBK"/>
          <w:sz w:val="34"/>
          <w:szCs w:val="34"/>
        </w:rPr>
        <w:t>三、支出决算情况说明</w:t>
      </w:r>
    </w:p>
    <w:p>
      <w:pPr>
        <w:spacing w:line="600" w:lineRule="exact"/>
        <w:ind w:firstLine="680" w:firstLineChars="200"/>
        <w:jc w:val="both"/>
        <w:rPr>
          <w:rFonts w:hint="default" w:ascii="方正仿宋_GBK" w:hAnsi="方正仿宋_GBK" w:eastAsia="方正仿宋_GBK" w:cs="方正仿宋_GBK"/>
          <w:color w:val="FF0000"/>
          <w:sz w:val="34"/>
          <w:szCs w:val="34"/>
        </w:rPr>
      </w:pPr>
      <w:r>
        <w:rPr>
          <w:rFonts w:ascii="方正仿宋_GBK" w:hAnsi="方正仿宋_GBK" w:eastAsia="方正仿宋_GBK" w:cs="方正仿宋_GBK"/>
          <w:sz w:val="34"/>
          <w:szCs w:val="34"/>
        </w:rPr>
        <w:t>2020年度本年支出合计2</w:t>
      </w:r>
      <w:r>
        <w:rPr>
          <w:rFonts w:hint="default" w:ascii="方正仿宋_GBK" w:hAnsi="方正仿宋_GBK" w:eastAsia="方正仿宋_GBK" w:cs="方正仿宋_GBK"/>
          <w:sz w:val="34"/>
          <w:szCs w:val="34"/>
        </w:rPr>
        <w:t>55.81</w:t>
      </w:r>
      <w:r>
        <w:rPr>
          <w:rFonts w:ascii="方正仿宋_GBK" w:hAnsi="方正仿宋_GBK" w:eastAsia="方正仿宋_GBK" w:cs="方正仿宋_GBK"/>
          <w:sz w:val="34"/>
          <w:szCs w:val="34"/>
        </w:rPr>
        <w:t>万元，结余0</w:t>
      </w:r>
      <w:r>
        <w:rPr>
          <w:rFonts w:hint="default" w:ascii="方正仿宋_GBK" w:hAnsi="方正仿宋_GBK" w:eastAsia="方正仿宋_GBK" w:cs="方正仿宋_GBK"/>
          <w:sz w:val="34"/>
          <w:szCs w:val="34"/>
        </w:rPr>
        <w:t>.49万元</w:t>
      </w:r>
      <w:r>
        <w:rPr>
          <w:rFonts w:ascii="方正仿宋_GBK" w:hAnsi="方正仿宋_GBK" w:eastAsia="方正仿宋_GBK" w:cs="方正仿宋_GBK"/>
          <w:sz w:val="34"/>
          <w:szCs w:val="34"/>
        </w:rPr>
        <w:t>，较上年决算数减少7.4923万元。本年支出按支出性质和经济分类：基本支出137.6787万元，占比53.73%；项目支出118.1324万元，占比46.27%。本年支出按功能分类各项构成及占比情况如下：</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（一）一般公共服务支出231.6999万元，占本年支出合计的90.04%。</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（二）社会保障和就业支出18.144万元，占本年支出合计的7%。</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（三）卫生健康支出5.64万元，占本年支出合计的0.2%</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（四）住房保障支出0.272万元，占本年支出合计的0.01%。</w:t>
      </w:r>
    </w:p>
    <w:p>
      <w:pPr>
        <w:spacing w:line="600" w:lineRule="exact"/>
        <w:ind w:firstLine="680" w:firstLineChars="200"/>
        <w:jc w:val="both"/>
        <w:rPr>
          <w:rFonts w:hint="default" w:ascii="方正黑体_GBK" w:hAnsi="方正黑体_GBK" w:eastAsia="方正黑体_GBK" w:cs="方正黑体_GBK"/>
          <w:sz w:val="34"/>
          <w:szCs w:val="34"/>
        </w:rPr>
      </w:pPr>
      <w:r>
        <w:rPr>
          <w:rFonts w:ascii="方正黑体_GBK" w:hAnsi="方正黑体_GBK" w:eastAsia="方正黑体_GBK" w:cs="方正黑体_GBK"/>
          <w:sz w:val="34"/>
          <w:szCs w:val="34"/>
        </w:rPr>
        <w:t>四、财政拨款收入支出决算总体情况说明</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2020年度财政拨款收入总计、支出总计均为256.3011万元，较上年决算数263.7934万元减少7.4923万元。主要原因是根据工作任务进行了调整。</w:t>
      </w:r>
    </w:p>
    <w:p>
      <w:pPr>
        <w:spacing w:line="600" w:lineRule="exact"/>
        <w:ind w:firstLine="680" w:firstLineChars="200"/>
        <w:jc w:val="both"/>
        <w:rPr>
          <w:rFonts w:hint="default" w:ascii="方正黑体_GBK" w:hAnsi="方正黑体_GBK" w:eastAsia="方正黑体_GBK" w:cs="方正黑体_GBK"/>
          <w:sz w:val="34"/>
          <w:szCs w:val="34"/>
        </w:rPr>
      </w:pPr>
      <w:r>
        <w:rPr>
          <w:rFonts w:ascii="方正黑体_GBK" w:hAnsi="方正黑体_GBK" w:eastAsia="方正黑体_GBK" w:cs="方正黑体_GBK"/>
          <w:sz w:val="34"/>
          <w:szCs w:val="34"/>
        </w:rPr>
        <w:t>五、一般公共预算财政拨款支出决算情况说明</w:t>
      </w:r>
    </w:p>
    <w:p>
      <w:pPr>
        <w:spacing w:line="600" w:lineRule="exact"/>
        <w:ind w:firstLine="680" w:firstLineChars="200"/>
        <w:jc w:val="both"/>
        <w:rPr>
          <w:rFonts w:hint="default" w:ascii="Times New Roman" w:hAnsi="Times New Roman" w:eastAsia="仿宋_GB2312"/>
          <w:sz w:val="34"/>
          <w:szCs w:val="34"/>
        </w:rPr>
      </w:pPr>
      <w:r>
        <w:rPr>
          <w:rFonts w:ascii="方正楷体_GBK" w:hAnsi="方正楷体_GBK" w:eastAsia="方正楷体_GBK" w:cs="方正楷体_GBK"/>
          <w:sz w:val="34"/>
          <w:szCs w:val="34"/>
        </w:rPr>
        <w:t>（一）财政拨款支出决算总体情况。</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2020年度财政拨款支出总计256.3011万元，其中财政拨款收入本年支出合计256.3011万元，较上年决算数减少7.4923，主要原因是根据工作任务进行了调整。</w:t>
      </w:r>
    </w:p>
    <w:p>
      <w:pPr>
        <w:spacing w:line="600" w:lineRule="exact"/>
        <w:ind w:firstLine="680" w:firstLineChars="200"/>
        <w:jc w:val="both"/>
        <w:rPr>
          <w:rFonts w:hint="default" w:ascii="方正楷体_GBK" w:hAnsi="方正楷体_GBK" w:eastAsia="方正楷体_GBK" w:cs="方正楷体_GBK"/>
          <w:sz w:val="34"/>
          <w:szCs w:val="34"/>
        </w:rPr>
      </w:pPr>
      <w:r>
        <w:rPr>
          <w:rFonts w:ascii="方正楷体_GBK" w:hAnsi="方正楷体_GBK" w:eastAsia="方正楷体_GBK" w:cs="方正楷体_GBK"/>
          <w:sz w:val="34"/>
          <w:szCs w:val="34"/>
        </w:rPr>
        <w:t>（二）财政拨款支出决算结构情况。</w:t>
      </w:r>
    </w:p>
    <w:p>
      <w:pPr>
        <w:spacing w:line="600" w:lineRule="exact"/>
        <w:ind w:firstLine="680" w:firstLineChars="200"/>
        <w:jc w:val="both"/>
        <w:rPr>
          <w:rFonts w:hint="default" w:ascii="Times New Roman" w:hAnsi="Times New Roman" w:eastAsia="仿宋_GB2312"/>
          <w:sz w:val="32"/>
          <w:szCs w:val="32"/>
        </w:rPr>
      </w:pPr>
      <w:r>
        <w:rPr>
          <w:rFonts w:ascii="方正仿宋_GBK" w:hAnsi="方正仿宋_GBK" w:eastAsia="方正仿宋_GBK" w:cs="方正仿宋_GBK"/>
          <w:sz w:val="34"/>
          <w:szCs w:val="34"/>
        </w:rPr>
        <w:t>2020年度财政拨款支出合计256.3011万元，均为一般公共预算财政拨款支出。其中，基本支出137.6787万元；项目支出118.1324万元。按照功能分类各项构成及占比情况如下：</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（一）一般公共服务支出231.6999万元，占本年支出合计的90.04%。</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（二）社会保障和就业支出18.144万元，占本年支出合计的7%。</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（三）卫生健康支出5.64万元，占本年支出合计的0.2%</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（四）住房保障支出0.272万元，占本年支出合计的0.01%。</w:t>
      </w:r>
    </w:p>
    <w:p>
      <w:pPr>
        <w:spacing w:line="600" w:lineRule="exact"/>
        <w:ind w:firstLine="680" w:firstLineChars="200"/>
        <w:jc w:val="both"/>
        <w:rPr>
          <w:rFonts w:hint="default" w:ascii="方正楷体_GBK" w:hAnsi="方正楷体_GBK" w:eastAsia="方正楷体_GBK" w:cs="方正楷体_GBK"/>
          <w:sz w:val="34"/>
          <w:szCs w:val="34"/>
        </w:rPr>
      </w:pPr>
      <w:r>
        <w:rPr>
          <w:rFonts w:ascii="方正楷体_GBK" w:hAnsi="方正楷体_GBK" w:eastAsia="方正楷体_GBK" w:cs="方正楷体_GBK"/>
          <w:sz w:val="34"/>
          <w:szCs w:val="34"/>
        </w:rPr>
        <w:t>（三）财政拨款支出决算具体情况。</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2020年度财政拨款支出年初预算数250.95万元，支出决算数256.3011万元，预决算差额原因主要是财政根据政策及实际工作需要在年中追加了部分工作经费。2020年度一般公共预算财政拨款支出具体情况如下：</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1.一般公共服务支出（类）年初预算数216.38万元，支出决算数231.699万元，完成年初预算数的107.07%，其中：</w:t>
      </w:r>
    </w:p>
    <w:p>
      <w:pPr>
        <w:spacing w:line="600" w:lineRule="exact"/>
        <w:ind w:firstLine="680" w:firstLineChars="200"/>
        <w:jc w:val="both"/>
        <w:rPr>
          <w:rFonts w:hint="default" w:ascii="方正仿宋_GBK" w:hAnsi="方正仿宋_GBK" w:eastAsia="方正仿宋_GBK" w:cs="方正仿宋_GBK"/>
          <w:color w:val="FF0000"/>
          <w:sz w:val="34"/>
          <w:szCs w:val="34"/>
        </w:rPr>
      </w:pPr>
      <w:r>
        <w:rPr>
          <w:rFonts w:ascii="方正仿宋_GBK" w:hAnsi="方正仿宋_GBK" w:eastAsia="方正仿宋_GBK" w:cs="方正仿宋_GBK"/>
          <w:sz w:val="34"/>
          <w:szCs w:val="34"/>
        </w:rPr>
        <w:t>2.社会保障和就业支出（类）年初预算数24.03万元，支出决算数18.144万元，完成年初预算的75.55%。</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3.卫生健康支出（类）2020年度支出5.64万元，年初预算数5.64万元，完成年初预算的100%。</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4.住房保障支出（类）决算数0.3272万元，年初预算数4.9万元，完成年初预算的6%。其中：</w:t>
      </w:r>
    </w:p>
    <w:p>
      <w:pPr>
        <w:spacing w:line="600" w:lineRule="exact"/>
        <w:ind w:firstLine="680" w:firstLineChars="200"/>
        <w:jc w:val="both"/>
        <w:rPr>
          <w:rFonts w:hint="default" w:ascii="方正黑体_GBK" w:hAnsi="方正黑体_GBK" w:eastAsia="方正黑体_GBK" w:cs="方正黑体_GBK"/>
          <w:sz w:val="34"/>
          <w:szCs w:val="34"/>
        </w:rPr>
      </w:pPr>
      <w:r>
        <w:rPr>
          <w:rFonts w:ascii="方正黑体_GBK" w:hAnsi="方正黑体_GBK" w:eastAsia="方正黑体_GBK" w:cs="方正黑体_GBK"/>
          <w:sz w:val="34"/>
          <w:szCs w:val="34"/>
        </w:rPr>
        <w:t>六、一般公共预算财政拨款基本支出决算情况说明</w:t>
      </w:r>
    </w:p>
    <w:p>
      <w:pPr>
        <w:spacing w:line="600" w:lineRule="exact"/>
        <w:ind w:firstLine="680" w:firstLineChars="200"/>
        <w:jc w:val="both"/>
        <w:rPr>
          <w:rFonts w:hint="default" w:ascii="Times New Roman" w:hAnsi="Times New Roman" w:eastAsia="仿宋_GB2312"/>
          <w:sz w:val="32"/>
          <w:szCs w:val="32"/>
        </w:rPr>
      </w:pPr>
      <w:r>
        <w:rPr>
          <w:rFonts w:ascii="方正仿宋_GBK" w:hAnsi="方正仿宋_GBK" w:eastAsia="方正仿宋_GBK" w:cs="方正仿宋_GBK"/>
          <w:sz w:val="34"/>
          <w:szCs w:val="34"/>
        </w:rPr>
        <w:t>2020年度一般公共预算财政拨款基本支出决算合计231.6999万元。其中：人员经费合计183.1787万元，占比79.05%，主要包括：基本工资、津贴补贴、奖金、伙食补助费、绩效工资、机关事业单位基本养老保险缴费、职业年金缴费、职工基本医疗保险缴费、公务员医疗补助缴费、其他社会保障缴费、住房公积金、医疗费、其他工资福利支出、离休费、退休费、抚恤金、生活补助、医疗费补助、奖励金、其他对个人和家庭的补助支出。公用经费合计6万元，占比2.58%，主要包括：办公费、印刷费、水费、电费、邮电费、取暖费、物业管理费、差旅费、维修（护）费、租赁费、会议费、培训费、公务接待费、专用材料费、劳务费、工会经费、福利费、公务用车运行维护费、其他交通费用、其他商品和服务支出、办公设备购置、专用设备购置、信息网络及软件购置更新、公务用车购置、其他资本性支出。</w:t>
      </w:r>
    </w:p>
    <w:p>
      <w:pPr>
        <w:spacing w:line="600" w:lineRule="exact"/>
        <w:ind w:firstLine="680" w:firstLineChars="200"/>
        <w:jc w:val="both"/>
        <w:rPr>
          <w:rFonts w:hint="default" w:ascii="方正黑体_GBK" w:hAnsi="方正黑体_GBK" w:eastAsia="方正黑体_GBK" w:cs="方正黑体_GBK"/>
          <w:sz w:val="34"/>
          <w:szCs w:val="34"/>
        </w:rPr>
      </w:pPr>
      <w:r>
        <w:rPr>
          <w:rFonts w:ascii="方正黑体_GBK" w:hAnsi="方正黑体_GBK" w:eastAsia="方正黑体_GBK" w:cs="方正黑体_GBK"/>
          <w:sz w:val="34"/>
          <w:szCs w:val="34"/>
        </w:rPr>
        <w:t>七、一般公共预算财政拨款“三公”经费支出决算情况说明</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（1）“三公”经费支出情况：2020年，“三公”经费完成8300元，比上年增减-200元，增加下降-2.35%，增减变化的主要原因是：正常减少</w:t>
      </w:r>
      <w:r>
        <w:rPr>
          <w:rFonts w:ascii="方正仿宋_GBK" w:hAnsi="方正仿宋_GBK" w:eastAsia="方正仿宋_GBK" w:cs="方正仿宋_GBK"/>
          <w:sz w:val="34"/>
          <w:szCs w:val="34"/>
          <w:lang w:val="zh-CN"/>
        </w:rPr>
        <w:t>。其中：因公出国（境）费</w:t>
      </w:r>
      <w:r>
        <w:rPr>
          <w:rFonts w:ascii="方正仿宋_GBK" w:hAnsi="方正仿宋_GBK" w:eastAsia="方正仿宋_GBK" w:cs="方正仿宋_GBK"/>
          <w:sz w:val="34"/>
          <w:szCs w:val="34"/>
        </w:rPr>
        <w:t>完成</w:t>
      </w:r>
      <w:r>
        <w:rPr>
          <w:rFonts w:hint="default" w:ascii="方正仿宋_GBK" w:hAnsi="方正仿宋_GBK" w:eastAsia="方正仿宋_GBK" w:cs="方正仿宋_GBK"/>
          <w:sz w:val="34"/>
          <w:szCs w:val="34"/>
        </w:rPr>
        <w:t>0</w:t>
      </w:r>
      <w:r>
        <w:rPr>
          <w:rFonts w:ascii="方正仿宋_GBK" w:hAnsi="方正仿宋_GBK" w:eastAsia="方正仿宋_GBK" w:cs="方正仿宋_GBK"/>
          <w:sz w:val="34"/>
          <w:szCs w:val="34"/>
        </w:rPr>
        <w:t>元，比上年增减</w:t>
      </w:r>
      <w:r>
        <w:rPr>
          <w:rFonts w:hint="default" w:ascii="方正仿宋_GBK" w:hAnsi="方正仿宋_GBK" w:eastAsia="方正仿宋_GBK" w:cs="方正仿宋_GBK"/>
          <w:sz w:val="34"/>
          <w:szCs w:val="34"/>
        </w:rPr>
        <w:t>0</w:t>
      </w:r>
      <w:r>
        <w:rPr>
          <w:rFonts w:ascii="方正仿宋_GBK" w:hAnsi="方正仿宋_GBK" w:eastAsia="方正仿宋_GBK" w:cs="方正仿宋_GBK"/>
          <w:sz w:val="34"/>
          <w:szCs w:val="34"/>
        </w:rPr>
        <w:t>元，增加下降0%，增减变化的主要原因是：</w:t>
      </w:r>
      <w:r>
        <w:rPr>
          <w:rFonts w:ascii="方正仿宋_GBK" w:hAnsi="方正仿宋_GBK" w:eastAsia="方正仿宋_GBK" w:cs="方正仿宋_GBK"/>
          <w:sz w:val="34"/>
          <w:szCs w:val="34"/>
          <w:lang w:val="zh-CN"/>
        </w:rPr>
        <w:t>；公务接待费</w:t>
      </w:r>
      <w:r>
        <w:rPr>
          <w:rFonts w:ascii="方正仿宋_GBK" w:hAnsi="方正仿宋_GBK" w:eastAsia="方正仿宋_GBK" w:cs="方正仿宋_GBK"/>
          <w:sz w:val="34"/>
          <w:szCs w:val="34"/>
        </w:rPr>
        <w:t>完成8300元，比上年增减-200元，增加下降-2.35%，增减变化的主要原因是：正常减少</w:t>
      </w:r>
      <w:r>
        <w:rPr>
          <w:rFonts w:ascii="方正仿宋_GBK" w:hAnsi="方正仿宋_GBK" w:eastAsia="方正仿宋_GBK" w:cs="方正仿宋_GBK"/>
          <w:sz w:val="34"/>
          <w:szCs w:val="34"/>
          <w:lang w:val="zh-CN"/>
        </w:rPr>
        <w:t>；公务用车购置及运行维护费</w:t>
      </w:r>
      <w:r>
        <w:rPr>
          <w:rFonts w:ascii="方正仿宋_GBK" w:hAnsi="方正仿宋_GBK" w:eastAsia="方正仿宋_GBK" w:cs="方正仿宋_GBK"/>
          <w:sz w:val="34"/>
          <w:szCs w:val="34"/>
        </w:rPr>
        <w:t>完成</w:t>
      </w:r>
      <w:r>
        <w:rPr>
          <w:rFonts w:hint="default" w:ascii="方正仿宋_GBK" w:hAnsi="方正仿宋_GBK" w:eastAsia="方正仿宋_GBK" w:cs="方正仿宋_GBK"/>
          <w:sz w:val="34"/>
          <w:szCs w:val="34"/>
        </w:rPr>
        <w:t>0</w:t>
      </w:r>
      <w:r>
        <w:rPr>
          <w:rFonts w:ascii="方正仿宋_GBK" w:hAnsi="方正仿宋_GBK" w:eastAsia="方正仿宋_GBK" w:cs="方正仿宋_GBK"/>
          <w:sz w:val="34"/>
          <w:szCs w:val="34"/>
        </w:rPr>
        <w:t>元，比上年增减</w:t>
      </w:r>
      <w:r>
        <w:rPr>
          <w:rFonts w:hint="default" w:ascii="方正仿宋_GBK" w:hAnsi="方正仿宋_GBK" w:eastAsia="方正仿宋_GBK" w:cs="方正仿宋_GBK"/>
          <w:sz w:val="34"/>
          <w:szCs w:val="34"/>
        </w:rPr>
        <w:t>0</w:t>
      </w:r>
      <w:r>
        <w:rPr>
          <w:rFonts w:ascii="方正仿宋_GBK" w:hAnsi="方正仿宋_GBK" w:eastAsia="方正仿宋_GBK" w:cs="方正仿宋_GBK"/>
          <w:sz w:val="34"/>
          <w:szCs w:val="34"/>
        </w:rPr>
        <w:t>元，增加下降0%。</w:t>
      </w:r>
    </w:p>
    <w:p>
      <w:pPr>
        <w:pStyle w:val="10"/>
        <w:rPr>
          <w:rFonts w:ascii="方正仿宋_GBK" w:hAnsi="方正仿宋_GBK" w:eastAsia="方正仿宋_GBK" w:cs="方正仿宋_GBK"/>
          <w:color w:val="auto"/>
          <w:sz w:val="34"/>
          <w:szCs w:val="34"/>
        </w:rPr>
      </w:pPr>
      <w:r>
        <w:rPr>
          <w:rFonts w:hint="eastAsia" w:ascii="方正仿宋_GBK" w:hAnsi="方正仿宋_GBK" w:eastAsia="方正仿宋_GBK" w:cs="方正仿宋_GBK"/>
          <w:color w:val="auto"/>
          <w:sz w:val="34"/>
          <w:szCs w:val="34"/>
        </w:rPr>
        <w:t>（二）“三公”经费财政拨款支出决算具体情况说明</w:t>
      </w:r>
    </w:p>
    <w:p>
      <w:pPr>
        <w:pStyle w:val="10"/>
        <w:ind w:firstLine="680" w:firstLineChars="200"/>
        <w:rPr>
          <w:rFonts w:ascii="方正仿宋_GBK" w:hAnsi="方正仿宋_GBK" w:eastAsia="方正仿宋_GBK" w:cs="方正仿宋_GBK"/>
          <w:color w:val="auto"/>
          <w:sz w:val="34"/>
          <w:szCs w:val="34"/>
        </w:rPr>
      </w:pPr>
      <w:r>
        <w:rPr>
          <w:rFonts w:hint="eastAsia" w:ascii="方正仿宋_GBK" w:hAnsi="方正仿宋_GBK" w:eastAsia="方正仿宋_GBK" w:cs="方正仿宋_GBK"/>
          <w:color w:val="auto"/>
          <w:sz w:val="34"/>
          <w:szCs w:val="34"/>
        </w:rPr>
        <w:t>2020年度“三公”经费财政拨款支出决算中，公务接待费支出决算0.83万元，占100%,因公出国（境）费支出决算0万元，占0%,公务用车购置费及运行维护费支出决算0万元，占0%。其中：</w:t>
      </w:r>
    </w:p>
    <w:p>
      <w:pPr>
        <w:pStyle w:val="10"/>
        <w:ind w:firstLine="680" w:firstLineChars="200"/>
        <w:rPr>
          <w:rFonts w:ascii="方正仿宋_GBK" w:hAnsi="方正仿宋_GBK" w:eastAsia="方正仿宋_GBK" w:cs="方正仿宋_GBK"/>
          <w:color w:val="auto"/>
          <w:sz w:val="34"/>
          <w:szCs w:val="34"/>
        </w:rPr>
      </w:pPr>
      <w:r>
        <w:rPr>
          <w:rFonts w:hint="eastAsia" w:ascii="方正仿宋_GBK" w:hAnsi="方正仿宋_GBK" w:eastAsia="方正仿宋_GBK" w:cs="方正仿宋_GBK"/>
          <w:color w:val="auto"/>
          <w:sz w:val="34"/>
          <w:szCs w:val="34"/>
        </w:rPr>
        <w:t>1、因公出国（境）费支出决算为0万元，全年安排因公出国（境）团组0个，累计0人次。</w:t>
      </w:r>
    </w:p>
    <w:p>
      <w:pPr>
        <w:pStyle w:val="10"/>
        <w:ind w:firstLine="850" w:firstLineChars="250"/>
        <w:rPr>
          <w:rFonts w:ascii="方正仿宋_GBK" w:hAnsi="方正仿宋_GBK" w:eastAsia="方正仿宋_GBK" w:cs="方正仿宋_GBK"/>
          <w:color w:val="auto"/>
          <w:sz w:val="34"/>
          <w:szCs w:val="34"/>
        </w:rPr>
      </w:pPr>
      <w:r>
        <w:rPr>
          <w:rFonts w:hint="eastAsia" w:ascii="方正仿宋_GBK" w:hAnsi="方正仿宋_GBK" w:eastAsia="方正仿宋_GBK" w:cs="方正仿宋_GBK"/>
          <w:color w:val="auto"/>
          <w:sz w:val="34"/>
          <w:szCs w:val="34"/>
        </w:rPr>
        <w:t xml:space="preserve">2、公务接待费支出决算为0.83万元，本年共接待   </w:t>
      </w:r>
      <w:r>
        <w:rPr>
          <w:rFonts w:ascii="方正仿宋_GBK" w:hAnsi="方正仿宋_GBK" w:eastAsia="方正仿宋_GBK" w:cs="方正仿宋_GBK"/>
          <w:color w:val="auto"/>
          <w:sz w:val="34"/>
          <w:szCs w:val="34"/>
        </w:rPr>
        <w:t>13</w:t>
      </w:r>
      <w:r>
        <w:rPr>
          <w:rFonts w:hint="eastAsia" w:ascii="方正仿宋_GBK" w:hAnsi="方正仿宋_GBK" w:eastAsia="方正仿宋_GBK" w:cs="方正仿宋_GBK"/>
          <w:color w:val="auto"/>
          <w:sz w:val="34"/>
          <w:szCs w:val="34"/>
        </w:rPr>
        <w:t>批次，共接待</w:t>
      </w:r>
      <w:r>
        <w:rPr>
          <w:rFonts w:ascii="方正仿宋_GBK" w:hAnsi="方正仿宋_GBK" w:eastAsia="方正仿宋_GBK" w:cs="方正仿宋_GBK"/>
          <w:color w:val="auto"/>
          <w:sz w:val="34"/>
          <w:szCs w:val="34"/>
        </w:rPr>
        <w:t>113</w:t>
      </w:r>
      <w:r>
        <w:rPr>
          <w:rFonts w:hint="eastAsia" w:ascii="方正仿宋_GBK" w:hAnsi="方正仿宋_GBK" w:eastAsia="方正仿宋_GBK" w:cs="方正仿宋_GBK"/>
          <w:color w:val="auto"/>
          <w:sz w:val="34"/>
          <w:szCs w:val="34"/>
        </w:rPr>
        <w:t>人次，均为国内公务接待。</w:t>
      </w:r>
    </w:p>
    <w:p>
      <w:pPr>
        <w:ind w:firstLine="850" w:firstLineChars="250"/>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3、公务用车购置费及运行维护费支出决算为0万元，其中：公务用车购置费0万元。公务用车运行维护费0万元，主要是公务车用油、保养、维修支出，截止2020年12月31日，我单位开支财政拨款的公务用车保有量为0辆。</w:t>
      </w:r>
    </w:p>
    <w:p>
      <w:pPr>
        <w:spacing w:line="600" w:lineRule="exact"/>
        <w:ind w:firstLine="680" w:firstLineChars="200"/>
        <w:jc w:val="both"/>
        <w:rPr>
          <w:rFonts w:hint="default" w:ascii="方正黑体_GBK" w:hAnsi="方正黑体_GBK" w:eastAsia="方正黑体_GBK" w:cs="方正黑体_GBK"/>
          <w:sz w:val="34"/>
          <w:szCs w:val="34"/>
        </w:rPr>
      </w:pPr>
      <w:r>
        <w:rPr>
          <w:rFonts w:ascii="方正黑体_GBK" w:hAnsi="方正黑体_GBK" w:eastAsia="方正黑体_GBK" w:cs="方正黑体_GBK"/>
          <w:sz w:val="34"/>
          <w:szCs w:val="34"/>
        </w:rPr>
        <w:t>八、政府性基金预算收入支出决算情况</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sz w:val="34"/>
          <w:szCs w:val="34"/>
        </w:rPr>
        <w:t>2020年度未发生政府性基金预算财政拨款收支。</w:t>
      </w:r>
    </w:p>
    <w:p>
      <w:pPr>
        <w:pStyle w:val="10"/>
        <w:ind w:firstLine="680" w:firstLineChars="200"/>
        <w:rPr>
          <w:rFonts w:ascii="方正黑体_GBK" w:hAnsi="方正黑体_GBK" w:eastAsia="方正黑体_GBK" w:cs="方正黑体_GBK"/>
          <w:color w:val="auto"/>
          <w:sz w:val="34"/>
          <w:szCs w:val="34"/>
        </w:rPr>
      </w:pPr>
      <w:r>
        <w:rPr>
          <w:rFonts w:hint="eastAsia" w:ascii="方正黑体_GBK" w:hAnsi="方正黑体_GBK" w:eastAsia="方正黑体_GBK" w:cs="方正黑体_GBK"/>
          <w:color w:val="auto"/>
          <w:sz w:val="34"/>
          <w:szCs w:val="34"/>
        </w:rPr>
        <w:t>九、国有资本经营预算财政拨款支出决算情况</w:t>
      </w:r>
    </w:p>
    <w:p>
      <w:pPr>
        <w:pStyle w:val="10"/>
        <w:ind w:firstLine="680" w:firstLineChars="200"/>
        <w:rPr>
          <w:rFonts w:ascii="方正黑体_GBK" w:hAnsi="方正黑体_GBK" w:eastAsia="方正黑体_GBK" w:cs="方正黑体_GBK"/>
          <w:color w:val="auto"/>
          <w:sz w:val="34"/>
          <w:szCs w:val="34"/>
        </w:rPr>
      </w:pPr>
      <w:r>
        <w:rPr>
          <w:rFonts w:hint="eastAsia" w:ascii="方正黑体_GBK" w:hAnsi="方正黑体_GBK" w:eastAsia="方正黑体_GBK" w:cs="方正黑体_GBK"/>
          <w:color w:val="auto"/>
          <w:sz w:val="34"/>
          <w:szCs w:val="34"/>
        </w:rPr>
        <w:t>本单位2020年没有国有资本经营预算财政拨款支出</w:t>
      </w:r>
    </w:p>
    <w:p>
      <w:pPr>
        <w:pStyle w:val="10"/>
        <w:ind w:firstLine="680" w:firstLineChars="200"/>
        <w:rPr>
          <w:rFonts w:ascii="方正黑体_GBK" w:hAnsi="方正黑体_GBK" w:eastAsia="方正黑体_GBK" w:cs="方正黑体_GBK"/>
          <w:color w:val="auto"/>
          <w:sz w:val="34"/>
          <w:szCs w:val="34"/>
        </w:rPr>
      </w:pPr>
      <w:r>
        <w:rPr>
          <w:rFonts w:hint="eastAsia" w:ascii="方正黑体_GBK" w:hAnsi="方正黑体_GBK" w:eastAsia="方正黑体_GBK" w:cs="方正黑体_GBK"/>
          <w:color w:val="auto"/>
          <w:sz w:val="34"/>
          <w:szCs w:val="34"/>
        </w:rPr>
        <w:t>十、机关运行经费支出说明</w:t>
      </w:r>
    </w:p>
    <w:p>
      <w:pPr>
        <w:pStyle w:val="10"/>
        <w:ind w:firstLine="680" w:firstLineChars="200"/>
        <w:rPr>
          <w:rFonts w:ascii="宋体" w:hAnsi="宋体" w:eastAsia="宋体" w:cs="Times New Roman"/>
          <w:color w:val="auto"/>
          <w:kern w:val="2"/>
          <w:sz w:val="32"/>
          <w:szCs w:val="32"/>
        </w:rPr>
      </w:pPr>
      <w:r>
        <w:rPr>
          <w:rFonts w:hint="eastAsia" w:ascii="方正黑体_GBK" w:hAnsi="方正黑体_GBK" w:eastAsia="方正黑体_GBK" w:cs="方正黑体_GBK"/>
          <w:color w:val="auto"/>
          <w:sz w:val="34"/>
          <w:szCs w:val="34"/>
        </w:rPr>
        <w:t>机关运行经费本年支出6万元，与上年的6万元相比，递减0%。主要包含办公费1.56万元，邮电费0.35万元等。</w:t>
      </w:r>
    </w:p>
    <w:p>
      <w:pPr>
        <w:pStyle w:val="10"/>
        <w:ind w:firstLine="680" w:firstLineChars="200"/>
        <w:rPr>
          <w:rFonts w:ascii="方正黑体_GBK" w:hAnsi="方正黑体_GBK" w:eastAsia="方正黑体_GBK" w:cs="方正黑体_GBK"/>
          <w:color w:val="auto"/>
          <w:sz w:val="34"/>
          <w:szCs w:val="34"/>
        </w:rPr>
      </w:pPr>
      <w:r>
        <w:rPr>
          <w:rFonts w:hint="eastAsia" w:ascii="方正黑体_GBK" w:hAnsi="方正黑体_GBK" w:eastAsia="方正黑体_GBK" w:cs="方正黑体_GBK"/>
          <w:color w:val="auto"/>
          <w:sz w:val="34"/>
          <w:szCs w:val="34"/>
        </w:rPr>
        <w:t>十一、一般性支出情况</w:t>
      </w:r>
    </w:p>
    <w:p>
      <w:pPr>
        <w:pStyle w:val="10"/>
        <w:ind w:firstLine="680" w:firstLineChars="200"/>
        <w:rPr>
          <w:rFonts w:ascii="方正黑体_GBK" w:hAnsi="方正黑体_GBK" w:eastAsia="方正黑体_GBK" w:cs="方正黑体_GBK"/>
          <w:color w:val="auto"/>
          <w:sz w:val="34"/>
          <w:szCs w:val="34"/>
        </w:rPr>
      </w:pPr>
      <w:r>
        <w:rPr>
          <w:rFonts w:hint="eastAsia" w:ascii="方正黑体_GBK" w:hAnsi="方正黑体_GBK" w:eastAsia="方正黑体_GBK" w:cs="方正黑体_GBK"/>
          <w:color w:val="auto"/>
          <w:sz w:val="34"/>
          <w:szCs w:val="34"/>
        </w:rPr>
        <w:t>会议费支出情况：2020年会议费完成0元，本年度因为疫情原因，没有组织会议。</w:t>
      </w:r>
    </w:p>
    <w:p>
      <w:pPr>
        <w:pStyle w:val="10"/>
        <w:ind w:firstLine="680" w:firstLineChars="200"/>
        <w:rPr>
          <w:rFonts w:ascii="方正黑体_GBK" w:hAnsi="方正黑体_GBK" w:eastAsia="方正黑体_GBK" w:cs="方正黑体_GBK"/>
          <w:color w:val="auto"/>
          <w:sz w:val="34"/>
          <w:szCs w:val="34"/>
        </w:rPr>
      </w:pPr>
      <w:r>
        <w:rPr>
          <w:rFonts w:hint="eastAsia" w:ascii="方正黑体_GBK" w:hAnsi="方正黑体_GBK" w:eastAsia="方正黑体_GBK" w:cs="方正黑体_GBK"/>
          <w:color w:val="auto"/>
          <w:sz w:val="34"/>
          <w:szCs w:val="34"/>
        </w:rPr>
        <w:t>十二、关于政府采购支出说明</w:t>
      </w:r>
    </w:p>
    <w:p>
      <w:pPr>
        <w:pStyle w:val="10"/>
        <w:ind w:firstLine="680" w:firstLineChars="200"/>
        <w:rPr>
          <w:rFonts w:ascii="方正黑体_GBK" w:hAnsi="方正黑体_GBK" w:eastAsia="方正黑体_GBK" w:cs="方正黑体_GBK"/>
          <w:color w:val="auto"/>
          <w:sz w:val="34"/>
          <w:szCs w:val="34"/>
        </w:rPr>
      </w:pPr>
      <w:r>
        <w:rPr>
          <w:rFonts w:hint="eastAsia" w:ascii="方正黑体_GBK" w:hAnsi="方正黑体_GBK" w:eastAsia="方正黑体_GBK" w:cs="方正黑体_GBK"/>
          <w:color w:val="auto"/>
          <w:sz w:val="34"/>
          <w:szCs w:val="34"/>
        </w:rPr>
        <w:t>本年度本单位政府采购支出3.71万元，均为财政拨款支出。全部为货物采购支出。包括办公桌椅，办公用电脑，打印机，街道垃圾桶。</w:t>
      </w:r>
    </w:p>
    <w:p>
      <w:pPr>
        <w:pStyle w:val="10"/>
        <w:ind w:firstLine="680" w:firstLineChars="200"/>
        <w:rPr>
          <w:rFonts w:ascii="方正黑体_GBK" w:hAnsi="方正黑体_GBK" w:eastAsia="方正黑体_GBK" w:cs="方正黑体_GBK"/>
          <w:color w:val="auto"/>
          <w:sz w:val="34"/>
          <w:szCs w:val="34"/>
        </w:rPr>
      </w:pPr>
      <w:r>
        <w:rPr>
          <w:rFonts w:hint="eastAsia" w:ascii="方正黑体_GBK" w:hAnsi="方正黑体_GBK" w:eastAsia="方正黑体_GBK" w:cs="方正黑体_GBK"/>
          <w:color w:val="auto"/>
          <w:sz w:val="34"/>
          <w:szCs w:val="34"/>
        </w:rPr>
        <w:t>十三、关于国有资产占用情况说明</w:t>
      </w:r>
    </w:p>
    <w:p>
      <w:pPr>
        <w:pStyle w:val="10"/>
        <w:ind w:firstLine="680" w:firstLineChars="200"/>
        <w:rPr>
          <w:rFonts w:ascii="方正黑体_GBK" w:hAnsi="方正黑体_GBK" w:eastAsia="方正黑体_GBK" w:cs="方正黑体_GBK"/>
          <w:color w:val="auto"/>
          <w:sz w:val="34"/>
          <w:szCs w:val="34"/>
        </w:rPr>
      </w:pPr>
      <w:r>
        <w:rPr>
          <w:rFonts w:hint="eastAsia" w:ascii="方正黑体_GBK" w:hAnsi="方正黑体_GBK" w:eastAsia="方正黑体_GBK" w:cs="方正黑体_GBK"/>
          <w:color w:val="auto"/>
          <w:sz w:val="34"/>
          <w:szCs w:val="34"/>
        </w:rPr>
        <w:t>截至2020年12月31日，本单位共有车辆0辆，其中，其他用车0辆；单位价值50万元以上通用设备0台（套）；单位价值100万元以上专用设备0台（套）。</w:t>
      </w:r>
    </w:p>
    <w:p>
      <w:pPr>
        <w:tabs>
          <w:tab w:val="left" w:pos="0"/>
        </w:tabs>
        <w:spacing w:line="600" w:lineRule="exact"/>
        <w:ind w:left="480" w:leftChars="200" w:firstLine="340" w:firstLineChars="100"/>
        <w:jc w:val="both"/>
        <w:rPr>
          <w:rFonts w:hint="default" w:ascii="方正黑体_GBK" w:hAnsi="方正黑体_GBK" w:eastAsia="方正黑体_GBK" w:cs="方正黑体_GBK"/>
          <w:sz w:val="34"/>
          <w:szCs w:val="34"/>
        </w:rPr>
      </w:pPr>
      <w:r>
        <w:rPr>
          <w:rFonts w:ascii="方正黑体_GBK" w:hAnsi="方正黑体_GBK" w:eastAsia="方正黑体_GBK" w:cs="方正黑体_GBK"/>
          <w:sz w:val="34"/>
          <w:szCs w:val="34"/>
        </w:rPr>
        <w:t>十四、关于2020年度预算绩效情况说明</w:t>
      </w:r>
    </w:p>
    <w:p>
      <w:pPr>
        <w:spacing w:line="600" w:lineRule="exact"/>
        <w:ind w:firstLine="680" w:firstLineChars="200"/>
        <w:jc w:val="both"/>
        <w:rPr>
          <w:rFonts w:hint="default" w:ascii="方正仿宋_GBK" w:eastAsia="方正仿宋_GBK" w:cs="宋体"/>
          <w:sz w:val="34"/>
          <w:szCs w:val="34"/>
        </w:rPr>
      </w:pPr>
      <w:r>
        <w:rPr>
          <w:rFonts w:ascii="方正仿宋_GBK" w:hAnsi="方正仿宋_GBK" w:eastAsia="方正仿宋_GBK" w:cs="方正仿宋_GBK"/>
          <w:sz w:val="34"/>
          <w:szCs w:val="34"/>
        </w:rPr>
        <w:t>为进一步规范财政资金管理、强化绩效和责任意识，切实提高财政资金使用效益，根据财政预算管理要求及省财政厅的统一部署，我联对2020年度部门整体支出认真开展绩效自评，按财政要求及时报送了《2020年度部门整体支出绩效评价报告》、《部门整体支出绩效评价基础数据表》等表格及佐证资料，并在省财政厅门户网站上进行了公开</w:t>
      </w:r>
      <w:r>
        <w:rPr>
          <w:rFonts w:ascii="仿宋_GB2312" w:hAnsi="Times New Roman" w:eastAsia="仿宋_GB2312" w:cs="仿宋_GB2312"/>
          <w:sz w:val="32"/>
          <w:szCs w:val="32"/>
        </w:rPr>
        <w:t>。</w:t>
      </w:r>
    </w:p>
    <w:p>
      <w:pPr>
        <w:spacing w:line="600" w:lineRule="exact"/>
        <w:ind w:firstLine="64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4"/>
          <w:szCs w:val="34"/>
        </w:rPr>
        <w:t>2020年，我联严格贯彻落实县委、县政府关于党政机关厉行节约的有关要求，牢固树立“过紧日子”思想，坚持精打细算、勤俭节约，优化支出结构，大力压减一般性支出，保障重点支出，严格审核把关，加强“三公”经费管理，优化资产配置，切实规范有关资产管理，严格政府采购，强化国有资产信息化管理和动态监控，完善内控制度，切实严肃财经纪律，圆满完成了全年各项工作任务，得到了县委、县政府的充分肯定以及社会各界的普遍好评。</w:t>
      </w:r>
    </w:p>
    <w:p>
      <w:pPr>
        <w:spacing w:line="600" w:lineRule="exact"/>
        <w:rPr>
          <w:rFonts w:hint="default" w:ascii="Times New Roman" w:hAnsi="Times New Roman" w:eastAsia="黑体"/>
          <w:color w:val="FF0000"/>
          <w:sz w:val="32"/>
          <w:szCs w:val="32"/>
        </w:rPr>
      </w:pPr>
    </w:p>
    <w:p>
      <w:pPr>
        <w:spacing w:line="600" w:lineRule="exact"/>
        <w:rPr>
          <w:rFonts w:hint="default" w:ascii="Times New Roman" w:hAnsi="Times New Roman" w:eastAsia="黑体"/>
          <w:color w:val="FF0000"/>
          <w:sz w:val="32"/>
          <w:szCs w:val="32"/>
        </w:rPr>
      </w:pPr>
    </w:p>
    <w:p>
      <w:pPr>
        <w:spacing w:line="600" w:lineRule="exact"/>
        <w:rPr>
          <w:rFonts w:hint="default" w:ascii="Times New Roman" w:hAnsi="Times New Roman" w:eastAsia="黑体"/>
          <w:color w:val="FF0000"/>
          <w:sz w:val="32"/>
          <w:szCs w:val="32"/>
        </w:rPr>
      </w:pPr>
    </w:p>
    <w:p>
      <w:pPr>
        <w:spacing w:line="600" w:lineRule="exact"/>
        <w:rPr>
          <w:rFonts w:hint="default" w:ascii="Times New Roman" w:hAnsi="Times New Roman" w:eastAsia="黑体"/>
          <w:color w:val="FF0000"/>
          <w:sz w:val="32"/>
          <w:szCs w:val="32"/>
        </w:rPr>
      </w:pPr>
    </w:p>
    <w:p>
      <w:pPr>
        <w:spacing w:line="600" w:lineRule="exact"/>
        <w:rPr>
          <w:rFonts w:hint="default" w:ascii="Times New Roman" w:hAnsi="Times New Roman" w:eastAsia="黑体"/>
          <w:color w:val="FF0000"/>
          <w:sz w:val="32"/>
          <w:szCs w:val="32"/>
        </w:rPr>
      </w:pPr>
    </w:p>
    <w:p>
      <w:pPr>
        <w:spacing w:line="600" w:lineRule="exact"/>
        <w:rPr>
          <w:rFonts w:hint="default" w:ascii="Times New Roman" w:hAnsi="Times New Roman" w:eastAsia="黑体"/>
          <w:color w:val="FF0000"/>
          <w:sz w:val="32"/>
          <w:szCs w:val="32"/>
        </w:rPr>
      </w:pPr>
      <w:r>
        <w:rPr>
          <w:rFonts w:ascii="Times New Roman" w:hAnsi="Times New Roman" w:eastAsia="黑体"/>
          <w:color w:val="FF0000"/>
          <w:sz w:val="32"/>
          <w:szCs w:val="32"/>
        </w:rPr>
        <w:br w:type="page"/>
      </w:r>
    </w:p>
    <w:p>
      <w:pPr>
        <w:spacing w:line="600" w:lineRule="exact"/>
        <w:rPr>
          <w:rFonts w:hint="default" w:ascii="Times New Roman" w:hAnsi="Times New Roman" w:eastAsia="黑体"/>
          <w:color w:val="FF0000"/>
          <w:sz w:val="32"/>
          <w:szCs w:val="32"/>
        </w:rPr>
      </w:pPr>
    </w:p>
    <w:p>
      <w:pPr>
        <w:spacing w:line="600" w:lineRule="exact"/>
        <w:rPr>
          <w:rFonts w:hint="default" w:ascii="Times New Roman" w:hAnsi="Times New Roman" w:eastAsia="黑体"/>
          <w:color w:val="FF0000"/>
          <w:sz w:val="32"/>
          <w:szCs w:val="32"/>
        </w:rPr>
      </w:pPr>
    </w:p>
    <w:p>
      <w:pPr>
        <w:spacing w:line="600" w:lineRule="exact"/>
        <w:rPr>
          <w:rFonts w:hint="default" w:ascii="Times New Roman" w:hAnsi="Times New Roman" w:eastAsia="黑体"/>
          <w:color w:val="FF0000"/>
          <w:sz w:val="32"/>
          <w:szCs w:val="32"/>
        </w:rPr>
      </w:pPr>
    </w:p>
    <w:p>
      <w:pPr>
        <w:rPr>
          <w:rFonts w:hint="default" w:cs="黑体"/>
          <w:color w:val="000000"/>
          <w:sz w:val="32"/>
          <w:szCs w:val="32"/>
        </w:rPr>
      </w:pPr>
    </w:p>
    <w:p>
      <w:pPr>
        <w:pStyle w:val="10"/>
        <w:jc w:val="center"/>
        <w:rPr>
          <w:rFonts w:ascii="Calibri" w:eastAsia="宋体" w:cs="Times New Roman"/>
          <w:color w:val="auto"/>
          <w:kern w:val="2"/>
          <w:sz w:val="72"/>
          <w:szCs w:val="72"/>
        </w:rPr>
      </w:pPr>
      <w:r>
        <w:rPr>
          <w:rFonts w:hint="eastAsia" w:ascii="Calibri" w:eastAsia="宋体" w:cs="Times New Roman"/>
          <w:color w:val="auto"/>
          <w:kern w:val="2"/>
          <w:sz w:val="72"/>
          <w:szCs w:val="72"/>
        </w:rPr>
        <w:t>第四部分</w:t>
      </w:r>
    </w:p>
    <w:p>
      <w:pPr>
        <w:jc w:val="center"/>
        <w:rPr>
          <w:rFonts w:hint="default"/>
          <w:sz w:val="72"/>
          <w:szCs w:val="72"/>
        </w:rPr>
      </w:pPr>
    </w:p>
    <w:p>
      <w:pPr>
        <w:jc w:val="center"/>
        <w:rPr>
          <w:rFonts w:hint="default"/>
          <w:sz w:val="72"/>
          <w:szCs w:val="72"/>
        </w:rPr>
      </w:pPr>
      <w:r>
        <w:rPr>
          <w:sz w:val="72"/>
          <w:szCs w:val="72"/>
        </w:rPr>
        <w:t>名词解释</w:t>
      </w:r>
    </w:p>
    <w:p>
      <w:pPr>
        <w:spacing w:line="600" w:lineRule="exact"/>
        <w:rPr>
          <w:rFonts w:hint="default" w:ascii="Times New Roman" w:hAnsi="Times New Roman" w:eastAsia="黑体"/>
          <w:color w:val="FF0000"/>
          <w:sz w:val="32"/>
          <w:szCs w:val="32"/>
        </w:rPr>
      </w:pPr>
    </w:p>
    <w:p>
      <w:pPr>
        <w:spacing w:line="600" w:lineRule="exact"/>
        <w:rPr>
          <w:rFonts w:hint="default" w:ascii="Times New Roman" w:hAnsi="Times New Roman" w:eastAsia="黑体"/>
          <w:color w:val="FF0000"/>
          <w:sz w:val="32"/>
          <w:szCs w:val="32"/>
        </w:rPr>
      </w:pPr>
    </w:p>
    <w:p>
      <w:pPr>
        <w:spacing w:line="600" w:lineRule="exact"/>
        <w:rPr>
          <w:rFonts w:hint="default" w:ascii="Times New Roman" w:hAnsi="Times New Roman" w:eastAsia="黑体"/>
          <w:color w:val="FF0000"/>
          <w:sz w:val="32"/>
          <w:szCs w:val="32"/>
        </w:rPr>
      </w:pPr>
    </w:p>
    <w:p>
      <w:pPr>
        <w:spacing w:line="600" w:lineRule="exact"/>
        <w:rPr>
          <w:rFonts w:hint="default" w:ascii="Times New Roman" w:hAnsi="Times New Roman" w:eastAsia="黑体"/>
          <w:color w:val="FF0000"/>
          <w:sz w:val="32"/>
          <w:szCs w:val="32"/>
        </w:rPr>
      </w:pPr>
    </w:p>
    <w:p>
      <w:pPr>
        <w:spacing w:line="600" w:lineRule="exact"/>
        <w:rPr>
          <w:rFonts w:hint="default" w:ascii="Times New Roman" w:hAnsi="Times New Roman" w:eastAsia="黑体"/>
          <w:color w:val="FF0000"/>
          <w:sz w:val="32"/>
          <w:szCs w:val="32"/>
        </w:rPr>
      </w:pPr>
    </w:p>
    <w:p>
      <w:pPr>
        <w:spacing w:line="600" w:lineRule="exact"/>
        <w:rPr>
          <w:rFonts w:hint="default" w:ascii="Times New Roman" w:hAnsi="Times New Roman" w:eastAsia="黑体"/>
          <w:color w:val="FF0000"/>
          <w:sz w:val="32"/>
          <w:szCs w:val="32"/>
        </w:rPr>
      </w:pPr>
    </w:p>
    <w:p>
      <w:pPr>
        <w:spacing w:line="600" w:lineRule="exact"/>
        <w:rPr>
          <w:rFonts w:hint="default" w:ascii="Times New Roman" w:hAnsi="Times New Roman" w:eastAsia="黑体"/>
          <w:color w:val="FF0000"/>
          <w:sz w:val="32"/>
          <w:szCs w:val="32"/>
        </w:rPr>
      </w:pPr>
    </w:p>
    <w:p>
      <w:pPr>
        <w:spacing w:line="600" w:lineRule="exact"/>
        <w:rPr>
          <w:rFonts w:hint="default" w:ascii="Times New Roman" w:hAnsi="Times New Roman" w:eastAsia="黑体"/>
          <w:color w:val="FF0000"/>
          <w:sz w:val="32"/>
          <w:szCs w:val="32"/>
        </w:rPr>
      </w:pPr>
    </w:p>
    <w:p>
      <w:pPr>
        <w:spacing w:line="600" w:lineRule="exact"/>
        <w:rPr>
          <w:rFonts w:hint="default" w:ascii="Times New Roman" w:hAnsi="Times New Roman" w:eastAsia="黑体"/>
          <w:color w:val="FF0000"/>
          <w:sz w:val="32"/>
          <w:szCs w:val="32"/>
        </w:rPr>
      </w:pPr>
    </w:p>
    <w:p>
      <w:pPr>
        <w:spacing w:line="600" w:lineRule="exact"/>
        <w:rPr>
          <w:rFonts w:hint="default" w:ascii="Times New Roman" w:hAnsi="Times New Roman" w:eastAsia="黑体"/>
          <w:color w:val="FF0000"/>
          <w:sz w:val="32"/>
          <w:szCs w:val="32"/>
        </w:rPr>
      </w:pPr>
    </w:p>
    <w:p>
      <w:pPr>
        <w:spacing w:line="600" w:lineRule="exact"/>
        <w:rPr>
          <w:rFonts w:hint="default" w:ascii="Times New Roman" w:hAnsi="Times New Roman" w:eastAsia="黑体"/>
          <w:color w:val="FF0000"/>
          <w:sz w:val="32"/>
          <w:szCs w:val="32"/>
        </w:rPr>
      </w:pPr>
    </w:p>
    <w:p>
      <w:pPr>
        <w:spacing w:line="600" w:lineRule="exact"/>
        <w:rPr>
          <w:rFonts w:hint="default" w:ascii="Times New Roman" w:hAnsi="Times New Roman" w:eastAsia="黑体"/>
          <w:color w:val="FF0000"/>
          <w:sz w:val="32"/>
          <w:szCs w:val="32"/>
        </w:rPr>
      </w:pPr>
    </w:p>
    <w:p>
      <w:pPr>
        <w:spacing w:line="600" w:lineRule="exact"/>
        <w:ind w:firstLine="683" w:firstLineChars="200"/>
        <w:rPr>
          <w:rFonts w:hint="default" w:ascii="仿宋_GB2312" w:eastAsia="仿宋_GB2312" w:cs="仿宋_GB2312"/>
          <w:b/>
          <w:sz w:val="34"/>
          <w:szCs w:val="34"/>
        </w:rPr>
      </w:pP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一、财政拨款收入：</w:t>
      </w:r>
      <w:r>
        <w:rPr>
          <w:rFonts w:ascii="方正仿宋_GBK" w:hAnsi="方正仿宋_GBK" w:eastAsia="方正仿宋_GBK" w:cs="方正仿宋_GBK"/>
          <w:sz w:val="34"/>
          <w:szCs w:val="34"/>
        </w:rPr>
        <w:t>指财政部门核拨给单位的财政预算资金。</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二、事业收入：</w:t>
      </w:r>
      <w:r>
        <w:rPr>
          <w:rFonts w:ascii="方正仿宋_GBK" w:hAnsi="方正仿宋_GBK" w:eastAsia="方正仿宋_GBK" w:cs="方正仿宋_GBK"/>
          <w:sz w:val="34"/>
          <w:szCs w:val="34"/>
        </w:rPr>
        <w:t>指事业单位开展专业业务活动及辅助活动所取得的收入。</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三、附属单位上缴收入：</w:t>
      </w:r>
      <w:r>
        <w:rPr>
          <w:rFonts w:ascii="方正仿宋_GBK" w:hAnsi="方正仿宋_GBK" w:eastAsia="方正仿宋_GBK" w:cs="方正仿宋_GBK"/>
          <w:sz w:val="34"/>
          <w:szCs w:val="34"/>
        </w:rPr>
        <w:t>指事业单位附属独立核算单位按有关规定上缴的收入。</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四、其他收入：</w:t>
      </w:r>
      <w:r>
        <w:rPr>
          <w:rFonts w:ascii="方正仿宋_GBK" w:hAnsi="方正仿宋_GBK" w:eastAsia="方正仿宋_GBK" w:cs="方正仿宋_GBK"/>
          <w:sz w:val="34"/>
          <w:szCs w:val="34"/>
        </w:rPr>
        <w:t>指单位取得的除上述“财政拨款收入”、“事业收入”、“附属单位上缴收入”等以外的收入。</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五、年初结转和结余：</w:t>
      </w:r>
      <w:r>
        <w:rPr>
          <w:rFonts w:ascii="方正仿宋_GBK" w:hAnsi="方正仿宋_GBK" w:eastAsia="方正仿宋_GBK" w:cs="方正仿宋_GBK"/>
          <w:sz w:val="34"/>
          <w:szCs w:val="34"/>
        </w:rPr>
        <w:t>指以前年度尚未完成、结转到本年仍按有关规定继续使用的资金。</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六、用事业基金弥补收支差额：</w:t>
      </w:r>
      <w:r>
        <w:rPr>
          <w:rFonts w:ascii="方正仿宋_GBK" w:hAnsi="方正仿宋_GBK" w:eastAsia="方正仿宋_GBK" w:cs="方正仿宋_GBK"/>
          <w:sz w:val="34"/>
          <w:szCs w:val="34"/>
        </w:rPr>
        <w:t>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w:t>
      </w:r>
    </w:p>
    <w:p>
      <w:pPr>
        <w:spacing w:line="600" w:lineRule="exact"/>
        <w:ind w:firstLine="680" w:firstLineChars="200"/>
        <w:jc w:val="both"/>
        <w:rPr>
          <w:rFonts w:hint="default" w:ascii="方正仿宋_GBK" w:hAnsi="方正仿宋_GBK" w:eastAsia="方正仿宋_GBK" w:cs="方正仿宋_GBK"/>
          <w:b/>
          <w:sz w:val="34"/>
          <w:szCs w:val="34"/>
        </w:rPr>
      </w:pPr>
      <w:r>
        <w:rPr>
          <w:rFonts w:ascii="方正仿宋_GBK" w:hAnsi="方正仿宋_GBK" w:eastAsia="方正仿宋_GBK" w:cs="方正仿宋_GBK"/>
          <w:b/>
          <w:sz w:val="34"/>
          <w:szCs w:val="34"/>
        </w:rPr>
        <w:t>七、一般公共服务支出（类）发展与改革事务（款）其他发展与改革事务支出（项）：</w:t>
      </w:r>
      <w:r>
        <w:rPr>
          <w:rFonts w:ascii="方正仿宋_GBK" w:hAnsi="方正仿宋_GBK" w:eastAsia="方正仿宋_GBK" w:cs="方正仿宋_GBK"/>
          <w:sz w:val="34"/>
          <w:szCs w:val="34"/>
        </w:rPr>
        <w:t>指省委机关新湘幼儿院改扩建项目专项经费。</w:t>
      </w:r>
    </w:p>
    <w:p>
      <w:pPr>
        <w:spacing w:line="600" w:lineRule="exact"/>
        <w:ind w:firstLine="680" w:firstLineChars="200"/>
        <w:jc w:val="both"/>
        <w:rPr>
          <w:rFonts w:hint="default" w:ascii="方正仿宋_GBK" w:hAnsi="方正仿宋_GBK" w:eastAsia="方正仿宋_GBK" w:cs="方正仿宋_GBK"/>
          <w:b/>
          <w:sz w:val="34"/>
          <w:szCs w:val="34"/>
        </w:rPr>
      </w:pPr>
      <w:r>
        <w:rPr>
          <w:rFonts w:ascii="方正仿宋_GBK" w:hAnsi="方正仿宋_GBK" w:eastAsia="方正仿宋_GBK" w:cs="方正仿宋_GBK"/>
          <w:b/>
          <w:sz w:val="34"/>
          <w:szCs w:val="34"/>
        </w:rPr>
        <w:t>八、一般公共服务支出（类）人力资源事务（款）其他人力资源事务支出（项）：</w:t>
      </w:r>
      <w:r>
        <w:rPr>
          <w:rFonts w:ascii="方正仿宋_GBK" w:hAnsi="方正仿宋_GBK" w:eastAsia="方正仿宋_GBK" w:cs="方正仿宋_GBK"/>
          <w:sz w:val="34"/>
          <w:szCs w:val="34"/>
        </w:rPr>
        <w:t>指人力资源专项（专技省级）经费。</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九、一般公共服务支出（类）党委办公厅（室）及相关机构事务（款）行政运行（项）：</w:t>
      </w:r>
      <w:r>
        <w:rPr>
          <w:rFonts w:ascii="方正仿宋_GBK" w:hAnsi="方正仿宋_GBK" w:eastAsia="方正仿宋_GBK" w:cs="方正仿宋_GBK"/>
          <w:sz w:val="34"/>
          <w:szCs w:val="34"/>
        </w:rPr>
        <w:t>指省委办公厅厅本级用于保障机构正常运行、开展日常工作的基本支出及省委接待服务中心、省委机关服务中心与修建队部分人员经费。</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十、一般公共服务支出（类）党委办公厅（室）及相关机构事务（款）一般行政管理事务（项）：</w:t>
      </w:r>
      <w:r>
        <w:rPr>
          <w:rFonts w:ascii="方正仿宋_GBK" w:hAnsi="方正仿宋_GBK" w:eastAsia="方正仿宋_GBK" w:cs="方正仿宋_GBK"/>
          <w:sz w:val="34"/>
          <w:szCs w:val="34"/>
        </w:rPr>
        <w:t>指省委办公厅厅本级业务工作项目支出及部分二级单位日常运行费用。</w:t>
      </w:r>
    </w:p>
    <w:p>
      <w:pPr>
        <w:spacing w:line="600" w:lineRule="exact"/>
        <w:ind w:firstLine="680" w:firstLineChars="200"/>
        <w:jc w:val="both"/>
        <w:rPr>
          <w:rFonts w:hint="default" w:ascii="方正仿宋_GBK" w:hAnsi="方正仿宋_GBK" w:eastAsia="方正仿宋_GBK" w:cs="方正仿宋_GBK"/>
          <w:b/>
          <w:sz w:val="34"/>
          <w:szCs w:val="34"/>
        </w:rPr>
      </w:pPr>
      <w:r>
        <w:rPr>
          <w:rFonts w:ascii="方正仿宋_GBK" w:hAnsi="方正仿宋_GBK" w:eastAsia="方正仿宋_GBK" w:cs="方正仿宋_GBK"/>
          <w:b/>
          <w:sz w:val="34"/>
          <w:szCs w:val="34"/>
        </w:rPr>
        <w:t>十一、一般公共服务支出（类）党委办公厅（室）及相关机构事务（款）机关服务（项）：</w:t>
      </w:r>
      <w:r>
        <w:rPr>
          <w:rFonts w:ascii="方正仿宋_GBK" w:hAnsi="方正仿宋_GBK" w:eastAsia="方正仿宋_GBK" w:cs="方正仿宋_GBK"/>
          <w:sz w:val="34"/>
          <w:szCs w:val="34"/>
        </w:rPr>
        <w:t>指省委接待服务中心、省委机关新湘幼儿院及省委机关园林队部分人员经费。</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十二、一般公共服务支出（类）党委办公厅（室）及相关机构事务（款）事业运行（项）：</w:t>
      </w:r>
      <w:r>
        <w:rPr>
          <w:rFonts w:ascii="方正仿宋_GBK" w:hAnsi="方正仿宋_GBK" w:eastAsia="方正仿宋_GBK" w:cs="方正仿宋_GBK"/>
          <w:sz w:val="34"/>
          <w:szCs w:val="34"/>
        </w:rPr>
        <w:t>指所属二级单位专项补助。</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十三、一般公共服务支出（类）党委办公厅（室）及相关机构事务（款）其他党委办公厅（室）及相关机构事务支出（项）：</w:t>
      </w:r>
      <w:r>
        <w:rPr>
          <w:rFonts w:ascii="方正仿宋_GBK" w:hAnsi="方正仿宋_GBK" w:eastAsia="方正仿宋_GBK" w:cs="方正仿宋_GBK"/>
          <w:sz w:val="34"/>
          <w:szCs w:val="34"/>
        </w:rPr>
        <w:t>指省委办公厅厅本级重大项目经费以及省委接待服务中心项目经费。</w:t>
      </w:r>
    </w:p>
    <w:p>
      <w:pPr>
        <w:spacing w:line="600" w:lineRule="exact"/>
        <w:ind w:firstLine="640"/>
        <w:jc w:val="both"/>
        <w:rPr>
          <w:rFonts w:hint="default" w:ascii="方正仿宋_GBK" w:hAnsi="方正仿宋_GBK" w:eastAsia="方正仿宋_GBK" w:cs="方正仿宋_GBK"/>
          <w:b/>
          <w:sz w:val="34"/>
          <w:szCs w:val="34"/>
        </w:rPr>
      </w:pPr>
      <w:r>
        <w:rPr>
          <w:rFonts w:ascii="方正仿宋_GBK" w:hAnsi="方正仿宋_GBK" w:eastAsia="方正仿宋_GBK" w:cs="方正仿宋_GBK"/>
          <w:b/>
          <w:sz w:val="34"/>
          <w:szCs w:val="34"/>
        </w:rPr>
        <w:t>十四、其他共产党事务支出（款）——行政运行（项）：</w:t>
      </w:r>
      <w:r>
        <w:rPr>
          <w:rFonts w:ascii="方正仿宋_GBK" w:hAnsi="方正仿宋_GBK" w:eastAsia="方正仿宋_GBK" w:cs="方正仿宋_GBK"/>
          <w:sz w:val="34"/>
          <w:szCs w:val="34"/>
        </w:rPr>
        <w:t>指省委办公厅二级单位保障机构正常运行、开展日常工作的基本支出。</w:t>
      </w:r>
    </w:p>
    <w:p>
      <w:pPr>
        <w:spacing w:line="600" w:lineRule="exact"/>
        <w:ind w:firstLine="680" w:firstLineChars="200"/>
        <w:jc w:val="both"/>
        <w:rPr>
          <w:rFonts w:hint="default" w:ascii="方正仿宋_GBK" w:hAnsi="方正仿宋_GBK" w:eastAsia="方正仿宋_GBK" w:cs="方正仿宋_GBK"/>
          <w:b/>
          <w:sz w:val="34"/>
          <w:szCs w:val="34"/>
        </w:rPr>
      </w:pPr>
      <w:r>
        <w:rPr>
          <w:rFonts w:ascii="方正仿宋_GBK" w:hAnsi="方正仿宋_GBK" w:eastAsia="方正仿宋_GBK" w:cs="方正仿宋_GBK"/>
          <w:b/>
          <w:bCs/>
          <w:sz w:val="34"/>
          <w:szCs w:val="34"/>
        </w:rPr>
        <w:t>十五、其他共产党事务支出（款）——一般行政管理事务（项）：</w:t>
      </w:r>
      <w:r>
        <w:rPr>
          <w:rFonts w:ascii="方正仿宋_GBK" w:hAnsi="方正仿宋_GBK" w:eastAsia="方正仿宋_GBK" w:cs="方正仿宋_GBK"/>
          <w:sz w:val="34"/>
          <w:szCs w:val="34"/>
        </w:rPr>
        <w:t>指省委办公厅二级单位日常运行费用。</w:t>
      </w:r>
    </w:p>
    <w:p>
      <w:pPr>
        <w:spacing w:line="600" w:lineRule="exact"/>
        <w:ind w:firstLine="64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十六、教育支出（类）普通教育（款）学前教育（项）：</w:t>
      </w:r>
      <w:r>
        <w:rPr>
          <w:rFonts w:ascii="方正仿宋_GBK" w:hAnsi="方正仿宋_GBK" w:eastAsia="方正仿宋_GBK" w:cs="方正仿宋_GBK"/>
          <w:sz w:val="34"/>
          <w:szCs w:val="34"/>
        </w:rPr>
        <w:t>指省委机关新湘幼儿院基础教育发展专项、学前教育生均公用经费、教育支出业务经费。</w:t>
      </w:r>
    </w:p>
    <w:p>
      <w:pPr>
        <w:spacing w:line="600" w:lineRule="exact"/>
        <w:ind w:firstLine="64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十七、教育支出（类）进修及培训（款）培训支出（项）：</w:t>
      </w:r>
      <w:r>
        <w:rPr>
          <w:rFonts w:ascii="方正仿宋_GBK" w:hAnsi="方正仿宋_GBK" w:eastAsia="方正仿宋_GBK" w:cs="方正仿宋_GBK"/>
          <w:bCs/>
          <w:sz w:val="34"/>
          <w:szCs w:val="34"/>
        </w:rPr>
        <w:t>指</w:t>
      </w:r>
      <w:r>
        <w:rPr>
          <w:rFonts w:ascii="方正仿宋_GBK" w:hAnsi="方正仿宋_GBK" w:eastAsia="方正仿宋_GBK" w:cs="方正仿宋_GBK"/>
          <w:sz w:val="34"/>
          <w:szCs w:val="34"/>
        </w:rPr>
        <w:t>省委办公厅</w:t>
      </w:r>
      <w:r>
        <w:rPr>
          <w:rFonts w:ascii="方正仿宋_GBK" w:hAnsi="方正仿宋_GBK" w:eastAsia="方正仿宋_GBK" w:cs="方正仿宋_GBK"/>
          <w:bCs/>
          <w:sz w:val="34"/>
          <w:szCs w:val="34"/>
        </w:rPr>
        <w:t>二级单位开展业务培训活动费用。</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十八、社会保障和就业支出（类）行政事业单位离退休（款）未归口管理的行政单位离退休（项）：</w:t>
      </w:r>
      <w:r>
        <w:rPr>
          <w:rFonts w:ascii="方正仿宋_GBK" w:hAnsi="方正仿宋_GBK" w:eastAsia="方正仿宋_GBK" w:cs="方正仿宋_GBK"/>
          <w:sz w:val="34"/>
          <w:szCs w:val="34"/>
        </w:rPr>
        <w:t>指省委办公厅厅本级及省委接待服务中心、省委机关医院离退休人员经费。</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十九、社会保障和就业支出（类）行政事业单位离退休（款）机关事业单位基本养老保险缴费支出（项）：</w:t>
      </w:r>
      <w:r>
        <w:rPr>
          <w:rFonts w:ascii="方正仿宋_GBK" w:hAnsi="方正仿宋_GBK" w:eastAsia="方正仿宋_GBK" w:cs="方正仿宋_GBK"/>
          <w:sz w:val="34"/>
          <w:szCs w:val="34"/>
        </w:rPr>
        <w:t>指省委机关医院基本养老保险缴费支出。</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二十、社会保障和就业支出（类）行政事业单位离退休（款）机关事业单位职业年金缴费支出（项）：</w:t>
      </w:r>
      <w:r>
        <w:rPr>
          <w:rFonts w:ascii="方正仿宋_GBK" w:hAnsi="方正仿宋_GBK" w:eastAsia="方正仿宋_GBK" w:cs="方正仿宋_GBK"/>
          <w:sz w:val="34"/>
          <w:szCs w:val="34"/>
        </w:rPr>
        <w:t>指省委接待服务中心职业年金缴费支出。</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二十一、卫生健康支出（类）公立医院（款）综合医院（项）：</w:t>
      </w:r>
      <w:r>
        <w:rPr>
          <w:rFonts w:ascii="方正仿宋_GBK" w:hAnsi="方正仿宋_GBK" w:eastAsia="方正仿宋_GBK" w:cs="方正仿宋_GBK"/>
          <w:sz w:val="34"/>
          <w:szCs w:val="34"/>
        </w:rPr>
        <w:t>指省委机关医院人员经费和公用经费。</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二十二、卫生健康支出（类）公共卫生（款）其他公共卫生支出（项）：</w:t>
      </w:r>
      <w:r>
        <w:rPr>
          <w:rFonts w:ascii="方正仿宋_GBK" w:hAnsi="方正仿宋_GBK" w:eastAsia="方正仿宋_GBK" w:cs="方正仿宋_GBK"/>
          <w:sz w:val="34"/>
          <w:szCs w:val="34"/>
        </w:rPr>
        <w:t>指省委机关医院干部保健经费。</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二十三、卫生健康支出（类）计划生育事务（款）其他计划生育事务支出（项）：</w:t>
      </w:r>
      <w:r>
        <w:rPr>
          <w:rFonts w:ascii="方正仿宋_GBK" w:hAnsi="方正仿宋_GBK" w:eastAsia="方正仿宋_GBK" w:cs="方正仿宋_GBK"/>
          <w:bCs/>
          <w:sz w:val="34"/>
          <w:szCs w:val="34"/>
        </w:rPr>
        <w:t>指省委机关医院</w:t>
      </w:r>
      <w:r>
        <w:rPr>
          <w:rFonts w:ascii="方正仿宋_GBK" w:hAnsi="方正仿宋_GBK" w:eastAsia="方正仿宋_GBK" w:cs="方正仿宋_GBK"/>
          <w:sz w:val="34"/>
          <w:szCs w:val="34"/>
        </w:rPr>
        <w:t>上年度干部保健结转经费。</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二十四、卫生健康支出（类）行政事业单位医疗（款）行政单位医疗（项）：</w:t>
      </w:r>
      <w:r>
        <w:rPr>
          <w:rFonts w:ascii="方正仿宋_GBK" w:hAnsi="方正仿宋_GBK" w:eastAsia="方正仿宋_GBK" w:cs="方正仿宋_GBK"/>
          <w:sz w:val="34"/>
          <w:szCs w:val="34"/>
        </w:rPr>
        <w:t>指省委办公厅厅本级2019年省补助离休干部医保专项以及省补助离休干部医疗保障经费。</w:t>
      </w:r>
    </w:p>
    <w:p>
      <w:pPr>
        <w:spacing w:line="600" w:lineRule="exact"/>
        <w:ind w:firstLine="680" w:firstLineChars="200"/>
        <w:jc w:val="both"/>
        <w:rPr>
          <w:rFonts w:hint="default" w:ascii="方正仿宋_GBK" w:hAnsi="方正仿宋_GBK" w:eastAsia="方正仿宋_GBK" w:cs="方正仿宋_GBK"/>
          <w:bCs/>
          <w:sz w:val="34"/>
          <w:szCs w:val="34"/>
        </w:rPr>
      </w:pPr>
      <w:r>
        <w:rPr>
          <w:rFonts w:ascii="方正仿宋_GBK" w:hAnsi="方正仿宋_GBK" w:eastAsia="方正仿宋_GBK" w:cs="方正仿宋_GBK"/>
          <w:b/>
          <w:sz w:val="34"/>
          <w:szCs w:val="34"/>
        </w:rPr>
        <w:t>二十五、卫生健康支出（类）行政事业单位医疗（款）公务员医疗补助（项）：</w:t>
      </w:r>
      <w:r>
        <w:rPr>
          <w:rFonts w:ascii="方正仿宋_GBK" w:hAnsi="方正仿宋_GBK" w:eastAsia="方正仿宋_GBK" w:cs="方正仿宋_GBK"/>
          <w:bCs/>
          <w:sz w:val="34"/>
          <w:szCs w:val="34"/>
        </w:rPr>
        <w:t>指省委办公厅二级单位公务员医疗补助缴费经费。</w:t>
      </w:r>
    </w:p>
    <w:p>
      <w:pPr>
        <w:spacing w:line="600" w:lineRule="exact"/>
        <w:ind w:firstLine="680" w:firstLineChars="200"/>
        <w:jc w:val="both"/>
        <w:rPr>
          <w:rFonts w:hint="default" w:ascii="方正仿宋_GBK" w:hAnsi="方正仿宋_GBK" w:eastAsia="方正仿宋_GBK" w:cs="方正仿宋_GBK"/>
          <w:bCs/>
          <w:sz w:val="34"/>
          <w:szCs w:val="34"/>
        </w:rPr>
      </w:pPr>
      <w:r>
        <w:rPr>
          <w:rFonts w:ascii="方正仿宋_GBK" w:hAnsi="方正仿宋_GBK" w:eastAsia="方正仿宋_GBK" w:cs="方正仿宋_GBK"/>
          <w:b/>
          <w:sz w:val="34"/>
          <w:szCs w:val="34"/>
        </w:rPr>
        <w:t>二十六、卫生健康支出（类）行政事业单位医疗（款）其他行政事业单位医疗支出（项）：</w:t>
      </w:r>
      <w:r>
        <w:rPr>
          <w:rFonts w:ascii="方正仿宋_GBK" w:hAnsi="方正仿宋_GBK" w:eastAsia="方正仿宋_GBK" w:cs="方正仿宋_GBK"/>
          <w:bCs/>
          <w:sz w:val="34"/>
          <w:szCs w:val="34"/>
        </w:rPr>
        <w:t>指省委办公厅二级单位医疗保障经费。</w:t>
      </w:r>
    </w:p>
    <w:p>
      <w:pPr>
        <w:spacing w:line="600" w:lineRule="exact"/>
        <w:ind w:firstLine="680" w:firstLineChars="200"/>
        <w:jc w:val="both"/>
        <w:rPr>
          <w:rFonts w:hint="default" w:ascii="方正仿宋_GBK" w:hAnsi="方正仿宋_GBK" w:eastAsia="方正仿宋_GBK" w:cs="方正仿宋_GBK"/>
          <w:b/>
          <w:sz w:val="34"/>
          <w:szCs w:val="34"/>
        </w:rPr>
      </w:pPr>
      <w:r>
        <w:rPr>
          <w:rFonts w:ascii="方正仿宋_GBK" w:hAnsi="方正仿宋_GBK" w:eastAsia="方正仿宋_GBK" w:cs="方正仿宋_GBK"/>
          <w:b/>
          <w:sz w:val="34"/>
          <w:szCs w:val="34"/>
        </w:rPr>
        <w:t>二十七、卫生健康支出（类）其他医疗卫生与计划生育支出（款）其他卫生健康支出（项）：</w:t>
      </w:r>
      <w:r>
        <w:rPr>
          <w:rFonts w:ascii="方正仿宋_GBK" w:hAnsi="方正仿宋_GBK" w:eastAsia="方正仿宋_GBK" w:cs="方正仿宋_GBK"/>
          <w:sz w:val="34"/>
          <w:szCs w:val="34"/>
        </w:rPr>
        <w:t>指省委办公厅厅本级公务员医疗补助经费、省委机关医院省补助干部保障经费</w:t>
      </w:r>
      <w:r>
        <w:rPr>
          <w:rFonts w:ascii="方正仿宋_GBK" w:hAnsi="方正仿宋_GBK" w:eastAsia="方正仿宋_GBK" w:cs="方正仿宋_GBK"/>
          <w:b/>
          <w:sz w:val="34"/>
          <w:szCs w:val="34"/>
        </w:rPr>
        <w:t>。</w:t>
      </w:r>
    </w:p>
    <w:p>
      <w:pPr>
        <w:spacing w:line="600" w:lineRule="exact"/>
        <w:ind w:firstLine="680" w:firstLineChars="200"/>
        <w:jc w:val="both"/>
        <w:rPr>
          <w:rFonts w:hint="default" w:ascii="方正仿宋_GBK" w:hAnsi="方正仿宋_GBK" w:eastAsia="方正仿宋_GBK" w:cs="方正仿宋_GBK"/>
          <w:b/>
          <w:sz w:val="34"/>
          <w:szCs w:val="34"/>
        </w:rPr>
      </w:pPr>
      <w:r>
        <w:rPr>
          <w:rFonts w:ascii="方正仿宋_GBK" w:hAnsi="方正仿宋_GBK" w:eastAsia="方正仿宋_GBK" w:cs="方正仿宋_GBK"/>
          <w:b/>
          <w:sz w:val="34"/>
          <w:szCs w:val="34"/>
        </w:rPr>
        <w:t>二十八、资源勘探信息等支出（类）工业信息产业监督（款）：</w:t>
      </w:r>
      <w:r>
        <w:rPr>
          <w:rFonts w:ascii="方正仿宋_GBK" w:hAnsi="方正仿宋_GBK" w:eastAsia="方正仿宋_GBK" w:cs="方正仿宋_GBK"/>
          <w:bCs/>
          <w:sz w:val="34"/>
          <w:szCs w:val="34"/>
        </w:rPr>
        <w:t>指省委办公厅二级单位业务工作经费。</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二十九、住房保障支出（类）住房改革支出（款）住房公积金（项）：</w:t>
      </w:r>
      <w:r>
        <w:rPr>
          <w:rFonts w:ascii="方正仿宋_GBK" w:hAnsi="方正仿宋_GBK" w:eastAsia="方正仿宋_GBK" w:cs="方正仿宋_GBK"/>
          <w:sz w:val="34"/>
          <w:szCs w:val="34"/>
        </w:rPr>
        <w:t>指省委办公厅厅本级及省委接待服务中心住房公积金。</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三十、住房保障支出（类）住房改革支出（款）购房补贴（项）：</w:t>
      </w:r>
      <w:r>
        <w:rPr>
          <w:rFonts w:ascii="方正仿宋_GBK" w:hAnsi="方正仿宋_GBK" w:eastAsia="方正仿宋_GBK" w:cs="方正仿宋_GBK"/>
          <w:sz w:val="34"/>
          <w:szCs w:val="34"/>
        </w:rPr>
        <w:t>指省委办公厅厅本级异地调入干部住房地区价差补贴。</w:t>
      </w:r>
    </w:p>
    <w:p>
      <w:pPr>
        <w:spacing w:line="600" w:lineRule="exact"/>
        <w:ind w:firstLine="680" w:firstLineChars="200"/>
        <w:jc w:val="both"/>
        <w:rPr>
          <w:rFonts w:hint="default" w:ascii="方正仿宋_GBK" w:hAnsi="方正仿宋_GBK" w:eastAsia="方正仿宋_GBK" w:cs="方正仿宋_GBK"/>
          <w:bCs/>
          <w:sz w:val="34"/>
          <w:szCs w:val="34"/>
        </w:rPr>
      </w:pPr>
      <w:r>
        <w:rPr>
          <w:rFonts w:ascii="方正仿宋_GBK" w:hAnsi="方正仿宋_GBK" w:eastAsia="方正仿宋_GBK" w:cs="方正仿宋_GBK"/>
          <w:b/>
          <w:sz w:val="34"/>
          <w:szCs w:val="34"/>
        </w:rPr>
        <w:t>三十一、其他支出（类）其他支出（款）其他支出（项）：</w:t>
      </w:r>
      <w:r>
        <w:rPr>
          <w:rFonts w:ascii="方正仿宋_GBK" w:hAnsi="方正仿宋_GBK" w:eastAsia="方正仿宋_GBK" w:cs="方正仿宋_GBK"/>
          <w:bCs/>
          <w:sz w:val="34"/>
          <w:szCs w:val="34"/>
        </w:rPr>
        <w:t>指省委办公厅厅本级部分项目经费。</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三十二、结余分配：</w:t>
      </w:r>
      <w:r>
        <w:rPr>
          <w:rFonts w:ascii="方正仿宋_GBK" w:hAnsi="方正仿宋_GBK" w:eastAsia="方正仿宋_GBK" w:cs="方正仿宋_GBK"/>
          <w:sz w:val="34"/>
          <w:szCs w:val="34"/>
        </w:rPr>
        <w:t>指事业单位按规定提取的职工福利基金、事业基金和缴纳的所得税，以及建设单位按规定应交回的基本建设竣工项目结余资金。</w:t>
      </w:r>
    </w:p>
    <w:p>
      <w:pPr>
        <w:autoSpaceDE w:val="0"/>
        <w:autoSpaceDN w:val="0"/>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三十三、年末结转和结余：</w:t>
      </w:r>
      <w:r>
        <w:rPr>
          <w:rFonts w:ascii="方正仿宋_GBK" w:hAnsi="方正仿宋_GBK" w:eastAsia="方正仿宋_GBK" w:cs="方正仿宋_GBK"/>
          <w:sz w:val="34"/>
          <w:szCs w:val="34"/>
        </w:rPr>
        <w:t>指本年度或以前年度预算安排、因客观条件发生变化无法按原计划实施，需延迟到以后年度按有关规定继续使用的资金。</w:t>
      </w:r>
    </w:p>
    <w:p>
      <w:pPr>
        <w:autoSpaceDE w:val="0"/>
        <w:autoSpaceDN w:val="0"/>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三十四、基本支出：</w:t>
      </w:r>
      <w:r>
        <w:rPr>
          <w:rFonts w:ascii="方正仿宋_GBK" w:hAnsi="方正仿宋_GBK" w:eastAsia="方正仿宋_GBK" w:cs="方正仿宋_GBK"/>
          <w:sz w:val="34"/>
          <w:szCs w:val="34"/>
        </w:rPr>
        <w:t>指为保障机构正常运转、完成日常工作任务而发生的人员支出和公用支出。</w:t>
      </w:r>
    </w:p>
    <w:p>
      <w:pPr>
        <w:autoSpaceDE w:val="0"/>
        <w:autoSpaceDN w:val="0"/>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三十五、项目支出：</w:t>
      </w:r>
      <w:r>
        <w:rPr>
          <w:rFonts w:ascii="方正仿宋_GBK" w:hAnsi="方正仿宋_GBK" w:eastAsia="方正仿宋_GBK" w:cs="方正仿宋_GBK"/>
          <w:sz w:val="34"/>
          <w:szCs w:val="34"/>
        </w:rPr>
        <w:t>指在基本支出之外，为完成特定行政任务和事业发展目标所发生的支出。</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三十六、“三公”经费：</w:t>
      </w:r>
      <w:r>
        <w:rPr>
          <w:rFonts w:ascii="方正仿宋_GBK" w:hAnsi="方正仿宋_GBK" w:eastAsia="方正仿宋_GBK" w:cs="方正仿宋_GBK"/>
          <w:sz w:val="34"/>
          <w:szCs w:val="34"/>
        </w:rPr>
        <w:t>指省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spacing w:line="600" w:lineRule="exact"/>
        <w:ind w:firstLine="680" w:firstLineChars="200"/>
        <w:jc w:val="both"/>
        <w:rPr>
          <w:rFonts w:hint="default" w:ascii="方正仿宋_GBK" w:hAnsi="方正仿宋_GBK" w:eastAsia="方正仿宋_GBK" w:cs="方正仿宋_GBK"/>
          <w:sz w:val="34"/>
          <w:szCs w:val="34"/>
        </w:rPr>
      </w:pPr>
      <w:r>
        <w:rPr>
          <w:rFonts w:ascii="方正仿宋_GBK" w:hAnsi="方正仿宋_GBK" w:eastAsia="方正仿宋_GBK" w:cs="方正仿宋_GBK"/>
          <w:b/>
          <w:sz w:val="34"/>
          <w:szCs w:val="34"/>
        </w:rPr>
        <w:t>三十七、机关运行经费：</w:t>
      </w:r>
      <w:r>
        <w:rPr>
          <w:rFonts w:ascii="方正仿宋_GBK" w:hAnsi="方正仿宋_GBK" w:eastAsia="方正仿宋_GBK" w:cs="方正仿宋_GBK"/>
          <w:sz w:val="34"/>
          <w:szCs w:val="34"/>
        </w:rPr>
        <w:t>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9"/>
        <w:spacing w:before="0" w:beforeAutospacing="0"/>
        <w:jc w:val="center"/>
        <w:rPr>
          <w:rFonts w:hint="default" w:cs="宋体"/>
          <w:color w:val="FF0000"/>
          <w:shd w:val="clear" w:color="auto" w:fill="FFFFFF"/>
        </w:rPr>
      </w:pPr>
      <w:r>
        <w:rPr>
          <w:rFonts w:cs="宋体"/>
          <w:color w:val="FF0000"/>
          <w:shd w:val="clear" w:color="auto" w:fill="FFFFFF"/>
        </w:rPr>
        <w:t xml:space="preserve"> </w:t>
      </w:r>
    </w:p>
    <w:p>
      <w:pPr>
        <w:pStyle w:val="9"/>
        <w:spacing w:before="0" w:beforeAutospacing="0"/>
        <w:jc w:val="center"/>
        <w:rPr>
          <w:rFonts w:hint="default" w:ascii="方正小标宋_GBK" w:hAnsi="方正小标宋_GBK" w:eastAsia="方正小标宋_GBK" w:cs="方正小标宋_GBK"/>
          <w:sz w:val="34"/>
          <w:szCs w:val="34"/>
          <w:shd w:val="clear" w:color="auto" w:fill="FFFFFF"/>
        </w:rPr>
      </w:pPr>
      <w:r>
        <w:rPr>
          <w:rFonts w:hint="default" w:ascii="方正小标宋_GBK" w:hAnsi="方正小标宋_GBK" w:eastAsia="方正小标宋_GBK" w:cs="方正小标宋_GBK"/>
          <w:sz w:val="34"/>
          <w:szCs w:val="34"/>
          <w:shd w:val="clear" w:color="auto" w:fill="FFFFFF"/>
        </w:rPr>
        <w:br w:type="page"/>
      </w:r>
    </w:p>
    <w:p>
      <w:pPr>
        <w:pStyle w:val="9"/>
        <w:spacing w:before="0" w:beforeAutospacing="0"/>
        <w:jc w:val="center"/>
        <w:rPr>
          <w:rFonts w:hint="default" w:ascii="方正小标宋_GBK" w:hAnsi="方正小标宋_GBK" w:eastAsia="方正小标宋_GBK" w:cs="方正小标宋_GBK"/>
          <w:sz w:val="34"/>
          <w:szCs w:val="34"/>
          <w:shd w:val="clear" w:color="auto" w:fill="FFFFFF"/>
        </w:rPr>
      </w:pPr>
    </w:p>
    <w:p>
      <w:pPr>
        <w:pStyle w:val="9"/>
        <w:spacing w:before="0" w:beforeAutospacing="0"/>
        <w:jc w:val="center"/>
        <w:rPr>
          <w:rFonts w:hint="default" w:ascii="方正小标宋_GBK" w:hAnsi="方正小标宋_GBK" w:eastAsia="方正小标宋_GBK" w:cs="方正小标宋_GBK"/>
          <w:sz w:val="34"/>
          <w:szCs w:val="34"/>
          <w:shd w:val="clear" w:color="auto" w:fill="FFFFFF"/>
        </w:rPr>
      </w:pPr>
    </w:p>
    <w:p>
      <w:pPr>
        <w:pStyle w:val="9"/>
        <w:spacing w:before="0" w:beforeAutospacing="0"/>
        <w:jc w:val="center"/>
        <w:rPr>
          <w:rFonts w:hint="default" w:ascii="方正小标宋_GBK" w:hAnsi="方正小标宋_GBK" w:eastAsia="方正小标宋_GBK" w:cs="方正小标宋_GBK"/>
          <w:sz w:val="34"/>
          <w:szCs w:val="34"/>
          <w:shd w:val="clear" w:color="auto" w:fill="FFFFFF"/>
        </w:rPr>
      </w:pPr>
    </w:p>
    <w:p>
      <w:pPr>
        <w:pStyle w:val="9"/>
        <w:spacing w:before="0" w:beforeAutospacing="0"/>
        <w:jc w:val="center"/>
        <w:rPr>
          <w:rFonts w:hint="default" w:ascii="方正小标宋_GBK" w:hAnsi="方正小标宋_GBK" w:eastAsia="方正小标宋_GBK" w:cs="方正小标宋_GBK"/>
          <w:sz w:val="34"/>
          <w:szCs w:val="34"/>
          <w:shd w:val="clear" w:color="auto" w:fill="FFFFFF"/>
        </w:rPr>
      </w:pPr>
    </w:p>
    <w:p>
      <w:pPr>
        <w:pStyle w:val="9"/>
        <w:spacing w:before="0" w:beforeAutospacing="0"/>
        <w:jc w:val="center"/>
        <w:rPr>
          <w:rFonts w:hint="default" w:ascii="方正小标宋_GBK" w:hAnsi="方正小标宋_GBK" w:eastAsia="方正小标宋_GBK" w:cs="方正小标宋_GBK"/>
          <w:sz w:val="34"/>
          <w:szCs w:val="34"/>
          <w:shd w:val="clear" w:color="auto" w:fill="FFFFFF"/>
        </w:rPr>
      </w:pPr>
    </w:p>
    <w:p>
      <w:pPr>
        <w:pStyle w:val="9"/>
        <w:spacing w:before="0" w:beforeAutospacing="0"/>
        <w:jc w:val="center"/>
        <w:rPr>
          <w:rFonts w:hint="default" w:ascii="方正小标宋_GBK" w:hAnsi="方正小标宋_GBK" w:eastAsia="方正小标宋_GBK" w:cs="方正小标宋_GBK"/>
          <w:sz w:val="52"/>
          <w:szCs w:val="52"/>
          <w:shd w:val="clear" w:color="auto" w:fill="FFFFFF"/>
        </w:rPr>
      </w:pPr>
      <w:r>
        <w:rPr>
          <w:rFonts w:ascii="方正小标宋_GBK" w:hAnsi="方正小标宋_GBK" w:eastAsia="方正小标宋_GBK" w:cs="方正小标宋_GBK"/>
          <w:sz w:val="52"/>
          <w:szCs w:val="52"/>
          <w:shd w:val="clear" w:color="auto" w:fill="FFFFFF"/>
        </w:rPr>
        <w:t>第五部分</w:t>
      </w:r>
    </w:p>
    <w:p>
      <w:pPr>
        <w:pStyle w:val="9"/>
        <w:spacing w:before="0" w:beforeAutospacing="0"/>
        <w:jc w:val="center"/>
        <w:rPr>
          <w:rFonts w:hint="default" w:ascii="方正小标宋_GBK" w:hAnsi="方正小标宋_GBK" w:eastAsia="方正小标宋_GBK" w:cs="方正小标宋_GBK"/>
          <w:sz w:val="52"/>
          <w:szCs w:val="52"/>
          <w:shd w:val="clear" w:color="auto" w:fill="FFFFFF"/>
        </w:rPr>
      </w:pPr>
      <w:r>
        <w:rPr>
          <w:rFonts w:ascii="方正小标宋_GBK" w:hAnsi="方正小标宋_GBK" w:eastAsia="方正小标宋_GBK" w:cs="方正小标宋_GBK"/>
          <w:sz w:val="52"/>
          <w:szCs w:val="52"/>
          <w:shd w:val="clear" w:color="auto" w:fill="FFFFFF"/>
        </w:rPr>
        <w:t>附  件</w:t>
      </w:r>
    </w:p>
    <w:p>
      <w:pPr>
        <w:pStyle w:val="9"/>
        <w:spacing w:before="0" w:beforeAutospacing="0"/>
        <w:rPr>
          <w:rFonts w:hint="default" w:ascii="方正小标宋_GBK" w:hAnsi="方正小标宋_GBK" w:eastAsia="方正小标宋_GBK" w:cs="方正小标宋_GBK"/>
          <w:sz w:val="40"/>
          <w:szCs w:val="40"/>
          <w:shd w:val="clear" w:color="auto" w:fill="FFFFFF"/>
        </w:rPr>
      </w:pPr>
    </w:p>
    <w:p>
      <w:pPr>
        <w:pStyle w:val="9"/>
        <w:spacing w:before="0" w:beforeAutospacing="0"/>
        <w:rPr>
          <w:rFonts w:hint="default" w:ascii="方正小标宋_GBK" w:hAnsi="方正小标宋_GBK" w:eastAsia="方正小标宋_GBK" w:cs="方正小标宋_GBK"/>
          <w:sz w:val="40"/>
          <w:szCs w:val="40"/>
          <w:shd w:val="clear" w:color="auto" w:fill="FFFFFF"/>
        </w:rPr>
      </w:pPr>
    </w:p>
    <w:p>
      <w:pPr>
        <w:pStyle w:val="9"/>
        <w:spacing w:before="0" w:beforeAutospacing="0"/>
        <w:rPr>
          <w:rFonts w:hint="default" w:ascii="方正小标宋_GBK" w:hAnsi="方正小标宋_GBK" w:eastAsia="方正小标宋_GBK" w:cs="方正小标宋_GBK"/>
          <w:sz w:val="40"/>
          <w:szCs w:val="40"/>
          <w:shd w:val="clear" w:color="auto" w:fill="FFFFFF"/>
        </w:rPr>
      </w:pPr>
    </w:p>
    <w:p>
      <w:pPr>
        <w:pStyle w:val="9"/>
        <w:spacing w:before="0" w:beforeAutospacing="0"/>
        <w:rPr>
          <w:rFonts w:hint="default" w:ascii="方正小标宋_GBK" w:hAnsi="方正小标宋_GBK" w:eastAsia="方正小标宋_GBK" w:cs="方正小标宋_GBK"/>
          <w:sz w:val="40"/>
          <w:szCs w:val="40"/>
          <w:shd w:val="clear" w:color="auto" w:fill="FFFFFF"/>
        </w:rPr>
      </w:pPr>
    </w:p>
    <w:p>
      <w:pPr>
        <w:pStyle w:val="9"/>
        <w:spacing w:before="0" w:beforeAutospacing="0"/>
        <w:rPr>
          <w:rFonts w:hint="default" w:ascii="方正小标宋_GBK" w:hAnsi="方正小标宋_GBK" w:eastAsia="方正小标宋_GBK" w:cs="方正小标宋_GBK"/>
          <w:sz w:val="40"/>
          <w:szCs w:val="40"/>
          <w:shd w:val="clear" w:color="auto" w:fill="FFFFFF"/>
        </w:rPr>
      </w:pPr>
    </w:p>
    <w:p>
      <w:pPr>
        <w:pStyle w:val="9"/>
        <w:spacing w:before="0" w:beforeAutospacing="0"/>
        <w:rPr>
          <w:rFonts w:hint="default" w:ascii="方正小标宋_GBK" w:hAnsi="方正小标宋_GBK" w:eastAsia="方正小标宋_GBK" w:cs="方正小标宋_GBK"/>
          <w:sz w:val="40"/>
          <w:szCs w:val="40"/>
          <w:shd w:val="clear" w:color="auto" w:fill="FFFFFF"/>
        </w:rPr>
      </w:pPr>
    </w:p>
    <w:p>
      <w:pPr>
        <w:spacing w:line="560" w:lineRule="exact"/>
        <w:jc w:val="center"/>
        <w:rPr>
          <w:rFonts w:hint="default" w:ascii="黑体" w:hAnsi="黑体" w:eastAsia="黑体"/>
          <w:b/>
          <w:sz w:val="44"/>
          <w:szCs w:val="44"/>
        </w:rPr>
      </w:pPr>
      <w:r>
        <w:rPr>
          <w:rFonts w:ascii="黑体" w:hAnsi="黑体" w:eastAsia="黑体"/>
          <w:b/>
          <w:sz w:val="44"/>
          <w:szCs w:val="44"/>
        </w:rPr>
        <w:t>衡南县工商业联合会整体支出绩效评价</w:t>
      </w:r>
    </w:p>
    <w:p>
      <w:pPr>
        <w:spacing w:line="560" w:lineRule="exact"/>
        <w:jc w:val="center"/>
        <w:rPr>
          <w:rFonts w:hint="default" w:ascii="黑体" w:hAnsi="黑体" w:eastAsia="黑体"/>
          <w:b/>
          <w:sz w:val="44"/>
          <w:szCs w:val="44"/>
        </w:rPr>
      </w:pPr>
      <w:r>
        <w:rPr>
          <w:rFonts w:ascii="黑体" w:hAnsi="黑体" w:eastAsia="黑体"/>
          <w:b/>
          <w:sz w:val="44"/>
          <w:szCs w:val="44"/>
        </w:rPr>
        <w:t>报  告</w:t>
      </w:r>
    </w:p>
    <w:p>
      <w:pPr>
        <w:spacing w:line="560" w:lineRule="exact"/>
        <w:ind w:firstLine="600" w:firstLineChars="200"/>
        <w:rPr>
          <w:rFonts w:hint="default" w:ascii="仿宋" w:hAnsi="仿宋" w:eastAsia="仿宋"/>
          <w:sz w:val="30"/>
          <w:szCs w:val="30"/>
        </w:rPr>
      </w:pPr>
    </w:p>
    <w:p>
      <w:pPr>
        <w:spacing w:line="500" w:lineRule="exact"/>
        <w:ind w:firstLine="600" w:firstLineChars="200"/>
        <w:rPr>
          <w:rFonts w:hint="default" w:ascii="仿宋" w:hAnsi="仿宋" w:eastAsia="仿宋"/>
          <w:sz w:val="30"/>
          <w:szCs w:val="30"/>
        </w:rPr>
      </w:pPr>
      <w:r>
        <w:rPr>
          <w:rFonts w:ascii="仿宋" w:hAnsi="仿宋" w:eastAsia="仿宋"/>
          <w:sz w:val="30"/>
          <w:szCs w:val="30"/>
        </w:rPr>
        <w:t>为进一步规范预算资金使用，提高财政资金使用效益，根据《衡南县财政局关于开展2020年度县级财政资金绩效自评工作的通知》要求，我联（总商会）对2020年度本单位整体支出进行了绩效自评，现将具体绩效评价情况报告如下：</w:t>
      </w:r>
      <w:r>
        <w:rPr>
          <w:rFonts w:ascii="华文仿宋" w:hAnsi="华文仿宋" w:eastAsia="仿宋"/>
          <w:sz w:val="30"/>
          <w:szCs w:val="30"/>
        </w:rPr>
        <w:t>          </w:t>
      </w:r>
      <w:r>
        <w:rPr>
          <w:rFonts w:ascii="仿宋" w:hAnsi="仿宋" w:eastAsia="仿宋"/>
          <w:sz w:val="30"/>
          <w:szCs w:val="30"/>
        </w:rPr>
        <w:t xml:space="preserve"> </w:t>
      </w:r>
    </w:p>
    <w:p>
      <w:pPr>
        <w:numPr>
          <w:ilvl w:val="0"/>
          <w:numId w:val="2"/>
        </w:numPr>
        <w:spacing w:line="500" w:lineRule="exact"/>
        <w:ind w:firstLine="600" w:firstLineChars="200"/>
        <w:rPr>
          <w:rFonts w:hint="default" w:ascii="仿宋" w:hAnsi="仿宋" w:eastAsia="仿宋" w:cs="迷你简黑体"/>
          <w:sz w:val="30"/>
          <w:szCs w:val="30"/>
        </w:rPr>
      </w:pPr>
      <w:r>
        <w:rPr>
          <w:rFonts w:ascii="仿宋" w:hAnsi="仿宋" w:eastAsia="仿宋" w:cs="迷你简黑体"/>
          <w:sz w:val="30"/>
          <w:szCs w:val="30"/>
        </w:rPr>
        <w:t>基本情况</w:t>
      </w:r>
    </w:p>
    <w:p>
      <w:pPr>
        <w:spacing w:line="500" w:lineRule="exact"/>
        <w:ind w:firstLine="645"/>
        <w:rPr>
          <w:rFonts w:hint="default" w:ascii="仿宋" w:hAnsi="仿宋" w:eastAsia="仿宋"/>
          <w:b/>
          <w:sz w:val="30"/>
          <w:szCs w:val="30"/>
        </w:rPr>
      </w:pPr>
      <w:r>
        <w:rPr>
          <w:rFonts w:ascii="仿宋" w:hAnsi="仿宋" w:eastAsia="仿宋"/>
          <w:b/>
          <w:sz w:val="30"/>
          <w:szCs w:val="30"/>
        </w:rPr>
        <w:t>机构设置及人员编制情况：</w:t>
      </w:r>
    </w:p>
    <w:p>
      <w:pPr>
        <w:spacing w:line="500" w:lineRule="exact"/>
        <w:ind w:firstLine="645"/>
        <w:rPr>
          <w:rFonts w:hint="default" w:ascii="仿宋" w:hAnsi="仿宋" w:eastAsia="仿宋"/>
          <w:sz w:val="30"/>
          <w:szCs w:val="30"/>
        </w:rPr>
      </w:pPr>
      <w:r>
        <w:rPr>
          <w:rFonts w:ascii="仿宋" w:hAnsi="仿宋" w:eastAsia="仿宋"/>
          <w:sz w:val="30"/>
          <w:szCs w:val="30"/>
        </w:rPr>
        <w:t>衡南县工商业联合会属财政全额拨款的单位，纳入财政会计集中核算和国库集中支付体系，财务执行《行政单位会计制度》。现有在职干部职工12人（其中行政编制4人，全额事业编8人），退休人员6人。单位内设办公室、</w:t>
      </w:r>
      <w:r>
        <w:rPr>
          <w:rFonts w:ascii="仿宋" w:hAnsi="仿宋" w:eastAsia="仿宋" w:cs="宋体"/>
          <w:sz w:val="30"/>
          <w:szCs w:val="30"/>
        </w:rPr>
        <w:t>会员部、经济联络部、宣教部</w:t>
      </w:r>
      <w:r>
        <w:rPr>
          <w:rFonts w:ascii="仿宋" w:hAnsi="仿宋" w:eastAsia="仿宋"/>
          <w:sz w:val="30"/>
          <w:szCs w:val="30"/>
        </w:rPr>
        <w:t>。</w:t>
      </w:r>
    </w:p>
    <w:p>
      <w:pPr>
        <w:spacing w:line="500" w:lineRule="exact"/>
        <w:ind w:firstLine="602" w:firstLineChars="200"/>
        <w:rPr>
          <w:rFonts w:hint="default" w:ascii="仿宋" w:hAnsi="仿宋" w:eastAsia="仿宋"/>
          <w:b/>
          <w:sz w:val="30"/>
          <w:szCs w:val="30"/>
        </w:rPr>
      </w:pPr>
      <w:r>
        <w:rPr>
          <w:rFonts w:ascii="仿宋" w:hAnsi="仿宋" w:eastAsia="仿宋"/>
          <w:b/>
          <w:sz w:val="30"/>
          <w:szCs w:val="30"/>
        </w:rPr>
        <w:t>主要工作职责：</w:t>
      </w:r>
    </w:p>
    <w:p>
      <w:pPr>
        <w:spacing w:line="500" w:lineRule="exact"/>
        <w:ind w:firstLine="531" w:firstLineChars="177"/>
        <w:rPr>
          <w:rFonts w:hint="default" w:ascii="仿宋" w:hAnsi="仿宋" w:eastAsia="仿宋"/>
          <w:sz w:val="30"/>
          <w:szCs w:val="30"/>
        </w:rPr>
      </w:pPr>
      <w:r>
        <w:rPr>
          <w:rFonts w:ascii="仿宋" w:hAnsi="仿宋" w:eastAsia="仿宋"/>
          <w:sz w:val="30"/>
          <w:szCs w:val="30"/>
        </w:rPr>
        <w:t>1、团结、服务、引导、教育非公有制经济人士爱国、敬业、诚信、守法、贡献，培养拥护党的领导、走中国特色社会主义道路的非公有制经济人士队伍。</w:t>
      </w:r>
    </w:p>
    <w:p>
      <w:pPr>
        <w:spacing w:line="500" w:lineRule="exact"/>
        <w:ind w:firstLine="531" w:firstLineChars="177"/>
        <w:rPr>
          <w:rFonts w:hint="default" w:ascii="仿宋" w:hAnsi="仿宋" w:eastAsia="仿宋"/>
          <w:sz w:val="30"/>
          <w:szCs w:val="30"/>
        </w:rPr>
      </w:pPr>
      <w:r>
        <w:rPr>
          <w:rFonts w:ascii="仿宋" w:hAnsi="仿宋" w:eastAsia="仿宋"/>
          <w:sz w:val="30"/>
          <w:szCs w:val="30"/>
        </w:rPr>
        <w:t>2、做好非公有制经济代表人士政治安排的推荐工作。参与政治协商，发挥民主监督作用，积极参政议政。</w:t>
      </w:r>
    </w:p>
    <w:p>
      <w:pPr>
        <w:spacing w:line="500" w:lineRule="exact"/>
        <w:ind w:firstLine="531" w:firstLineChars="177"/>
        <w:rPr>
          <w:rFonts w:hint="default" w:ascii="仿宋" w:hAnsi="仿宋" w:eastAsia="仿宋"/>
          <w:sz w:val="30"/>
          <w:szCs w:val="30"/>
        </w:rPr>
      </w:pPr>
      <w:r>
        <w:rPr>
          <w:rFonts w:ascii="仿宋" w:hAnsi="仿宋" w:eastAsia="仿宋"/>
          <w:sz w:val="30"/>
          <w:szCs w:val="30"/>
        </w:rPr>
        <w:t>3、参与政府相关的经济活动，广泛联系各地工商界人士，开展民间外交，推动经贸交流和协作，促进经济社会发展。</w:t>
      </w:r>
    </w:p>
    <w:p>
      <w:pPr>
        <w:spacing w:line="500" w:lineRule="exact"/>
        <w:ind w:firstLine="531" w:firstLineChars="177"/>
        <w:rPr>
          <w:rFonts w:hint="default" w:ascii="仿宋" w:hAnsi="仿宋" w:eastAsia="仿宋"/>
          <w:sz w:val="30"/>
          <w:szCs w:val="30"/>
        </w:rPr>
      </w:pPr>
      <w:r>
        <w:rPr>
          <w:rFonts w:ascii="仿宋" w:hAnsi="仿宋" w:eastAsia="仿宋"/>
          <w:sz w:val="30"/>
          <w:szCs w:val="30"/>
        </w:rPr>
        <w:t>4、参与协调劳动关系，促进和谐社会建设。</w:t>
      </w:r>
    </w:p>
    <w:p>
      <w:pPr>
        <w:spacing w:line="500" w:lineRule="exact"/>
        <w:ind w:firstLine="531" w:firstLineChars="177"/>
        <w:rPr>
          <w:rFonts w:hint="default" w:ascii="仿宋" w:hAnsi="仿宋" w:eastAsia="仿宋"/>
          <w:sz w:val="30"/>
          <w:szCs w:val="30"/>
        </w:rPr>
      </w:pPr>
      <w:r>
        <w:rPr>
          <w:rFonts w:ascii="仿宋" w:hAnsi="仿宋" w:eastAsia="仿宋"/>
          <w:sz w:val="30"/>
          <w:szCs w:val="30"/>
        </w:rPr>
        <w:t>5、指导本会直属商会工作，积极参与社会组织建设工作，促进行业协会商会改革发展。</w:t>
      </w:r>
    </w:p>
    <w:p>
      <w:pPr>
        <w:spacing w:line="500" w:lineRule="exact"/>
        <w:ind w:firstLine="531" w:firstLineChars="177"/>
        <w:rPr>
          <w:rFonts w:hint="default" w:ascii="仿宋" w:hAnsi="仿宋" w:eastAsia="仿宋"/>
          <w:sz w:val="30"/>
          <w:szCs w:val="30"/>
        </w:rPr>
      </w:pPr>
      <w:r>
        <w:rPr>
          <w:rFonts w:ascii="仿宋" w:hAnsi="仿宋" w:eastAsia="仿宋"/>
          <w:sz w:val="30"/>
          <w:szCs w:val="30"/>
        </w:rPr>
        <w:t>6、反映非公有制企业和非公有制经济人士利益诉求，维护其合法权益。</w:t>
      </w:r>
      <w:r>
        <w:rPr>
          <w:rFonts w:ascii="华文仿宋" w:hAnsi="华文仿宋" w:eastAsia="仿宋"/>
          <w:sz w:val="30"/>
          <w:szCs w:val="30"/>
        </w:rPr>
        <w:t>              </w:t>
      </w:r>
    </w:p>
    <w:p>
      <w:pPr>
        <w:spacing w:line="500" w:lineRule="exact"/>
        <w:ind w:firstLine="531" w:firstLineChars="177"/>
        <w:rPr>
          <w:rFonts w:hint="default" w:ascii="仿宋" w:hAnsi="仿宋" w:eastAsia="仿宋"/>
          <w:sz w:val="30"/>
          <w:szCs w:val="30"/>
        </w:rPr>
      </w:pPr>
      <w:r>
        <w:rPr>
          <w:rFonts w:ascii="仿宋" w:hAnsi="仿宋" w:eastAsia="仿宋"/>
          <w:sz w:val="30"/>
          <w:szCs w:val="30"/>
        </w:rPr>
        <w:t>7、为会员提供政策信息、人才交流培训等服务。组织会员企业参加各类经贸活动，外出参观考察，帮助会员企业拓展市场。</w:t>
      </w:r>
    </w:p>
    <w:p>
      <w:pPr>
        <w:spacing w:line="500" w:lineRule="exact"/>
        <w:ind w:firstLine="531" w:firstLineChars="177"/>
        <w:rPr>
          <w:rFonts w:hint="default" w:ascii="仿宋" w:hAnsi="仿宋" w:eastAsia="仿宋"/>
          <w:sz w:val="30"/>
          <w:szCs w:val="30"/>
        </w:rPr>
      </w:pPr>
      <w:r>
        <w:rPr>
          <w:rFonts w:ascii="仿宋" w:hAnsi="仿宋" w:eastAsia="仿宋"/>
          <w:sz w:val="30"/>
          <w:szCs w:val="30"/>
        </w:rPr>
        <w:t>8、配合有关部门开展非公有制会员企业党建工作。</w:t>
      </w:r>
    </w:p>
    <w:p>
      <w:pPr>
        <w:spacing w:line="500" w:lineRule="exact"/>
        <w:ind w:firstLine="531" w:firstLineChars="177"/>
        <w:rPr>
          <w:rFonts w:hint="default" w:ascii="仿宋" w:hAnsi="仿宋" w:eastAsia="仿宋"/>
          <w:sz w:val="30"/>
          <w:szCs w:val="30"/>
        </w:rPr>
      </w:pPr>
      <w:r>
        <w:rPr>
          <w:rFonts w:ascii="仿宋" w:hAnsi="仿宋" w:eastAsia="仿宋"/>
          <w:sz w:val="30"/>
          <w:szCs w:val="30"/>
        </w:rPr>
        <w:t>9、积极引导非公有制企业及其非公有制经济人士承担社会责任，大力支持慈善公益事业发展，积极投身光彩事业。</w:t>
      </w:r>
    </w:p>
    <w:p>
      <w:pPr>
        <w:spacing w:line="500" w:lineRule="exact"/>
        <w:ind w:firstLine="531" w:firstLineChars="177"/>
        <w:rPr>
          <w:rFonts w:hint="default" w:ascii="仿宋" w:hAnsi="仿宋" w:eastAsia="仿宋"/>
          <w:sz w:val="30"/>
          <w:szCs w:val="30"/>
        </w:rPr>
      </w:pPr>
      <w:r>
        <w:rPr>
          <w:rFonts w:ascii="仿宋" w:hAnsi="仿宋" w:eastAsia="仿宋"/>
          <w:sz w:val="30"/>
          <w:szCs w:val="30"/>
        </w:rPr>
        <w:t>10、承办县委、县政府和上级工商联交办的其它任务。</w:t>
      </w:r>
    </w:p>
    <w:p>
      <w:pPr>
        <w:spacing w:line="500" w:lineRule="exact"/>
        <w:ind w:firstLine="645"/>
        <w:rPr>
          <w:rFonts w:hint="default" w:ascii="仿宋" w:hAnsi="仿宋" w:eastAsia="仿宋" w:cs="迷你简黑体"/>
          <w:b/>
          <w:bCs/>
          <w:sz w:val="30"/>
          <w:szCs w:val="30"/>
        </w:rPr>
      </w:pPr>
      <w:r>
        <w:rPr>
          <w:rFonts w:ascii="仿宋" w:hAnsi="仿宋" w:eastAsia="仿宋" w:cs="迷你简黑体"/>
          <w:b/>
          <w:bCs/>
          <w:sz w:val="30"/>
          <w:szCs w:val="30"/>
        </w:rPr>
        <w:t>二、部门整体支出管理及使用情况</w:t>
      </w:r>
    </w:p>
    <w:p>
      <w:pPr>
        <w:spacing w:line="500" w:lineRule="exact"/>
        <w:ind w:firstLine="645"/>
        <w:rPr>
          <w:rFonts w:hint="default" w:ascii="仿宋" w:hAnsi="仿宋" w:eastAsia="仿宋" w:cs="迷你简黑体"/>
          <w:bCs/>
          <w:sz w:val="30"/>
          <w:szCs w:val="30"/>
        </w:rPr>
      </w:pPr>
      <w:r>
        <w:rPr>
          <w:rFonts w:ascii="仿宋" w:hAnsi="仿宋" w:eastAsia="仿宋" w:cs="迷你简黑体"/>
          <w:bCs/>
          <w:sz w:val="30"/>
          <w:szCs w:val="30"/>
        </w:rPr>
        <w:t>2020年财政年初预算人员经费支出131.67，一般商品和服务支出6万元，专项经费支出118.14万元。2020年财政实际预算安排经费255.81万元。</w:t>
      </w:r>
    </w:p>
    <w:p>
      <w:pPr>
        <w:numPr>
          <w:ilvl w:val="0"/>
          <w:numId w:val="3"/>
        </w:numPr>
        <w:spacing w:line="500" w:lineRule="exact"/>
        <w:rPr>
          <w:rFonts w:hint="default" w:ascii="仿宋" w:hAnsi="仿宋" w:eastAsia="仿宋"/>
          <w:sz w:val="30"/>
          <w:szCs w:val="30"/>
        </w:rPr>
      </w:pPr>
      <w:r>
        <w:rPr>
          <w:rFonts w:ascii="仿宋" w:hAnsi="仿宋" w:eastAsia="仿宋"/>
          <w:sz w:val="30"/>
          <w:szCs w:val="30"/>
        </w:rPr>
        <w:t>基本支出管理情况</w:t>
      </w:r>
    </w:p>
    <w:p>
      <w:pPr>
        <w:spacing w:line="500" w:lineRule="exact"/>
        <w:ind w:firstLine="600" w:firstLineChars="200"/>
        <w:rPr>
          <w:rFonts w:hint="default" w:ascii="仿宋" w:hAnsi="仿宋" w:eastAsia="仿宋"/>
          <w:sz w:val="30"/>
          <w:szCs w:val="30"/>
        </w:rPr>
      </w:pPr>
      <w:r>
        <w:rPr>
          <w:rFonts w:ascii="仿宋" w:hAnsi="仿宋" w:eastAsia="仿宋"/>
          <w:sz w:val="30"/>
          <w:szCs w:val="30"/>
        </w:rPr>
        <w:t>基本支出总额255.81万元，其中：工资福利支出131.67 万元；对个人和家庭的补助支出3.14万元；一般商品和服务支出6万元；办公设备购置费3.6万元；主要用途包括：保障我联机构正常运转，完成日常工作任务发生的各项支出包括：在职人员基本工资、津补贴、公积金、社保等人员经费和办公费、印刷费、办公设备购置等日常公用经费。</w:t>
      </w:r>
    </w:p>
    <w:p>
      <w:pPr>
        <w:spacing w:line="500" w:lineRule="exact"/>
        <w:ind w:firstLine="600" w:firstLineChars="200"/>
        <w:rPr>
          <w:rFonts w:hint="default" w:ascii="仿宋" w:hAnsi="仿宋" w:eastAsia="仿宋"/>
          <w:sz w:val="30"/>
          <w:szCs w:val="30"/>
        </w:rPr>
      </w:pPr>
      <w:r>
        <w:rPr>
          <w:rFonts w:ascii="仿宋" w:hAnsi="仿宋" w:eastAsia="仿宋"/>
          <w:sz w:val="30"/>
          <w:szCs w:val="30"/>
        </w:rPr>
        <w:t>（二）“三公”经费支出使用和管理情况</w:t>
      </w:r>
    </w:p>
    <w:p>
      <w:pPr>
        <w:spacing w:line="500" w:lineRule="exact"/>
        <w:ind w:firstLine="600" w:firstLineChars="200"/>
        <w:rPr>
          <w:rFonts w:hint="default" w:ascii="仿宋" w:hAnsi="仿宋" w:eastAsia="仿宋"/>
          <w:sz w:val="30"/>
          <w:szCs w:val="30"/>
        </w:rPr>
      </w:pPr>
      <w:r>
        <w:rPr>
          <w:rFonts w:ascii="仿宋" w:hAnsi="仿宋" w:eastAsia="仿宋"/>
          <w:sz w:val="30"/>
          <w:szCs w:val="30"/>
        </w:rPr>
        <w:t>2020年“三公”经费预算6万元， “三公”经费各费用均控制在预算范围内，且较预算金额有不同程度的结余。因公出国（境）费用及公务用车运行维护费均为0元。公务接待费实际发生 6万元，本年较上年减少12%。</w:t>
      </w:r>
    </w:p>
    <w:p>
      <w:pPr>
        <w:spacing w:line="500" w:lineRule="exact"/>
        <w:ind w:firstLine="600" w:firstLineChars="200"/>
        <w:rPr>
          <w:rFonts w:hint="default" w:ascii="仿宋" w:hAnsi="仿宋" w:eastAsia="仿宋"/>
          <w:sz w:val="30"/>
          <w:szCs w:val="30"/>
        </w:rPr>
      </w:pPr>
      <w:r>
        <w:rPr>
          <w:rFonts w:ascii="仿宋" w:hAnsi="仿宋" w:eastAsia="仿宋"/>
          <w:sz w:val="30"/>
          <w:szCs w:val="30"/>
        </w:rPr>
        <w:t>（三）专项支出</w:t>
      </w:r>
    </w:p>
    <w:p>
      <w:pPr>
        <w:spacing w:line="500" w:lineRule="exact"/>
        <w:ind w:firstLine="600" w:firstLineChars="200"/>
        <w:rPr>
          <w:rFonts w:hint="default" w:ascii="仿宋" w:hAnsi="仿宋" w:eastAsia="仿宋"/>
          <w:sz w:val="30"/>
          <w:szCs w:val="30"/>
        </w:rPr>
      </w:pPr>
      <w:r>
        <w:rPr>
          <w:rFonts w:ascii="仿宋" w:hAnsi="仿宋" w:eastAsia="仿宋"/>
          <w:sz w:val="30"/>
          <w:szCs w:val="30"/>
        </w:rPr>
        <w:t>2020年我联专项项目资金为</w:t>
      </w:r>
      <w:r>
        <w:rPr>
          <w:rFonts w:ascii="仿宋" w:hAnsi="仿宋" w:eastAsia="仿宋" w:cs="迷你简黑体"/>
          <w:bCs/>
          <w:sz w:val="30"/>
          <w:szCs w:val="30"/>
        </w:rPr>
        <w:t>118.14</w:t>
      </w:r>
      <w:r>
        <w:rPr>
          <w:rFonts w:ascii="仿宋" w:hAnsi="仿宋" w:eastAsia="仿宋"/>
          <w:sz w:val="30"/>
          <w:szCs w:val="30"/>
        </w:rPr>
        <w:t>万元，系保障我联分会遗留问题处理、商协会建立管理沟通、非公有制代表培训、民企工委等项目支出。</w:t>
      </w:r>
    </w:p>
    <w:p>
      <w:pPr>
        <w:spacing w:line="500" w:lineRule="exact"/>
        <w:ind w:firstLine="602" w:firstLineChars="200"/>
        <w:rPr>
          <w:rFonts w:hint="default" w:ascii="仿宋" w:hAnsi="仿宋" w:eastAsia="仿宋"/>
          <w:b/>
          <w:sz w:val="30"/>
          <w:szCs w:val="30"/>
        </w:rPr>
      </w:pPr>
      <w:r>
        <w:rPr>
          <w:rFonts w:ascii="仿宋" w:hAnsi="仿宋" w:eastAsia="仿宋"/>
          <w:b/>
          <w:sz w:val="30"/>
          <w:szCs w:val="30"/>
        </w:rPr>
        <w:t>三、部门整体支出绩效情况</w:t>
      </w:r>
    </w:p>
    <w:p>
      <w:pPr>
        <w:spacing w:line="500" w:lineRule="exact"/>
        <w:ind w:firstLine="600" w:firstLineChars="200"/>
        <w:rPr>
          <w:rFonts w:hint="default" w:ascii="仿宋" w:hAnsi="仿宋" w:eastAsia="仿宋" w:cs="宋体"/>
          <w:color w:val="010101"/>
          <w:sz w:val="30"/>
          <w:szCs w:val="30"/>
        </w:rPr>
      </w:pPr>
      <w:r>
        <w:rPr>
          <w:rFonts w:ascii="仿宋" w:hAnsi="仿宋" w:eastAsia="仿宋"/>
          <w:color w:val="000000"/>
          <w:sz w:val="30"/>
          <w:szCs w:val="30"/>
        </w:rPr>
        <w:t>2020年，</w:t>
      </w:r>
      <w:r>
        <w:rPr>
          <w:rFonts w:ascii="仿宋" w:hAnsi="仿宋" w:eastAsia="仿宋"/>
          <w:color w:val="333333"/>
          <w:sz w:val="30"/>
          <w:szCs w:val="30"/>
        </w:rPr>
        <w:t>我联整体支出情况较好，预算编制比较合理，财务制度健全且执行情况良好。</w:t>
      </w:r>
      <w:r>
        <w:rPr>
          <w:rFonts w:ascii="仿宋" w:hAnsi="仿宋" w:eastAsia="仿宋" w:cs="宋体"/>
          <w:color w:val="010101"/>
          <w:sz w:val="30"/>
          <w:szCs w:val="30"/>
        </w:rPr>
        <w:t>（一）</w:t>
      </w:r>
      <w:r>
        <w:rPr>
          <w:rFonts w:ascii="仿宋" w:hAnsi="仿宋" w:eastAsia="仿宋" w:cs="宋体"/>
          <w:color w:val="000000"/>
          <w:sz w:val="30"/>
          <w:szCs w:val="30"/>
        </w:rPr>
        <w:t>在确保人员工资、日常公用经费的正常开支基础上，保证重点支出，压缩一般消费性支出。</w:t>
      </w:r>
      <w:r>
        <w:rPr>
          <w:rFonts w:ascii="仿宋" w:hAnsi="仿宋" w:eastAsia="仿宋" w:cs="宋体"/>
          <w:color w:val="010101"/>
          <w:sz w:val="30"/>
          <w:szCs w:val="30"/>
        </w:rPr>
        <w:t>（二）预算执行方面，支出总额控制在预算总额以内；本年不存在截留或滞留专项资金情况。（三）严格执行了国库集中支付、政府采购等有关规定，按政府采购目录内的货物与服务全部按要求实施了政府采购，确保了支出管理流程、审批手续的完整。</w:t>
      </w:r>
    </w:p>
    <w:p>
      <w:pPr>
        <w:spacing w:line="500" w:lineRule="exact"/>
        <w:ind w:firstLine="300" w:firstLineChars="100"/>
        <w:rPr>
          <w:rFonts w:hint="default" w:ascii="仿宋" w:hAnsi="仿宋" w:eastAsia="仿宋" w:cs="宋体"/>
          <w:b/>
          <w:color w:val="010101"/>
          <w:sz w:val="30"/>
          <w:szCs w:val="30"/>
        </w:rPr>
      </w:pPr>
      <w:r>
        <w:rPr>
          <w:rFonts w:ascii="仿宋" w:hAnsi="仿宋" w:eastAsia="仿宋" w:cs="宋体"/>
          <w:color w:val="010101"/>
          <w:sz w:val="30"/>
          <w:szCs w:val="30"/>
        </w:rPr>
        <w:t xml:space="preserve"> </w:t>
      </w:r>
      <w:r>
        <w:rPr>
          <w:rFonts w:ascii="仿宋" w:hAnsi="仿宋" w:eastAsia="仿宋" w:cs="宋体"/>
          <w:b/>
          <w:color w:val="010101"/>
          <w:sz w:val="30"/>
          <w:szCs w:val="30"/>
        </w:rPr>
        <w:t xml:space="preserve"> 四、存在的主要问题</w:t>
      </w:r>
    </w:p>
    <w:p>
      <w:pPr>
        <w:spacing w:line="500" w:lineRule="exact"/>
        <w:ind w:firstLine="600" w:firstLineChars="200"/>
        <w:rPr>
          <w:rFonts w:hint="default" w:ascii="仿宋" w:hAnsi="仿宋" w:eastAsia="仿宋" w:cs="宋体"/>
          <w:color w:val="010101"/>
          <w:sz w:val="30"/>
          <w:szCs w:val="30"/>
        </w:rPr>
      </w:pPr>
      <w:r>
        <w:rPr>
          <w:rFonts w:ascii="仿宋" w:hAnsi="仿宋" w:eastAsia="仿宋" w:cs="宋体"/>
          <w:color w:val="010101"/>
          <w:sz w:val="30"/>
          <w:szCs w:val="30"/>
        </w:rPr>
        <w:t>年初预算的编制较为精细，且金额较少，而年内活动不确定因素又多，致使资金有交叉使用并严重不足现象。</w:t>
      </w:r>
    </w:p>
    <w:p>
      <w:pPr>
        <w:spacing w:line="500" w:lineRule="exact"/>
        <w:ind w:firstLine="602" w:firstLineChars="200"/>
        <w:rPr>
          <w:rFonts w:hint="default" w:ascii="仿宋" w:hAnsi="仿宋" w:eastAsia="仿宋" w:cs="宋体"/>
          <w:b/>
          <w:color w:val="010101"/>
          <w:sz w:val="30"/>
          <w:szCs w:val="30"/>
        </w:rPr>
      </w:pPr>
      <w:r>
        <w:rPr>
          <w:rFonts w:ascii="仿宋" w:hAnsi="仿宋" w:eastAsia="仿宋" w:cs="宋体"/>
          <w:b/>
          <w:color w:val="010101"/>
          <w:sz w:val="30"/>
          <w:szCs w:val="30"/>
        </w:rPr>
        <w:t>五、改进措施和建议</w:t>
      </w:r>
    </w:p>
    <w:p>
      <w:pPr>
        <w:spacing w:line="500" w:lineRule="exact"/>
        <w:ind w:firstLine="600" w:firstLineChars="200"/>
        <w:rPr>
          <w:rFonts w:hint="default" w:ascii="仿宋" w:hAnsi="仿宋" w:eastAsia="仿宋" w:cs="宋体"/>
          <w:color w:val="010101"/>
          <w:sz w:val="30"/>
          <w:szCs w:val="30"/>
        </w:rPr>
      </w:pPr>
      <w:r>
        <w:rPr>
          <w:rFonts w:ascii="仿宋" w:hAnsi="仿宋" w:eastAsia="仿宋" w:cs="宋体"/>
          <w:color w:val="010101"/>
          <w:sz w:val="30"/>
          <w:szCs w:val="30"/>
        </w:rPr>
        <w:t>加强内部机构的预算管理意识，严格按照预算编制的相关制度和要求，进一步提高预算编制的科学性、合理性、严谨性和可控性，在日常预算管理过程中，进一步加强预算支出的审核、跟踪及预算执行情况分析，在资金管理上制定一系列完善的财务管理制度。</w:t>
      </w:r>
    </w:p>
    <w:p>
      <w:pPr>
        <w:rPr>
          <w:rFonts w:hint="default"/>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方正黑体_GBK">
    <w:altName w:val="微软雅黑"/>
    <w:panose1 w:val="00000000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迷你简黑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752F6E"/>
    <w:multiLevelType w:val="singleLevel"/>
    <w:tmpl w:val="A6752F6E"/>
    <w:lvl w:ilvl="0" w:tentative="0">
      <w:start w:val="2"/>
      <w:numFmt w:val="chineseCounting"/>
      <w:suff w:val="space"/>
      <w:lvlText w:val="第%1部分"/>
      <w:lvlJc w:val="left"/>
      <w:rPr>
        <w:rFonts w:hint="eastAsia"/>
      </w:rPr>
    </w:lvl>
  </w:abstractNum>
  <w:abstractNum w:abstractNumId="1">
    <w:nsid w:val="494F0EAE"/>
    <w:multiLevelType w:val="multilevel"/>
    <w:tmpl w:val="494F0EAE"/>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5857928D"/>
    <w:multiLevelType w:val="singleLevel"/>
    <w:tmpl w:val="5857928D"/>
    <w:lvl w:ilvl="0" w:tentative="0">
      <w:start w:val="1"/>
      <w:numFmt w:val="chineseCounting"/>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00B1"/>
    <w:rsid w:val="0007774D"/>
    <w:rsid w:val="001300B1"/>
    <w:rsid w:val="001A09C6"/>
    <w:rsid w:val="004B4B43"/>
    <w:rsid w:val="006E78EC"/>
    <w:rsid w:val="008E2AD5"/>
    <w:rsid w:val="4F0A40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99"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kern w:val="0"/>
      <w:sz w:val="24"/>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 w:type="character" w:customStyle="1" w:styleId="8">
    <w:name w:val="18"/>
    <w:uiPriority w:val="0"/>
    <w:rPr>
      <w:rFonts w:hint="default" w:ascii="Times New Roman" w:hAnsi="Times New Roman" w:cs="Times New Roman"/>
      <w:b/>
    </w:rPr>
  </w:style>
  <w:style w:type="paragraph" w:customStyle="1" w:styleId="9">
    <w:name w:val="普通(网站) Char"/>
    <w:basedOn w:val="1"/>
    <w:uiPriority w:val="0"/>
    <w:pPr>
      <w:spacing w:before="100" w:beforeAutospacing="1" w:after="100" w:afterAutospacing="1"/>
    </w:pPr>
  </w:style>
  <w:style w:type="paragraph" w:customStyle="1" w:styleId="10">
    <w:name w:val="Default"/>
    <w:qFormat/>
    <w:uiPriority w:val="0"/>
    <w:pPr>
      <w:widowControl w:val="0"/>
      <w:autoSpaceDE w:val="0"/>
      <w:autoSpaceDN w:val="0"/>
      <w:adjustRightInd w:val="0"/>
    </w:pPr>
    <w:rPr>
      <w:rFonts w:ascii="黑体" w:hAnsi="Times New Roman" w:eastAsia="黑体" w:cs="黑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24</Pages>
  <Words>1354</Words>
  <Characters>7718</Characters>
  <Lines>64</Lines>
  <Paragraphs>18</Paragraphs>
  <TotalTime>13</TotalTime>
  <ScaleCrop>false</ScaleCrop>
  <LinksUpToDate>false</LinksUpToDate>
  <CharactersWithSpaces>9054</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2022-03-24T03:57:00Z</dcterms:created>
  <dc:creator>微软用户</dc:creator>
  <cp:lastModifiedBy>茜茜</cp:lastModifiedBy>
  <dcterms:modified xsi:type="dcterms:W3CDTF">2023-10-19T02:43:27Z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