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jc w:val="center"/>
        <w:rPr>
          <w:sz w:val="56"/>
          <w:szCs w:val="56"/>
        </w:rPr>
      </w:pPr>
    </w:p>
    <w:p>
      <w:pPr>
        <w:pStyle w:val="5"/>
        <w:jc w:val="center"/>
        <w:rPr>
          <w:sz w:val="56"/>
          <w:szCs w:val="56"/>
        </w:rPr>
      </w:pPr>
    </w:p>
    <w:p>
      <w:pPr>
        <w:pStyle w:val="5"/>
        <w:jc w:val="center"/>
        <w:rPr>
          <w:sz w:val="84"/>
          <w:szCs w:val="84"/>
        </w:rPr>
      </w:pPr>
    </w:p>
    <w:p>
      <w:pPr>
        <w:pStyle w:val="5"/>
        <w:jc w:val="center"/>
        <w:rPr>
          <w:sz w:val="84"/>
          <w:szCs w:val="84"/>
        </w:rPr>
      </w:pPr>
    </w:p>
    <w:p>
      <w:pPr>
        <w:pStyle w:val="5"/>
        <w:jc w:val="center"/>
        <w:rPr>
          <w:sz w:val="72"/>
          <w:szCs w:val="72"/>
        </w:rPr>
      </w:pPr>
      <w:r>
        <w:rPr>
          <w:sz w:val="72"/>
          <w:szCs w:val="72"/>
        </w:rPr>
        <w:t>201</w:t>
      </w:r>
      <w:bookmarkStart w:id="0" w:name="_GoBack"/>
      <w:bookmarkEnd w:id="0"/>
      <w:r>
        <w:rPr>
          <w:sz w:val="72"/>
          <w:szCs w:val="72"/>
        </w:rPr>
        <w:t>9年度</w:t>
      </w:r>
    </w:p>
    <w:p>
      <w:pPr>
        <w:pStyle w:val="5"/>
        <w:jc w:val="center"/>
        <w:rPr>
          <w:sz w:val="72"/>
          <w:szCs w:val="72"/>
        </w:rPr>
      </w:pPr>
      <w:r>
        <w:rPr>
          <w:sz w:val="72"/>
          <w:szCs w:val="72"/>
        </w:rPr>
        <w:t>衡南县信访局部门决算</w:t>
      </w:r>
    </w:p>
    <w:p>
      <w:pPr>
        <w:pStyle w:val="5"/>
        <w:jc w:val="center"/>
        <w:rPr>
          <w:sz w:val="56"/>
          <w:szCs w:val="56"/>
        </w:rPr>
      </w:pPr>
    </w:p>
    <w:p>
      <w:pPr>
        <w:pStyle w:val="5"/>
        <w:jc w:val="center"/>
        <w:rPr>
          <w:sz w:val="72"/>
          <w:szCs w:val="72"/>
        </w:rPr>
      </w:pPr>
    </w:p>
    <w:p>
      <w:pPr>
        <w:pStyle w:val="5"/>
        <w:jc w:val="center"/>
        <w:rPr>
          <w:sz w:val="56"/>
          <w:szCs w:val="56"/>
        </w:rPr>
      </w:pPr>
    </w:p>
    <w:p>
      <w:pPr>
        <w:pStyle w:val="5"/>
        <w:jc w:val="center"/>
        <w:rPr>
          <w:sz w:val="56"/>
          <w:szCs w:val="56"/>
        </w:rPr>
      </w:pPr>
    </w:p>
    <w:p>
      <w:pPr>
        <w:pStyle w:val="5"/>
        <w:jc w:val="center"/>
        <w:rPr>
          <w:sz w:val="56"/>
          <w:szCs w:val="56"/>
        </w:rPr>
      </w:pPr>
    </w:p>
    <w:p>
      <w:pPr>
        <w:pStyle w:val="5"/>
        <w:jc w:val="center"/>
        <w:rPr>
          <w:sz w:val="56"/>
          <w:szCs w:val="56"/>
        </w:rPr>
      </w:pPr>
    </w:p>
    <w:p>
      <w:pPr>
        <w:pStyle w:val="5"/>
        <w:jc w:val="center"/>
        <w:rPr>
          <w:sz w:val="56"/>
          <w:szCs w:val="56"/>
        </w:rPr>
      </w:pPr>
    </w:p>
    <w:p>
      <w:pPr>
        <w:pStyle w:val="5"/>
        <w:spacing w:line="540" w:lineRule="exact"/>
        <w:jc w:val="center"/>
        <w:rPr>
          <w:sz w:val="56"/>
          <w:szCs w:val="56"/>
        </w:rPr>
      </w:pPr>
    </w:p>
    <w:p>
      <w:pPr>
        <w:pStyle w:val="5"/>
        <w:spacing w:line="520" w:lineRule="exact"/>
        <w:jc w:val="center"/>
        <w:rPr>
          <w:sz w:val="56"/>
          <w:szCs w:val="56"/>
        </w:rPr>
      </w:pPr>
    </w:p>
    <w:p>
      <w:pPr>
        <w:pStyle w:val="5"/>
        <w:spacing w:line="520" w:lineRule="exact"/>
        <w:jc w:val="center"/>
        <w:rPr>
          <w:sz w:val="56"/>
          <w:szCs w:val="56"/>
        </w:rPr>
      </w:pPr>
      <w:r>
        <w:rPr>
          <w:sz w:val="56"/>
          <w:szCs w:val="56"/>
        </w:rPr>
        <w:t>目录</w:t>
      </w:r>
    </w:p>
    <w:p>
      <w:pPr>
        <w:pStyle w:val="5"/>
        <w:spacing w:line="520" w:lineRule="exact"/>
        <w:rPr>
          <w:rFonts w:hint="eastAsia" w:ascii="仿宋_GB2312" w:hAnsi="仿宋_GB2312" w:cs="仿宋_GB2312"/>
          <w:b/>
          <w:sz w:val="28"/>
          <w:szCs w:val="28"/>
        </w:rPr>
      </w:pPr>
      <w:r>
        <w:rPr>
          <w:b/>
          <w:sz w:val="28"/>
          <w:szCs w:val="28"/>
        </w:rPr>
        <w:t>第一部分衡南县信访局概况</w:t>
      </w:r>
    </w:p>
    <w:p>
      <w:pPr>
        <w:pStyle w:val="5"/>
        <w:spacing w:line="520" w:lineRule="exact"/>
        <w:ind w:firstLine="70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5"/>
        <w:spacing w:line="520" w:lineRule="exact"/>
        <w:ind w:firstLine="70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5"/>
        <w:spacing w:line="520" w:lineRule="exact"/>
        <w:rPr>
          <w:rFonts w:hint="eastAsia" w:ascii="仿宋_GB2312" w:hAnsi="仿宋_GB2312" w:cs="仿宋_GB2312"/>
          <w:b/>
          <w:sz w:val="28"/>
          <w:szCs w:val="28"/>
        </w:rPr>
      </w:pPr>
      <w:r>
        <w:rPr>
          <w:b/>
          <w:sz w:val="28"/>
          <w:szCs w:val="28"/>
        </w:rPr>
        <w:t>第二部分2019年度部门决算表</w:t>
      </w:r>
    </w:p>
    <w:p>
      <w:pPr>
        <w:pStyle w:val="5"/>
        <w:spacing w:line="520" w:lineRule="exact"/>
        <w:ind w:firstLine="70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5"/>
        <w:spacing w:line="520" w:lineRule="exact"/>
        <w:ind w:firstLine="70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5"/>
        <w:spacing w:line="520" w:lineRule="exact"/>
        <w:ind w:firstLine="70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5"/>
        <w:spacing w:line="520" w:lineRule="exact"/>
        <w:ind w:firstLine="70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w:t>
      </w:r>
      <w:r>
        <w:rPr>
          <w:rFonts w:hint="eastAsia" w:cs="仿宋_GB2312" w:asciiTheme="minorEastAsia" w:hAnsiTheme="minorEastAsia" w:eastAsiaTheme="minorEastAsia"/>
          <w:sz w:val="28"/>
          <w:szCs w:val="28"/>
          <w:lang w:eastAsia="zh-CN"/>
        </w:rPr>
        <w:t>财政拨款</w:t>
      </w:r>
      <w:r>
        <w:rPr>
          <w:rFonts w:cs="仿宋_GB2312" w:asciiTheme="minorEastAsia" w:hAnsiTheme="minorEastAsia" w:eastAsiaTheme="minorEastAsia"/>
          <w:sz w:val="28"/>
          <w:szCs w:val="28"/>
        </w:rPr>
        <w:t>收入支出决算总表</w:t>
      </w:r>
    </w:p>
    <w:p>
      <w:pPr>
        <w:pStyle w:val="5"/>
        <w:spacing w:line="520" w:lineRule="exact"/>
        <w:ind w:firstLine="70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w:t>
      </w:r>
      <w:r>
        <w:rPr>
          <w:rFonts w:hint="eastAsia" w:cs="仿宋_GB2312" w:asciiTheme="minorEastAsia" w:hAnsiTheme="minorEastAsia" w:eastAsiaTheme="minorEastAsia"/>
          <w:sz w:val="28"/>
          <w:szCs w:val="28"/>
          <w:lang w:eastAsia="zh-CN"/>
        </w:rPr>
        <w:t>财政拨款</w:t>
      </w:r>
      <w:r>
        <w:rPr>
          <w:rFonts w:cs="仿宋_GB2312" w:asciiTheme="minorEastAsia" w:hAnsiTheme="minorEastAsia" w:eastAsiaTheme="minorEastAsia"/>
          <w:sz w:val="28"/>
          <w:szCs w:val="28"/>
        </w:rPr>
        <w:t>支出决算表</w:t>
      </w:r>
    </w:p>
    <w:p>
      <w:pPr>
        <w:pStyle w:val="5"/>
        <w:spacing w:line="520" w:lineRule="exact"/>
        <w:ind w:firstLine="70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w:t>
      </w:r>
      <w:r>
        <w:rPr>
          <w:rFonts w:hint="eastAsia" w:cs="仿宋_GB2312" w:asciiTheme="minorEastAsia" w:hAnsiTheme="minorEastAsia" w:eastAsiaTheme="minorEastAsia"/>
          <w:sz w:val="28"/>
          <w:szCs w:val="28"/>
          <w:lang w:eastAsia="zh-CN"/>
        </w:rPr>
        <w:t>财政拨款</w:t>
      </w:r>
      <w:r>
        <w:rPr>
          <w:rFonts w:cs="仿宋_GB2312" w:asciiTheme="minorEastAsia" w:hAnsiTheme="minorEastAsia" w:eastAsiaTheme="minorEastAsia"/>
          <w:sz w:val="28"/>
          <w:szCs w:val="28"/>
        </w:rPr>
        <w:t>基本支出决算表</w:t>
      </w:r>
    </w:p>
    <w:p>
      <w:pPr>
        <w:pStyle w:val="5"/>
        <w:spacing w:line="520" w:lineRule="exact"/>
        <w:ind w:firstLine="70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w:t>
      </w:r>
      <w:r>
        <w:rPr>
          <w:rFonts w:hint="eastAsia" w:cs="仿宋_GB2312" w:asciiTheme="minorEastAsia" w:hAnsiTheme="minorEastAsia" w:eastAsiaTheme="minorEastAsia"/>
          <w:sz w:val="28"/>
          <w:szCs w:val="28"/>
          <w:lang w:eastAsia="zh-CN"/>
        </w:rPr>
        <w:t>财政拨款</w:t>
      </w:r>
      <w:r>
        <w:rPr>
          <w:rFonts w:cs="仿宋_GB2312" w:asciiTheme="minorEastAsia" w:hAnsiTheme="minorEastAsia" w:eastAsiaTheme="minorEastAsia"/>
          <w:sz w:val="28"/>
          <w:szCs w:val="28"/>
        </w:rPr>
        <w:t>“三公”经费支出决算表</w:t>
      </w:r>
    </w:p>
    <w:p>
      <w:pPr>
        <w:pStyle w:val="5"/>
        <w:spacing w:line="520" w:lineRule="exact"/>
        <w:ind w:firstLine="70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w:t>
      </w:r>
      <w:r>
        <w:rPr>
          <w:rFonts w:hint="eastAsia" w:cs="仿宋_GB2312" w:asciiTheme="minorEastAsia" w:hAnsiTheme="minorEastAsia" w:eastAsiaTheme="minorEastAsia"/>
          <w:sz w:val="28"/>
          <w:szCs w:val="28"/>
          <w:lang w:eastAsia="zh-CN"/>
        </w:rPr>
        <w:t>财政拨款</w:t>
      </w:r>
      <w:r>
        <w:rPr>
          <w:rFonts w:cs="仿宋_GB2312" w:asciiTheme="minorEastAsia" w:hAnsiTheme="minorEastAsia" w:eastAsiaTheme="minorEastAsia"/>
          <w:sz w:val="28"/>
          <w:szCs w:val="28"/>
        </w:rPr>
        <w:t>收入支出决算表</w:t>
      </w:r>
    </w:p>
    <w:p>
      <w:pPr>
        <w:pStyle w:val="5"/>
        <w:spacing w:line="520" w:lineRule="exact"/>
        <w:rPr>
          <w:rFonts w:hint="eastAsia" w:ascii="仿宋_GB2312" w:hAnsi="仿宋_GB2312" w:cs="仿宋_GB2312"/>
          <w:b/>
          <w:sz w:val="28"/>
          <w:szCs w:val="28"/>
        </w:rPr>
      </w:pPr>
      <w:r>
        <w:rPr>
          <w:b/>
          <w:sz w:val="28"/>
          <w:szCs w:val="28"/>
        </w:rPr>
        <w:t>第三部分2019年度部门决算情况说明</w:t>
      </w:r>
    </w:p>
    <w:p>
      <w:pPr>
        <w:pStyle w:val="5"/>
        <w:spacing w:line="520" w:lineRule="exact"/>
        <w:ind w:firstLine="70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20" w:lineRule="exact"/>
        <w:ind w:firstLine="700"/>
        <w:jc w:val="left"/>
        <w:rPr>
          <w:rFonts w:hint="eastAsia" w:ascii="仿宋_GB2312" w:hAnsi="仿宋_GB2312" w:cs="仿宋_GB2312"/>
          <w:sz w:val="28"/>
          <w:szCs w:val="28"/>
        </w:rPr>
      </w:pPr>
      <w:r>
        <w:rPr>
          <w:rFonts w:ascii="仿宋_GB2312" w:hAnsi="仿宋_GB2312" w:cs="仿宋_GB2312"/>
          <w:sz w:val="28"/>
          <w:szCs w:val="28"/>
        </w:rPr>
        <w:t>二、收入决算情况说明</w:t>
      </w:r>
    </w:p>
    <w:p>
      <w:pPr>
        <w:autoSpaceDE w:val="0"/>
        <w:autoSpaceDN w:val="0"/>
        <w:spacing w:line="520" w:lineRule="exact"/>
        <w:ind w:firstLine="700"/>
        <w:jc w:val="left"/>
        <w:rPr>
          <w:rFonts w:hint="eastAsia"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spacing w:line="520" w:lineRule="exact"/>
        <w:ind w:firstLine="700"/>
        <w:jc w:val="left"/>
        <w:rPr>
          <w:rFonts w:hint="eastAsia" w:ascii="仿宋_GB2312" w:hAnsi="仿宋_GB2312" w:cs="仿宋_GB2312"/>
          <w:color w:val="000000"/>
          <w:kern w:val="0"/>
          <w:sz w:val="28"/>
          <w:szCs w:val="28"/>
        </w:rPr>
      </w:pPr>
      <w:r>
        <w:rPr>
          <w:rFonts w:ascii="仿宋_GB2312" w:hAnsi="仿宋_GB2312" w:cs="仿宋_GB2312"/>
          <w:color w:val="000000"/>
          <w:kern w:val="0"/>
          <w:sz w:val="28"/>
          <w:szCs w:val="28"/>
        </w:rPr>
        <w:t>四、</w:t>
      </w:r>
      <w:r>
        <w:rPr>
          <w:rFonts w:hint="eastAsia" w:ascii="仿宋_GB2312" w:hAnsi="仿宋_GB2312" w:cs="仿宋_GB2312"/>
          <w:color w:val="000000"/>
          <w:kern w:val="0"/>
          <w:sz w:val="28"/>
          <w:szCs w:val="28"/>
          <w:lang w:eastAsia="zh-CN"/>
        </w:rPr>
        <w:t>财政拨款</w:t>
      </w:r>
      <w:r>
        <w:rPr>
          <w:rFonts w:ascii="仿宋_GB2312" w:hAnsi="仿宋_GB2312" w:cs="仿宋_GB2312"/>
          <w:color w:val="000000"/>
          <w:kern w:val="0"/>
          <w:sz w:val="28"/>
          <w:szCs w:val="28"/>
        </w:rPr>
        <w:t>收入支出决算总体情况说明</w:t>
      </w:r>
    </w:p>
    <w:p>
      <w:pPr>
        <w:autoSpaceDE w:val="0"/>
        <w:autoSpaceDN w:val="0"/>
        <w:spacing w:line="520" w:lineRule="exact"/>
        <w:ind w:firstLine="700"/>
        <w:jc w:val="left"/>
        <w:rPr>
          <w:rFonts w:hint="eastAsia" w:ascii="仿宋_GB2312" w:hAnsi="仿宋_GB2312" w:cs="仿宋_GB2312"/>
          <w:color w:val="000000"/>
          <w:kern w:val="0"/>
          <w:sz w:val="28"/>
          <w:szCs w:val="28"/>
        </w:rPr>
      </w:pPr>
      <w:r>
        <w:rPr>
          <w:rFonts w:ascii="仿宋_GB2312" w:hAnsi="仿宋_GB2312" w:cs="仿宋_GB2312"/>
          <w:color w:val="000000"/>
          <w:kern w:val="0"/>
          <w:sz w:val="28"/>
          <w:szCs w:val="28"/>
        </w:rPr>
        <w:t>五、一般公共预算</w:t>
      </w:r>
      <w:r>
        <w:rPr>
          <w:rFonts w:hint="eastAsia" w:ascii="仿宋_GB2312" w:hAnsi="仿宋_GB2312" w:cs="仿宋_GB2312"/>
          <w:color w:val="000000"/>
          <w:kern w:val="0"/>
          <w:sz w:val="28"/>
          <w:szCs w:val="28"/>
          <w:lang w:eastAsia="zh-CN"/>
        </w:rPr>
        <w:t>财政拨款</w:t>
      </w:r>
      <w:r>
        <w:rPr>
          <w:rFonts w:ascii="仿宋_GB2312" w:hAnsi="仿宋_GB2312" w:cs="仿宋_GB2312"/>
          <w:color w:val="000000"/>
          <w:kern w:val="0"/>
          <w:sz w:val="28"/>
          <w:szCs w:val="28"/>
        </w:rPr>
        <w:t>支出决算情况说明</w:t>
      </w:r>
    </w:p>
    <w:p>
      <w:pPr>
        <w:autoSpaceDE w:val="0"/>
        <w:autoSpaceDN w:val="0"/>
        <w:spacing w:line="520" w:lineRule="exact"/>
        <w:ind w:firstLine="700"/>
        <w:jc w:val="left"/>
        <w:rPr>
          <w:rFonts w:hint="eastAsia" w:ascii="仿宋_GB2312" w:hAnsi="仿宋_GB2312" w:cs="仿宋_GB2312"/>
          <w:color w:val="000000"/>
          <w:kern w:val="0"/>
          <w:sz w:val="28"/>
          <w:szCs w:val="28"/>
        </w:rPr>
      </w:pPr>
      <w:r>
        <w:rPr>
          <w:rFonts w:ascii="仿宋_GB2312" w:hAnsi="仿宋_GB2312" w:cs="仿宋_GB2312"/>
          <w:color w:val="000000"/>
          <w:kern w:val="0"/>
          <w:sz w:val="28"/>
          <w:szCs w:val="28"/>
        </w:rPr>
        <w:t>六、一般公共预算</w:t>
      </w:r>
      <w:r>
        <w:rPr>
          <w:rFonts w:hint="eastAsia" w:ascii="仿宋_GB2312" w:hAnsi="仿宋_GB2312" w:cs="仿宋_GB2312"/>
          <w:color w:val="000000"/>
          <w:kern w:val="0"/>
          <w:sz w:val="28"/>
          <w:szCs w:val="28"/>
          <w:lang w:eastAsia="zh-CN"/>
        </w:rPr>
        <w:t>财政拨款</w:t>
      </w:r>
      <w:r>
        <w:rPr>
          <w:rFonts w:ascii="仿宋_GB2312" w:hAnsi="仿宋_GB2312" w:cs="仿宋_GB2312"/>
          <w:color w:val="000000"/>
          <w:kern w:val="0"/>
          <w:sz w:val="28"/>
          <w:szCs w:val="28"/>
        </w:rPr>
        <w:t>基本支出决算情况说明</w:t>
      </w:r>
    </w:p>
    <w:p>
      <w:pPr>
        <w:autoSpaceDE w:val="0"/>
        <w:autoSpaceDN w:val="0"/>
        <w:spacing w:line="520" w:lineRule="exact"/>
        <w:ind w:firstLine="700"/>
        <w:jc w:val="left"/>
        <w:rPr>
          <w:rFonts w:hint="eastAsia" w:ascii="仿宋_GB2312" w:hAnsi="仿宋_GB2312" w:cs="仿宋_GB2312"/>
          <w:color w:val="000000"/>
          <w:kern w:val="0"/>
          <w:sz w:val="28"/>
          <w:szCs w:val="28"/>
        </w:rPr>
      </w:pPr>
      <w:r>
        <w:rPr>
          <w:rFonts w:ascii="仿宋_GB2312" w:hAnsi="仿宋_GB2312" w:cs="仿宋_GB2312"/>
          <w:color w:val="000000"/>
          <w:kern w:val="0"/>
          <w:sz w:val="28"/>
          <w:szCs w:val="28"/>
        </w:rPr>
        <w:t>七、一般公共预算</w:t>
      </w:r>
      <w:r>
        <w:rPr>
          <w:rFonts w:hint="eastAsia" w:ascii="仿宋_GB2312" w:hAnsi="仿宋_GB2312" w:cs="仿宋_GB2312"/>
          <w:color w:val="000000"/>
          <w:kern w:val="0"/>
          <w:sz w:val="28"/>
          <w:szCs w:val="28"/>
          <w:lang w:eastAsia="zh-CN"/>
        </w:rPr>
        <w:t>财政拨款</w:t>
      </w:r>
      <w:r>
        <w:rPr>
          <w:rFonts w:ascii="仿宋_GB2312" w:hAnsi="仿宋_GB2312" w:cs="仿宋_GB2312"/>
          <w:color w:val="000000"/>
          <w:kern w:val="0"/>
          <w:sz w:val="28"/>
          <w:szCs w:val="28"/>
        </w:rPr>
        <w:t>三公经费支出决算情况说明</w:t>
      </w:r>
    </w:p>
    <w:p>
      <w:pPr>
        <w:autoSpaceDE w:val="0"/>
        <w:autoSpaceDN w:val="0"/>
        <w:spacing w:line="520" w:lineRule="exact"/>
        <w:ind w:firstLine="700"/>
        <w:jc w:val="left"/>
        <w:rPr>
          <w:rFonts w:hint="eastAsia" w:ascii="仿宋_GB2312" w:hAnsi="仿宋_GB2312" w:cs="仿宋_GB2312"/>
          <w:color w:val="000000"/>
          <w:kern w:val="0"/>
          <w:sz w:val="28"/>
          <w:szCs w:val="28"/>
        </w:rPr>
      </w:pPr>
      <w:r>
        <w:rPr>
          <w:rFonts w:ascii="仿宋_GB2312" w:hAnsi="仿宋_GB2312" w:cs="仿宋_GB2312"/>
          <w:color w:val="000000"/>
          <w:kern w:val="0"/>
          <w:sz w:val="28"/>
          <w:szCs w:val="28"/>
        </w:rPr>
        <w:t>八、政府性基金预算收入支出决算情况</w:t>
      </w:r>
    </w:p>
    <w:p>
      <w:pPr>
        <w:autoSpaceDE w:val="0"/>
        <w:autoSpaceDN w:val="0"/>
        <w:spacing w:line="520" w:lineRule="exact"/>
        <w:ind w:firstLine="700"/>
        <w:jc w:val="left"/>
        <w:rPr>
          <w:rFonts w:hint="eastAsia" w:ascii="仿宋_GB2312" w:hAnsi="仿宋_GB2312" w:cs="仿宋_GB2312"/>
          <w:color w:val="000000"/>
          <w:kern w:val="0"/>
          <w:sz w:val="28"/>
          <w:szCs w:val="28"/>
        </w:rPr>
      </w:pPr>
      <w:r>
        <w:rPr>
          <w:rFonts w:ascii="仿宋_GB2312" w:hAnsi="仿宋_GB2312" w:cs="仿宋_GB2312"/>
          <w:color w:val="000000"/>
          <w:kern w:val="0"/>
          <w:sz w:val="28"/>
          <w:szCs w:val="28"/>
        </w:rPr>
        <w:t>九、预算绩效情况说明</w:t>
      </w:r>
    </w:p>
    <w:p>
      <w:pPr>
        <w:autoSpaceDE w:val="0"/>
        <w:autoSpaceDN w:val="0"/>
        <w:spacing w:line="520" w:lineRule="exact"/>
        <w:ind w:firstLine="700"/>
        <w:jc w:val="left"/>
        <w:rPr>
          <w:rFonts w:hint="eastAsia" w:ascii="仿宋_GB2312" w:hAnsi="仿宋_GB2312" w:cs="仿宋_GB2312"/>
          <w:color w:val="000000"/>
          <w:kern w:val="0"/>
          <w:sz w:val="28"/>
          <w:szCs w:val="28"/>
        </w:rPr>
      </w:pPr>
      <w:r>
        <w:rPr>
          <w:rFonts w:ascii="仿宋_GB2312" w:hAnsi="仿宋_GB2312" w:cs="仿宋_GB2312"/>
          <w:color w:val="000000"/>
          <w:kern w:val="0"/>
          <w:sz w:val="28"/>
          <w:szCs w:val="28"/>
        </w:rPr>
        <w:t>十、其他重要事项情况说明</w:t>
      </w:r>
    </w:p>
    <w:p>
      <w:pPr>
        <w:autoSpaceDE w:val="0"/>
        <w:autoSpaceDN w:val="0"/>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第四部分名词解释</w:t>
      </w:r>
    </w:p>
    <w:p>
      <w:pPr>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pStyle w:val="5"/>
        <w:rPr>
          <w:sz w:val="72"/>
          <w:szCs w:val="72"/>
        </w:rPr>
      </w:pPr>
    </w:p>
    <w:p>
      <w:pPr>
        <w:pStyle w:val="5"/>
        <w:jc w:val="center"/>
        <w:rPr>
          <w:sz w:val="72"/>
          <w:szCs w:val="72"/>
        </w:rPr>
      </w:pPr>
    </w:p>
    <w:p>
      <w:pPr>
        <w:pStyle w:val="5"/>
        <w:jc w:val="center"/>
        <w:rPr>
          <w:sz w:val="72"/>
          <w:szCs w:val="72"/>
        </w:rPr>
      </w:pPr>
      <w:r>
        <w:rPr>
          <w:sz w:val="72"/>
          <w:szCs w:val="72"/>
        </w:rPr>
        <w:t xml:space="preserve">第一部分 </w:t>
      </w:r>
    </w:p>
    <w:p>
      <w:pPr>
        <w:pStyle w:val="5"/>
        <w:jc w:val="center"/>
        <w:rPr>
          <w:sz w:val="72"/>
          <w:szCs w:val="72"/>
        </w:rPr>
      </w:pPr>
    </w:p>
    <w:p>
      <w:pPr>
        <w:pStyle w:val="5"/>
        <w:jc w:val="center"/>
        <w:rPr>
          <w:sz w:val="72"/>
          <w:szCs w:val="72"/>
        </w:rPr>
      </w:pPr>
      <w:r>
        <w:rPr>
          <w:sz w:val="72"/>
          <w:szCs w:val="72"/>
        </w:rPr>
        <w:t>衡南县信访局概况</w:t>
      </w:r>
    </w:p>
    <w:p>
      <w:pPr>
        <w:jc w:val="center"/>
        <w:rPr>
          <w:sz w:val="72"/>
          <w:szCs w:val="72"/>
        </w:rPr>
      </w:pPr>
    </w:p>
    <w:p>
      <w:pPr>
        <w:pStyle w:val="6"/>
        <w:ind w:firstLine="0"/>
        <w:jc w:val="left"/>
        <w:rPr>
          <w:rFonts w:ascii="黑体" w:hAnsi="黑体" w:eastAsia="黑体"/>
          <w:sz w:val="32"/>
          <w:szCs w:val="32"/>
        </w:rPr>
      </w:pPr>
    </w:p>
    <w:p>
      <w:pPr>
        <w:pStyle w:val="6"/>
        <w:jc w:val="left"/>
        <w:rPr>
          <w:rFonts w:hint="eastAsia" w:ascii="黑体" w:hAnsi="黑体" w:eastAsia="黑体"/>
          <w:sz w:val="32"/>
          <w:szCs w:val="32"/>
        </w:rPr>
      </w:pPr>
    </w:p>
    <w:p>
      <w:pPr>
        <w:pStyle w:val="6"/>
        <w:jc w:val="left"/>
        <w:rPr>
          <w:rFonts w:hint="eastAsia" w:ascii="黑体" w:hAnsi="黑体" w:eastAsia="黑体"/>
          <w:sz w:val="32"/>
          <w:szCs w:val="32"/>
        </w:rPr>
      </w:pPr>
    </w:p>
    <w:p>
      <w:pPr>
        <w:pStyle w:val="6"/>
        <w:jc w:val="left"/>
        <w:rPr>
          <w:rFonts w:hint="eastAsia" w:ascii="黑体" w:hAnsi="黑体" w:eastAsia="黑体"/>
          <w:sz w:val="32"/>
          <w:szCs w:val="32"/>
        </w:rPr>
      </w:pPr>
    </w:p>
    <w:p>
      <w:pPr>
        <w:pStyle w:val="6"/>
        <w:jc w:val="left"/>
        <w:rPr>
          <w:rFonts w:hint="eastAsia" w:ascii="黑体" w:hAnsi="黑体" w:eastAsia="黑体"/>
          <w:sz w:val="32"/>
          <w:szCs w:val="32"/>
        </w:rPr>
      </w:pPr>
    </w:p>
    <w:p>
      <w:pPr>
        <w:pStyle w:val="6"/>
        <w:jc w:val="left"/>
        <w:rPr>
          <w:rFonts w:hint="eastAsia" w:ascii="黑体" w:hAnsi="黑体" w:eastAsia="黑体"/>
          <w:sz w:val="32"/>
          <w:szCs w:val="32"/>
        </w:rPr>
      </w:pPr>
    </w:p>
    <w:p>
      <w:pPr>
        <w:pStyle w:val="6"/>
        <w:jc w:val="left"/>
        <w:rPr>
          <w:rFonts w:hint="eastAsia" w:ascii="黑体" w:hAnsi="黑体" w:eastAsia="黑体"/>
          <w:sz w:val="32"/>
          <w:szCs w:val="32"/>
        </w:rPr>
      </w:pPr>
    </w:p>
    <w:p>
      <w:pPr>
        <w:pStyle w:val="6"/>
        <w:jc w:val="left"/>
        <w:rPr>
          <w:rFonts w:hint="eastAsia" w:ascii="黑体" w:hAnsi="黑体" w:eastAsia="黑体"/>
          <w:sz w:val="32"/>
          <w:szCs w:val="32"/>
        </w:rPr>
      </w:pPr>
    </w:p>
    <w:p>
      <w:pPr>
        <w:pStyle w:val="6"/>
        <w:jc w:val="left"/>
        <w:rPr>
          <w:rFonts w:hint="eastAsia" w:ascii="黑体" w:hAnsi="黑体" w:eastAsia="黑体"/>
          <w:sz w:val="32"/>
          <w:szCs w:val="32"/>
        </w:rPr>
      </w:pPr>
    </w:p>
    <w:p>
      <w:pPr>
        <w:pStyle w:val="6"/>
        <w:jc w:val="left"/>
        <w:rPr>
          <w:rFonts w:hint="eastAsia" w:ascii="黑体" w:hAnsi="黑体" w:eastAsia="黑体"/>
          <w:sz w:val="32"/>
          <w:szCs w:val="32"/>
        </w:rPr>
      </w:pPr>
    </w:p>
    <w:p>
      <w:pPr>
        <w:pStyle w:val="6"/>
        <w:jc w:val="left"/>
        <w:rPr>
          <w:rFonts w:ascii="黑体" w:hAnsi="黑体" w:eastAsia="黑体"/>
          <w:sz w:val="32"/>
          <w:szCs w:val="32"/>
        </w:rPr>
      </w:pPr>
      <w:r>
        <w:rPr>
          <w:rFonts w:ascii="黑体" w:hAnsi="黑体" w:eastAsia="黑体"/>
          <w:sz w:val="32"/>
          <w:szCs w:val="32"/>
        </w:rPr>
        <w:t xml:space="preserve"> 一、部门职责</w:t>
      </w:r>
    </w:p>
    <w:p>
      <w:pPr>
        <w:spacing w:line="360" w:lineRule="auto"/>
      </w:pPr>
      <w:r>
        <w:rPr>
          <w:rFonts w:asciiTheme="minorEastAsia" w:hAnsiTheme="minorEastAsia" w:cstheme="minorEastAsia"/>
          <w:sz w:val="32"/>
          <w:szCs w:val="32"/>
        </w:rPr>
        <w:t xml:space="preserve">    1、贯彻执行中央和省颁发的各项信访工作法律、法规及规章制度，并拟定具体实施意见。</w:t>
      </w:r>
    </w:p>
    <w:p>
      <w:pPr>
        <w:spacing w:line="360" w:lineRule="auto"/>
        <w:ind w:firstLine="510"/>
      </w:pPr>
      <w:r>
        <w:rPr>
          <w:rFonts w:asciiTheme="minorEastAsia" w:hAnsiTheme="minorEastAsia" w:cstheme="minorEastAsia"/>
          <w:sz w:val="32"/>
          <w:szCs w:val="32"/>
        </w:rPr>
        <w:t xml:space="preserve">    2、承担受理、交办、转送信访人向县委、县政府提出的信访事项。负责做好县委、县政府领导同志接待上访群众的组织服务工作。</w:t>
      </w:r>
    </w:p>
    <w:p>
      <w:pPr>
        <w:spacing w:line="360" w:lineRule="auto"/>
        <w:ind w:left="113" w:firstLine="794"/>
      </w:pPr>
      <w:r>
        <w:rPr>
          <w:rFonts w:asciiTheme="minorEastAsia" w:hAnsiTheme="minorEastAsia" w:cstheme="minorEastAsia"/>
          <w:sz w:val="32"/>
          <w:szCs w:val="32"/>
        </w:rPr>
        <w:t xml:space="preserve">   3、承办中央和国家机关、省委和省政府、市委和市政府及县委和县政府交办的信访事项，督促检查领导同志有关信访批示件的落实情况。向乡镇和县直部门交办信访事项，督促检查信访事项的处理和落实情况。</w:t>
      </w:r>
    </w:p>
    <w:p>
      <w:pPr>
        <w:spacing w:line="360" w:lineRule="auto"/>
      </w:pPr>
      <w:r>
        <w:rPr>
          <w:rFonts w:asciiTheme="minorEastAsia" w:hAnsiTheme="minorEastAsia" w:cstheme="minorEastAsia"/>
          <w:sz w:val="32"/>
          <w:szCs w:val="32"/>
        </w:rPr>
        <w:t xml:space="preserve">    4、综合反映群众信访中的重要情况和带政策性、倾向性、苗头性的问题和社会动态，研究、统计、分析信访情况，及时向县委、县政府提出完善政策和改进工作的建议。</w:t>
      </w:r>
    </w:p>
    <w:p>
      <w:pPr>
        <w:spacing w:line="360" w:lineRule="auto"/>
        <w:ind w:left="567"/>
      </w:pPr>
      <w:r>
        <w:rPr>
          <w:rFonts w:asciiTheme="minorEastAsia" w:hAnsiTheme="minorEastAsia" w:cstheme="minorEastAsia"/>
          <w:sz w:val="32"/>
          <w:szCs w:val="32"/>
        </w:rPr>
        <w:t>5、协同有关部门处理跨地区、跨部门的重大信访问题</w:t>
      </w:r>
    </w:p>
    <w:p>
      <w:pPr>
        <w:spacing w:line="360" w:lineRule="auto"/>
      </w:pPr>
      <w:r>
        <w:rPr>
          <w:rFonts w:asciiTheme="minorEastAsia" w:hAnsiTheme="minorEastAsia" w:cstheme="minorEastAsia"/>
          <w:sz w:val="32"/>
          <w:szCs w:val="32"/>
        </w:rPr>
        <w:t>协调处理群众来县到市赴省进京上访和异常、突发性信访事项。</w:t>
      </w:r>
    </w:p>
    <w:p>
      <w:pPr>
        <w:spacing w:line="360" w:lineRule="auto"/>
        <w:ind w:left="567"/>
      </w:pPr>
      <w:r>
        <w:rPr>
          <w:rFonts w:asciiTheme="minorEastAsia" w:hAnsiTheme="minorEastAsia" w:cstheme="minorEastAsia"/>
          <w:sz w:val="32"/>
          <w:szCs w:val="32"/>
        </w:rPr>
        <w:t>6、承担县信访工作联席会议的日常工作，督促落实联</w:t>
      </w:r>
    </w:p>
    <w:p>
      <w:pPr>
        <w:spacing w:line="360" w:lineRule="auto"/>
      </w:pPr>
      <w:r>
        <w:rPr>
          <w:rFonts w:asciiTheme="minorEastAsia" w:hAnsiTheme="minorEastAsia" w:cstheme="minorEastAsia"/>
          <w:sz w:val="32"/>
          <w:szCs w:val="32"/>
        </w:rPr>
        <w:t>会议决定的事项。承担县政府信访事项复查复核办公室的日常工作，负责县政府信访事项的复查复核工作。</w:t>
      </w:r>
    </w:p>
    <w:p>
      <w:pPr>
        <w:spacing w:line="360" w:lineRule="auto"/>
      </w:pPr>
      <w:r>
        <w:rPr>
          <w:rFonts w:asciiTheme="minorEastAsia" w:hAnsiTheme="minorEastAsia" w:cstheme="minorEastAsia"/>
          <w:sz w:val="32"/>
          <w:szCs w:val="32"/>
        </w:rPr>
        <w:t xml:space="preserve">   7、负责信访工作宣传和理论研讨，总结推广信访工作经验，提出改进和加强信访工作的意见。对全县各单位的信访工作进行指导、督促、协调、检查、考核。</w:t>
      </w:r>
    </w:p>
    <w:p>
      <w:pPr>
        <w:spacing w:line="360" w:lineRule="auto"/>
      </w:pPr>
      <w:r>
        <w:rPr>
          <w:rFonts w:asciiTheme="minorEastAsia" w:hAnsiTheme="minorEastAsia" w:cstheme="minorEastAsia"/>
          <w:sz w:val="32"/>
          <w:szCs w:val="32"/>
        </w:rPr>
        <w:t xml:space="preserve">    8、负责全县网上投拆处理工作。指导全县信访信息系统建设和应用。</w:t>
      </w:r>
    </w:p>
    <w:p>
      <w:pPr>
        <w:spacing w:line="360" w:lineRule="auto"/>
      </w:pPr>
      <w:r>
        <w:rPr>
          <w:rFonts w:asciiTheme="minorEastAsia" w:hAnsiTheme="minorEastAsia" w:cstheme="minorEastAsia"/>
          <w:sz w:val="32"/>
          <w:szCs w:val="32"/>
        </w:rPr>
        <w:t xml:space="preserve">    9、掌握全县信访工作队伍建设情况，提出加强信访队伍建设意见措施。对信访工作中失职、渎职行为提出处理意见。组织信访干部培训。</w:t>
      </w:r>
    </w:p>
    <w:p>
      <w:pPr>
        <w:spacing w:line="360" w:lineRule="auto"/>
      </w:pPr>
      <w:r>
        <w:rPr>
          <w:rFonts w:asciiTheme="minorEastAsia" w:hAnsiTheme="minorEastAsia" w:cstheme="minorEastAsia"/>
          <w:sz w:val="32"/>
          <w:szCs w:val="32"/>
        </w:rPr>
        <w:t xml:space="preserve">    10、完成县委、县人民政府交办的其他事项。</w:t>
      </w:r>
    </w:p>
    <w:p>
      <w:pPr>
        <w:spacing w:line="360" w:lineRule="auto"/>
        <w:ind w:firstLine="840"/>
        <w:jc w:val="left"/>
        <w:rPr>
          <w:rFonts w:asciiTheme="minorEastAsia" w:hAnsiTheme="minorEastAsia" w:cstheme="minorEastAsia"/>
          <w:sz w:val="32"/>
          <w:szCs w:val="32"/>
        </w:rPr>
      </w:pPr>
    </w:p>
    <w:p>
      <w:pPr>
        <w:jc w:val="left"/>
        <w:rPr>
          <w:rFonts w:asciiTheme="minorEastAsia" w:hAnsiTheme="minorEastAsia" w:cstheme="minorEastAsia"/>
          <w:sz w:val="28"/>
          <w:szCs w:val="28"/>
        </w:rPr>
      </w:pPr>
    </w:p>
    <w:p>
      <w:pPr>
        <w:widowControl/>
        <w:spacing w:line="600" w:lineRule="exact"/>
        <w:rPr>
          <w:rFonts w:ascii="黑体" w:hAnsi="黑体" w:eastAsia="黑体"/>
          <w:bCs/>
          <w:kern w:val="0"/>
          <w:sz w:val="32"/>
          <w:szCs w:val="32"/>
        </w:rPr>
      </w:pPr>
      <w:r>
        <w:rPr>
          <w:rFonts w:ascii="黑体" w:hAnsi="黑体" w:eastAsia="黑体"/>
          <w:bCs/>
          <w:kern w:val="0"/>
          <w:sz w:val="32"/>
          <w:szCs w:val="32"/>
        </w:rPr>
        <w:t xml:space="preserve">    二、机构设置及决算单位构成</w:t>
      </w:r>
    </w:p>
    <w:p>
      <w:pPr>
        <w:widowControl/>
        <w:spacing w:line="600" w:lineRule="exact"/>
        <w:rPr>
          <w:rFonts w:asciiTheme="minorEastAsia" w:hAnsiTheme="minorEastAsia"/>
          <w:bCs/>
          <w:kern w:val="0"/>
          <w:sz w:val="32"/>
          <w:szCs w:val="32"/>
        </w:rPr>
      </w:pPr>
      <w:r>
        <w:rPr>
          <w:rFonts w:asciiTheme="minorEastAsia" w:hAnsiTheme="minorEastAsia"/>
          <w:bCs/>
          <w:kern w:val="0"/>
          <w:sz w:val="32"/>
          <w:szCs w:val="32"/>
        </w:rPr>
        <w:t xml:space="preserve">   （一）内设机构设置。</w:t>
      </w:r>
    </w:p>
    <w:p>
      <w:pPr>
        <w:widowControl/>
        <w:spacing w:line="600" w:lineRule="exact"/>
        <w:ind w:firstLine="800"/>
        <w:rPr>
          <w:rFonts w:asciiTheme="minorEastAsia" w:hAnsiTheme="minorEastAsia"/>
          <w:bCs/>
          <w:kern w:val="0"/>
          <w:sz w:val="32"/>
          <w:szCs w:val="32"/>
        </w:rPr>
      </w:pPr>
      <w:r>
        <w:rPr>
          <w:rFonts w:ascii="Adobe 仿宋 Std R" w:hAnsi="Adobe 仿宋 Std R" w:cs="Adobe 仿宋 Std R"/>
          <w:sz w:val="32"/>
          <w:szCs w:val="32"/>
        </w:rPr>
        <w:t xml:space="preserve">    </w:t>
      </w:r>
      <w:r>
        <w:rPr>
          <w:rFonts w:eastAsia="宋体" w:cs="宋体" w:asciiTheme="minorEastAsia" w:hAnsiTheme="minorEastAsia"/>
          <w:bCs/>
          <w:kern w:val="0"/>
          <w:sz w:val="32"/>
          <w:szCs w:val="32"/>
        </w:rPr>
        <w:t>2019</w:t>
      </w:r>
      <w:r>
        <w:rPr>
          <w:rFonts w:cs="宋体" w:asciiTheme="minorEastAsia" w:hAnsiTheme="minorEastAsia"/>
          <w:bCs/>
          <w:kern w:val="0"/>
          <w:sz w:val="32"/>
          <w:szCs w:val="32"/>
        </w:rPr>
        <w:t>年内设机构</w:t>
      </w:r>
      <w:r>
        <w:rPr>
          <w:rFonts w:eastAsia="宋体" w:cs="宋体" w:asciiTheme="minorEastAsia" w:hAnsiTheme="minorEastAsia"/>
          <w:bCs/>
          <w:kern w:val="0"/>
          <w:sz w:val="32"/>
          <w:szCs w:val="32"/>
        </w:rPr>
        <w:t>5</w:t>
      </w:r>
      <w:r>
        <w:rPr>
          <w:rFonts w:cs="宋体" w:asciiTheme="minorEastAsia" w:hAnsiTheme="minorEastAsia"/>
          <w:bCs/>
          <w:kern w:val="0"/>
          <w:sz w:val="32"/>
          <w:szCs w:val="32"/>
        </w:rPr>
        <w:t>个：办公室、接访股、网信股、督查和复查复核股、人民来访接待中心。</w:t>
      </w:r>
    </w:p>
    <w:p>
      <w:pPr>
        <w:widowControl/>
        <w:spacing w:line="600" w:lineRule="exact"/>
        <w:rPr>
          <w:rFonts w:eastAsia="宋体" w:cs="宋体" w:asciiTheme="minorEastAsia" w:hAnsiTheme="minorEastAsia"/>
          <w:bCs/>
          <w:kern w:val="0"/>
          <w:sz w:val="32"/>
          <w:szCs w:val="32"/>
        </w:rPr>
      </w:pPr>
      <w:r>
        <w:rPr>
          <w:rFonts w:cs="宋体" w:asciiTheme="minorEastAsia" w:hAnsiTheme="minorEastAsia"/>
          <w:bCs/>
          <w:kern w:val="0"/>
          <w:sz w:val="32"/>
          <w:szCs w:val="32"/>
        </w:rPr>
        <w:t xml:space="preserve">  （二）决算单位构成。衡南县信访局</w:t>
      </w:r>
      <w:r>
        <w:rPr>
          <w:rFonts w:eastAsia="宋体" w:cs="宋体" w:asciiTheme="minorEastAsia" w:hAnsiTheme="minorEastAsia"/>
          <w:bCs/>
          <w:kern w:val="0"/>
          <w:sz w:val="32"/>
          <w:szCs w:val="32"/>
        </w:rPr>
        <w:t>2019</w:t>
      </w:r>
      <w:r>
        <w:rPr>
          <w:rFonts w:cs="宋体" w:asciiTheme="minorEastAsia" w:hAnsiTheme="minorEastAsia"/>
          <w:bCs/>
          <w:kern w:val="0"/>
          <w:sz w:val="32"/>
          <w:szCs w:val="32"/>
        </w:rPr>
        <w:t>年部门决算汇总公开单位构成包括：衡南县信访局本级，无下属二级机构及其他。</w:t>
      </w:r>
    </w:p>
    <w:p>
      <w:pPr>
        <w:rPr>
          <w:sz w:val="72"/>
          <w:szCs w:val="72"/>
        </w:rPr>
      </w:pPr>
    </w:p>
    <w:p>
      <w:pPr>
        <w:jc w:val="center"/>
        <w:rPr>
          <w:sz w:val="72"/>
          <w:szCs w:val="72"/>
        </w:rPr>
      </w:pPr>
    </w:p>
    <w:p>
      <w:pPr>
        <w:jc w:val="center"/>
        <w:rPr>
          <w:sz w:val="72"/>
          <w:szCs w:val="72"/>
        </w:rPr>
      </w:pPr>
    </w:p>
    <w:p>
      <w:pPr>
        <w:jc w:val="center"/>
        <w:rPr>
          <w:rFonts w:ascii="黑体" w:hAnsi="黑体" w:eastAsia="黑体" w:cs="黑体"/>
          <w:sz w:val="72"/>
          <w:szCs w:val="72"/>
        </w:rPr>
      </w:pPr>
    </w:p>
    <w:p>
      <w:pPr>
        <w:jc w:val="center"/>
        <w:rPr>
          <w:rFonts w:ascii="黑体" w:hAnsi="黑体" w:eastAsia="黑体" w:cs="黑体"/>
          <w:sz w:val="72"/>
          <w:szCs w:val="72"/>
        </w:rPr>
      </w:pPr>
    </w:p>
    <w:p>
      <w:pPr>
        <w:jc w:val="center"/>
        <w:rPr>
          <w:rFonts w:ascii="黑体" w:hAnsi="黑体" w:eastAsia="黑体" w:cs="黑体"/>
          <w:sz w:val="72"/>
          <w:szCs w:val="72"/>
        </w:rPr>
      </w:pPr>
    </w:p>
    <w:p>
      <w:pPr>
        <w:jc w:val="center"/>
        <w:rPr>
          <w:rFonts w:ascii="黑体" w:hAnsi="黑体" w:eastAsia="黑体" w:cs="黑体"/>
          <w:sz w:val="72"/>
          <w:szCs w:val="72"/>
        </w:rPr>
      </w:pPr>
    </w:p>
    <w:p>
      <w:pPr>
        <w:jc w:val="center"/>
        <w:rPr>
          <w:rFonts w:ascii="黑体" w:hAnsi="黑体" w:eastAsia="黑体" w:cs="黑体"/>
          <w:sz w:val="72"/>
          <w:szCs w:val="72"/>
        </w:rPr>
      </w:pPr>
    </w:p>
    <w:p>
      <w:pPr>
        <w:jc w:val="center"/>
        <w:rPr>
          <w:rFonts w:ascii="黑体" w:hAnsi="黑体" w:eastAsia="黑体" w:cs="黑体"/>
          <w:sz w:val="72"/>
          <w:szCs w:val="72"/>
        </w:rPr>
      </w:pPr>
    </w:p>
    <w:p>
      <w:pPr>
        <w:jc w:val="center"/>
        <w:rPr>
          <w:rFonts w:ascii="黑体" w:hAnsi="黑体" w:eastAsia="黑体" w:cs="黑体"/>
          <w:sz w:val="72"/>
          <w:szCs w:val="72"/>
        </w:rPr>
      </w:pPr>
      <w:r>
        <w:rPr>
          <w:rFonts w:ascii="黑体" w:hAnsi="黑体" w:eastAsia="黑体" w:cs="黑体"/>
          <w:sz w:val="72"/>
          <w:szCs w:val="72"/>
        </w:rPr>
        <w:t>第二部分</w:t>
      </w:r>
    </w:p>
    <w:p>
      <w:pPr>
        <w:jc w:val="center"/>
        <w:rPr>
          <w:rFonts w:ascii="黑体" w:hAnsi="黑体" w:eastAsia="黑体" w:cs="黑体"/>
          <w:sz w:val="72"/>
          <w:szCs w:val="72"/>
        </w:rPr>
      </w:pPr>
    </w:p>
    <w:p>
      <w:pPr>
        <w:jc w:val="center"/>
        <w:rPr>
          <w:rFonts w:ascii="黑体" w:hAnsi="黑体" w:eastAsia="黑体" w:cs="黑体"/>
          <w:sz w:val="72"/>
          <w:szCs w:val="72"/>
        </w:rPr>
      </w:pPr>
      <w:r>
        <w:rPr>
          <w:rFonts w:ascii="黑体" w:hAnsi="黑体" w:eastAsia="黑体" w:cs="黑体"/>
          <w:sz w:val="72"/>
          <w:szCs w:val="72"/>
        </w:rPr>
        <w:t>部门决算表</w:t>
      </w:r>
    </w:p>
    <w:p>
      <w:pPr>
        <w:jc w:val="center"/>
        <w:rPr>
          <w:sz w:val="72"/>
          <w:szCs w:val="72"/>
        </w:rPr>
      </w:pPr>
    </w:p>
    <w:p>
      <w:pPr>
        <w:jc w:val="center"/>
        <w:rPr>
          <w:sz w:val="72"/>
          <w:szCs w:val="72"/>
        </w:rPr>
      </w:pPr>
      <w:r>
        <w:rPr>
          <w:sz w:val="72"/>
          <w:szCs w:val="72"/>
        </w:rPr>
        <w:t>(部门决算公示表附后)</w:t>
      </w:r>
    </w:p>
    <w:p>
      <w:pPr>
        <w:jc w:val="center"/>
        <w:rPr>
          <w:sz w:val="72"/>
          <w:szCs w:val="72"/>
        </w:rPr>
      </w:pPr>
    </w:p>
    <w:p>
      <w:pPr>
        <w:jc w:val="center"/>
        <w:rPr>
          <w:sz w:val="72"/>
          <w:szCs w:val="72"/>
        </w:rPr>
      </w:pPr>
    </w:p>
    <w:p>
      <w:pPr>
        <w:jc w:val="center"/>
        <w:rPr>
          <w:sz w:val="72"/>
          <w:szCs w:val="72"/>
        </w:rPr>
      </w:pPr>
    </w:p>
    <w:p>
      <w:pPr>
        <w:jc w:val="center"/>
        <w:rPr>
          <w:sz w:val="72"/>
          <w:szCs w:val="72"/>
        </w:rPr>
        <w:sectPr>
          <w:pgSz w:w="11906" w:h="16838"/>
          <w:pgMar w:top="1440" w:right="1800" w:bottom="1440" w:left="1800" w:header="0" w:footer="0" w:gutter="0"/>
          <w:cols w:space="720" w:num="1"/>
          <w:formProt w:val="0"/>
          <w:docGrid w:type="lines" w:linePitch="312" w:charSpace="91954"/>
        </w:sectPr>
      </w:pPr>
    </w:p>
    <w:p>
      <w:pPr>
        <w:pStyle w:val="5"/>
        <w:rPr>
          <w:sz w:val="72"/>
          <w:szCs w:val="72"/>
        </w:rPr>
      </w:pPr>
    </w:p>
    <w:p>
      <w:pPr>
        <w:pStyle w:val="5"/>
        <w:rPr>
          <w:sz w:val="72"/>
          <w:szCs w:val="72"/>
        </w:rPr>
      </w:pPr>
    </w:p>
    <w:p>
      <w:pPr>
        <w:pStyle w:val="5"/>
        <w:rPr>
          <w:sz w:val="72"/>
          <w:szCs w:val="72"/>
        </w:rPr>
      </w:pPr>
    </w:p>
    <w:p>
      <w:pPr>
        <w:pStyle w:val="5"/>
        <w:rPr>
          <w:sz w:val="72"/>
          <w:szCs w:val="72"/>
        </w:rPr>
      </w:pPr>
    </w:p>
    <w:p>
      <w:pPr>
        <w:pStyle w:val="5"/>
        <w:jc w:val="center"/>
        <w:rPr>
          <w:sz w:val="72"/>
          <w:szCs w:val="72"/>
        </w:rPr>
      </w:pPr>
    </w:p>
    <w:p>
      <w:pPr>
        <w:pStyle w:val="5"/>
        <w:jc w:val="center"/>
        <w:rPr>
          <w:sz w:val="72"/>
          <w:szCs w:val="72"/>
        </w:rPr>
      </w:pPr>
    </w:p>
    <w:p>
      <w:pPr>
        <w:pStyle w:val="5"/>
        <w:jc w:val="center"/>
        <w:rPr>
          <w:sz w:val="72"/>
          <w:szCs w:val="72"/>
        </w:rPr>
      </w:pPr>
      <w:r>
        <w:rPr>
          <w:sz w:val="72"/>
          <w:szCs w:val="72"/>
        </w:rPr>
        <w:t>第三部分</w:t>
      </w:r>
    </w:p>
    <w:p>
      <w:pPr>
        <w:pStyle w:val="5"/>
        <w:jc w:val="center"/>
        <w:rPr>
          <w:sz w:val="70"/>
          <w:szCs w:val="70"/>
        </w:rPr>
      </w:pPr>
    </w:p>
    <w:p>
      <w:pPr>
        <w:pStyle w:val="5"/>
        <w:jc w:val="center"/>
        <w:rPr>
          <w:sz w:val="70"/>
          <w:szCs w:val="70"/>
        </w:rPr>
      </w:pPr>
      <w:r>
        <w:rPr>
          <w:sz w:val="70"/>
          <w:szCs w:val="70"/>
        </w:rPr>
        <w:t>2019年度部门决算情况说明</w:t>
      </w:r>
    </w:p>
    <w:p>
      <w:pPr>
        <w:widowControl/>
        <w:jc w:val="left"/>
        <w:rPr>
          <w:rFonts w:ascii="黑体" w:hAnsi="黑体" w:eastAsia="黑体" w:cs="黑体"/>
          <w:color w:val="000000"/>
          <w:kern w:val="0"/>
          <w:sz w:val="70"/>
          <w:szCs w:val="70"/>
        </w:rPr>
      </w:pPr>
      <w:r>
        <w:br w:type="page"/>
      </w:r>
    </w:p>
    <w:p>
      <w:pPr>
        <w:pStyle w:val="5"/>
        <w:rPr>
          <w:rFonts w:asciiTheme="minorEastAsia" w:hAnsiTheme="minorEastAsia" w:eastAsiaTheme="minorEastAsia"/>
          <w:sz w:val="32"/>
          <w:szCs w:val="32"/>
        </w:rPr>
      </w:pPr>
    </w:p>
    <w:p>
      <w:pPr>
        <w:pStyle w:val="5"/>
        <w:rPr>
          <w:b/>
          <w:sz w:val="32"/>
          <w:szCs w:val="32"/>
        </w:rPr>
      </w:pPr>
      <w:r>
        <w:rPr>
          <w:b/>
          <w:sz w:val="32"/>
          <w:szCs w:val="32"/>
        </w:rPr>
        <w:t xml:space="preserve">     一、收入支出决算总体情况说明</w:t>
      </w:r>
    </w:p>
    <w:p>
      <w:pPr>
        <w:pStyle w:val="5"/>
        <w:ind w:firstLine="640"/>
        <w:rPr>
          <w:rFonts w:asciiTheme="minorEastAsia" w:hAnsiTheme="minorEastAsia" w:eastAsiaTheme="minorEastAsia"/>
          <w:color w:val="auto"/>
          <w:sz w:val="32"/>
          <w:szCs w:val="32"/>
        </w:rPr>
      </w:pPr>
      <w:r>
        <w:rPr>
          <w:rFonts w:asciiTheme="minorEastAsia" w:hAnsiTheme="minorEastAsia" w:eastAsiaTheme="minorEastAsia"/>
          <w:sz w:val="32"/>
          <w:szCs w:val="32"/>
        </w:rPr>
        <w:t xml:space="preserve">     2019 年度收入总计207.23万元。与2018年总收入决算数相比，减少149.06万元，减少41.83%，</w:t>
      </w:r>
      <w:r>
        <w:rPr>
          <w:rFonts w:asciiTheme="minorEastAsia" w:hAnsiTheme="minorEastAsia" w:eastAsiaTheme="minorEastAsia"/>
          <w:color w:val="auto"/>
          <w:sz w:val="32"/>
          <w:szCs w:val="32"/>
        </w:rPr>
        <w:t>主要是因为：项目经费减少。2019 年度支出总计207.1万元。较2018年总支出决算数341.38万元，减少134.28万元，减少39%，主要是因为：项目经费减少。</w:t>
      </w:r>
    </w:p>
    <w:p>
      <w:pPr>
        <w:pStyle w:val="5"/>
        <w:rPr>
          <w:b/>
          <w:color w:val="auto"/>
          <w:sz w:val="32"/>
          <w:szCs w:val="32"/>
        </w:rPr>
      </w:pPr>
      <w:r>
        <w:rPr>
          <w:b/>
          <w:color w:val="auto"/>
          <w:sz w:val="32"/>
          <w:szCs w:val="32"/>
        </w:rPr>
        <w:t xml:space="preserve">    二、收入决算情况说明</w:t>
      </w:r>
    </w:p>
    <w:p>
      <w:pPr>
        <w:pStyle w:val="5"/>
        <w:ind w:firstLine="624"/>
        <w:rPr>
          <w:rFonts w:asciiTheme="minorEastAsia" w:hAnsiTheme="minorEastAsia" w:eastAsiaTheme="minorEastAsia" w:cstheme="minorEastAsia"/>
          <w:sz w:val="32"/>
          <w:szCs w:val="32"/>
        </w:rPr>
      </w:pPr>
      <w:r>
        <w:rPr>
          <w:rFonts w:asciiTheme="minorEastAsia" w:hAnsiTheme="minorEastAsia" w:eastAsiaTheme="minorEastAsia" w:cstheme="minorEastAsia"/>
          <w:spacing w:val="-4"/>
          <w:sz w:val="32"/>
          <w:szCs w:val="32"/>
        </w:rPr>
        <w:t xml:space="preserve">    本年收入合计207.23万元，其中：</w:t>
      </w:r>
      <w:r>
        <w:rPr>
          <w:rFonts w:hint="eastAsia" w:asciiTheme="minorEastAsia" w:hAnsiTheme="minorEastAsia" w:eastAsiaTheme="minorEastAsia" w:cstheme="minorEastAsia"/>
          <w:spacing w:val="-4"/>
          <w:sz w:val="32"/>
          <w:szCs w:val="32"/>
          <w:lang w:eastAsia="zh-CN"/>
        </w:rPr>
        <w:t>财政拨款</w:t>
      </w:r>
      <w:r>
        <w:rPr>
          <w:rFonts w:asciiTheme="minorEastAsia" w:hAnsiTheme="minorEastAsia" w:eastAsiaTheme="minorEastAsia" w:cstheme="minorEastAsia"/>
          <w:spacing w:val="-4"/>
          <w:sz w:val="32"/>
          <w:szCs w:val="32"/>
        </w:rPr>
        <w:t>收入192.32万元，占92.81%；年初结转和结余14.91万元，占7.19%</w:t>
      </w:r>
      <w:r>
        <w:rPr>
          <w:rFonts w:asciiTheme="minorEastAsia" w:hAnsiTheme="minorEastAsia" w:eastAsiaTheme="minorEastAsia" w:cstheme="minorEastAsia"/>
          <w:spacing w:val="-4"/>
          <w:sz w:val="32"/>
        </w:rPr>
        <w:t>。</w:t>
      </w:r>
    </w:p>
    <w:p>
      <w:pPr>
        <w:pStyle w:val="5"/>
        <w:rPr>
          <w:b/>
          <w:sz w:val="32"/>
          <w:szCs w:val="32"/>
        </w:rPr>
      </w:pPr>
      <w:r>
        <w:rPr>
          <w:b/>
          <w:sz w:val="32"/>
          <w:szCs w:val="32"/>
        </w:rPr>
        <w:t xml:space="preserve">   三、支出决算情况说明</w:t>
      </w:r>
    </w:p>
    <w:p>
      <w:pPr>
        <w:pStyle w:val="5"/>
        <w:ind w:firstLine="640"/>
        <w:rPr>
          <w:rFonts w:asciiTheme="minorEastAsia" w:hAnsiTheme="minorEastAsia" w:eastAsiaTheme="minorEastAsia" w:cstheme="minorEastAsia"/>
          <w:sz w:val="32"/>
          <w:szCs w:val="32"/>
        </w:rPr>
      </w:pPr>
      <w:r>
        <w:rPr>
          <w:rFonts w:asciiTheme="minorEastAsia" w:hAnsiTheme="minorEastAsia" w:eastAsiaTheme="minorEastAsia" w:cstheme="minorEastAsia"/>
          <w:sz w:val="32"/>
          <w:szCs w:val="32"/>
        </w:rPr>
        <w:t xml:space="preserve">   本年支出合计207.1万元，其中：基本支出100.11万元，占48.33%；项目支出106.99万元，占51.67%</w:t>
      </w:r>
      <w:r>
        <w:rPr>
          <w:rFonts w:asciiTheme="minorEastAsia" w:hAnsiTheme="minorEastAsia" w:eastAsiaTheme="minorEastAsia" w:cstheme="minorEastAsia"/>
          <w:sz w:val="32"/>
        </w:rPr>
        <w:t>。</w:t>
      </w:r>
    </w:p>
    <w:p>
      <w:pPr>
        <w:pStyle w:val="5"/>
        <w:rPr>
          <w:b/>
          <w:sz w:val="32"/>
          <w:szCs w:val="32"/>
        </w:rPr>
      </w:pPr>
      <w:r>
        <w:rPr>
          <w:b/>
          <w:sz w:val="32"/>
          <w:szCs w:val="32"/>
        </w:rPr>
        <w:t xml:space="preserve">   四、</w:t>
      </w:r>
      <w:r>
        <w:rPr>
          <w:rFonts w:hint="eastAsia"/>
          <w:b/>
          <w:sz w:val="32"/>
          <w:szCs w:val="32"/>
          <w:lang w:eastAsia="zh-CN"/>
        </w:rPr>
        <w:t>财政拨款</w:t>
      </w:r>
      <w:r>
        <w:rPr>
          <w:b/>
          <w:sz w:val="32"/>
          <w:szCs w:val="32"/>
        </w:rPr>
        <w:t>收入支出决算总体情况说明</w:t>
      </w:r>
    </w:p>
    <w:p>
      <w:pPr>
        <w:pStyle w:val="5"/>
        <w:rPr>
          <w:rFonts w:asciiTheme="minorEastAsia" w:hAnsiTheme="minorEastAsia" w:eastAsiaTheme="minorEastAsia"/>
          <w:color w:val="auto"/>
          <w:sz w:val="32"/>
          <w:szCs w:val="32"/>
        </w:rPr>
      </w:pPr>
      <w:r>
        <w:rPr>
          <w:rFonts w:asciiTheme="minorEastAsia" w:hAnsiTheme="minorEastAsia" w:eastAsiaTheme="minorEastAsia"/>
          <w:sz w:val="32"/>
          <w:szCs w:val="32"/>
        </w:rPr>
        <w:t xml:space="preserve">   2019年度</w:t>
      </w:r>
      <w:r>
        <w:rPr>
          <w:rFonts w:hint="eastAsia" w:asciiTheme="minorEastAsia" w:hAnsiTheme="minorEastAsia" w:eastAsiaTheme="minorEastAsia"/>
          <w:sz w:val="32"/>
          <w:szCs w:val="32"/>
          <w:lang w:eastAsia="zh-CN"/>
        </w:rPr>
        <w:t>财政拨款</w:t>
      </w:r>
      <w:r>
        <w:rPr>
          <w:rFonts w:asciiTheme="minorEastAsia" w:hAnsiTheme="minorEastAsia" w:eastAsiaTheme="minorEastAsia"/>
          <w:sz w:val="32"/>
          <w:szCs w:val="32"/>
        </w:rPr>
        <w:t>收入总计207.23万元，与2018年相比，减少149.06万元,占41.83%，主要是</w:t>
      </w:r>
      <w:r>
        <w:rPr>
          <w:rFonts w:asciiTheme="minorEastAsia" w:hAnsiTheme="minorEastAsia" w:eastAsiaTheme="minorEastAsia"/>
          <w:color w:val="auto"/>
          <w:sz w:val="32"/>
          <w:szCs w:val="32"/>
        </w:rPr>
        <w:t>因为项目经费减少。</w:t>
      </w:r>
    </w:p>
    <w:p>
      <w:pPr>
        <w:pStyle w:val="5"/>
        <w:rPr>
          <w:b/>
          <w:sz w:val="32"/>
          <w:szCs w:val="32"/>
        </w:rPr>
      </w:pPr>
      <w:r>
        <w:rPr>
          <w:b/>
          <w:sz w:val="32"/>
          <w:szCs w:val="32"/>
        </w:rPr>
        <w:t xml:space="preserve">   五、一般公共预算</w:t>
      </w:r>
      <w:r>
        <w:rPr>
          <w:rFonts w:hint="eastAsia"/>
          <w:b/>
          <w:sz w:val="32"/>
          <w:szCs w:val="32"/>
          <w:lang w:eastAsia="zh-CN"/>
        </w:rPr>
        <w:t>财政拨款</w:t>
      </w:r>
      <w:r>
        <w:rPr>
          <w:b/>
          <w:sz w:val="32"/>
          <w:szCs w:val="32"/>
        </w:rPr>
        <w:t>支出决算情况说明</w:t>
      </w:r>
    </w:p>
    <w:p>
      <w:pPr>
        <w:pStyle w:val="5"/>
        <w:ind w:firstLine="643"/>
        <w:rPr>
          <w:rFonts w:asciiTheme="minorEastAsia" w:hAnsiTheme="minorEastAsia" w:eastAsiaTheme="minorEastAsia"/>
          <w:b/>
          <w:sz w:val="32"/>
          <w:szCs w:val="32"/>
        </w:rPr>
      </w:pPr>
      <w:r>
        <w:rPr>
          <w:rFonts w:asciiTheme="minorEastAsia" w:hAnsiTheme="minorEastAsia" w:eastAsiaTheme="minorEastAsia"/>
          <w:b/>
          <w:sz w:val="32"/>
          <w:szCs w:val="32"/>
        </w:rPr>
        <w:t xml:space="preserve">  （一）</w:t>
      </w:r>
      <w:r>
        <w:rPr>
          <w:rFonts w:hint="eastAsia" w:asciiTheme="minorEastAsia" w:hAnsiTheme="minorEastAsia" w:eastAsiaTheme="minorEastAsia"/>
          <w:b/>
          <w:sz w:val="32"/>
          <w:szCs w:val="32"/>
          <w:lang w:eastAsia="zh-CN"/>
        </w:rPr>
        <w:t>财政拨款</w:t>
      </w:r>
      <w:r>
        <w:rPr>
          <w:rFonts w:asciiTheme="minorEastAsia" w:hAnsiTheme="minorEastAsia" w:eastAsiaTheme="minorEastAsia"/>
          <w:b/>
          <w:sz w:val="32"/>
          <w:szCs w:val="32"/>
        </w:rPr>
        <w:t>支出决算总体情况</w:t>
      </w:r>
    </w:p>
    <w:p>
      <w:pPr>
        <w:pStyle w:val="5"/>
        <w:ind w:firstLine="800"/>
        <w:rPr>
          <w:rFonts w:asciiTheme="minorEastAsia" w:hAnsiTheme="minorEastAsia" w:eastAsiaTheme="minorEastAsia"/>
          <w:color w:val="auto"/>
          <w:sz w:val="32"/>
          <w:szCs w:val="32"/>
        </w:rPr>
      </w:pPr>
      <w:r>
        <w:rPr>
          <w:rFonts w:asciiTheme="minorEastAsia" w:hAnsiTheme="minorEastAsia" w:eastAsiaTheme="minorEastAsia"/>
          <w:sz w:val="32"/>
          <w:szCs w:val="32"/>
        </w:rPr>
        <w:t xml:space="preserve">   2019年度</w:t>
      </w:r>
      <w:r>
        <w:rPr>
          <w:rFonts w:hint="eastAsia" w:asciiTheme="minorEastAsia" w:hAnsiTheme="minorEastAsia" w:eastAsiaTheme="minorEastAsia"/>
          <w:sz w:val="32"/>
          <w:szCs w:val="32"/>
          <w:lang w:eastAsia="zh-CN"/>
        </w:rPr>
        <w:t>财政拨款</w:t>
      </w:r>
      <w:r>
        <w:rPr>
          <w:rFonts w:asciiTheme="minorEastAsia" w:hAnsiTheme="minorEastAsia" w:eastAsiaTheme="minorEastAsia"/>
          <w:sz w:val="32"/>
          <w:szCs w:val="32"/>
        </w:rPr>
        <w:t>支出207.10万元，占本年支出合计的100%，与2018年相比，</w:t>
      </w:r>
      <w:r>
        <w:rPr>
          <w:rFonts w:hint="eastAsia" w:asciiTheme="minorEastAsia" w:hAnsiTheme="minorEastAsia" w:eastAsiaTheme="minorEastAsia"/>
          <w:sz w:val="32"/>
          <w:szCs w:val="32"/>
          <w:lang w:eastAsia="zh-CN"/>
        </w:rPr>
        <w:t>财政拨款</w:t>
      </w:r>
      <w:r>
        <w:rPr>
          <w:rFonts w:asciiTheme="minorEastAsia" w:hAnsiTheme="minorEastAsia" w:eastAsiaTheme="minorEastAsia"/>
          <w:sz w:val="32"/>
          <w:szCs w:val="32"/>
        </w:rPr>
        <w:t>支出减少134.28万元，减少39%，</w:t>
      </w:r>
      <w:r>
        <w:rPr>
          <w:rFonts w:asciiTheme="minorEastAsia" w:hAnsiTheme="minorEastAsia" w:eastAsiaTheme="minorEastAsia"/>
          <w:color w:val="auto"/>
          <w:sz w:val="32"/>
          <w:szCs w:val="32"/>
        </w:rPr>
        <w:t>主要是因为：项目经费减少。</w:t>
      </w:r>
    </w:p>
    <w:p>
      <w:pPr>
        <w:pStyle w:val="5"/>
        <w:ind w:firstLine="803"/>
        <w:rPr>
          <w:rFonts w:asciiTheme="minorEastAsia" w:hAnsiTheme="minorEastAsia" w:eastAsiaTheme="minorEastAsia"/>
          <w:b/>
          <w:sz w:val="32"/>
          <w:szCs w:val="32"/>
        </w:rPr>
      </w:pPr>
      <w:r>
        <w:rPr>
          <w:rFonts w:asciiTheme="minorEastAsia" w:hAnsiTheme="minorEastAsia" w:eastAsiaTheme="minorEastAsia"/>
          <w:b/>
          <w:sz w:val="32"/>
          <w:szCs w:val="32"/>
        </w:rPr>
        <w:t xml:space="preserve">  （二）</w:t>
      </w:r>
      <w:r>
        <w:rPr>
          <w:rFonts w:hint="eastAsia" w:asciiTheme="minorEastAsia" w:hAnsiTheme="minorEastAsia" w:eastAsiaTheme="minorEastAsia"/>
          <w:b/>
          <w:sz w:val="32"/>
          <w:szCs w:val="32"/>
          <w:lang w:eastAsia="zh-CN"/>
        </w:rPr>
        <w:t>财政拨款</w:t>
      </w:r>
      <w:r>
        <w:rPr>
          <w:rFonts w:asciiTheme="minorEastAsia" w:hAnsiTheme="minorEastAsia" w:eastAsiaTheme="minorEastAsia"/>
          <w:b/>
          <w:sz w:val="32"/>
          <w:szCs w:val="32"/>
        </w:rPr>
        <w:t>支出决算结构情况</w:t>
      </w:r>
    </w:p>
    <w:p>
      <w:pPr>
        <w:pStyle w:val="5"/>
        <w:ind w:firstLine="640"/>
        <w:rPr>
          <w:rFonts w:asciiTheme="minorEastAsia" w:hAnsiTheme="minorEastAsia" w:eastAsiaTheme="minorEastAsia"/>
          <w:sz w:val="32"/>
          <w:szCs w:val="32"/>
        </w:rPr>
      </w:pPr>
      <w:r>
        <w:rPr>
          <w:rFonts w:asciiTheme="minorEastAsia" w:hAnsiTheme="minorEastAsia" w:eastAsiaTheme="minorEastAsia"/>
          <w:sz w:val="32"/>
          <w:szCs w:val="32"/>
        </w:rPr>
        <w:t xml:space="preserve">    2019年度</w:t>
      </w:r>
      <w:r>
        <w:rPr>
          <w:rFonts w:hint="eastAsia" w:asciiTheme="minorEastAsia" w:hAnsiTheme="minorEastAsia" w:eastAsiaTheme="minorEastAsia"/>
          <w:sz w:val="32"/>
          <w:szCs w:val="32"/>
          <w:lang w:eastAsia="zh-CN"/>
        </w:rPr>
        <w:t>财政拨款</w:t>
      </w:r>
      <w:r>
        <w:rPr>
          <w:rFonts w:asciiTheme="minorEastAsia" w:hAnsiTheme="minorEastAsia" w:eastAsiaTheme="minorEastAsia"/>
          <w:sz w:val="32"/>
          <w:szCs w:val="32"/>
        </w:rPr>
        <w:t>支出207.10万元，主要用于以下方面：一般公共服务支出189.20万元，占91.36%；社会保障和就业支出支出12.21万元，占5.90%;卫生健康支出2.99万元，占1.44%；住房保障支出2.70万元，占1.30%。</w:t>
      </w:r>
    </w:p>
    <w:p>
      <w:pPr>
        <w:pStyle w:val="5"/>
        <w:ind w:firstLine="803"/>
        <w:rPr>
          <w:rFonts w:asciiTheme="minorEastAsia" w:hAnsiTheme="minorEastAsia" w:eastAsiaTheme="minorEastAsia"/>
          <w:b/>
          <w:sz w:val="32"/>
          <w:szCs w:val="32"/>
        </w:rPr>
      </w:pPr>
      <w:r>
        <w:rPr>
          <w:rFonts w:asciiTheme="minorEastAsia" w:hAnsiTheme="minorEastAsia" w:eastAsiaTheme="minorEastAsia"/>
          <w:b/>
          <w:sz w:val="32"/>
          <w:szCs w:val="32"/>
        </w:rPr>
        <w:t xml:space="preserve">   （三）</w:t>
      </w:r>
      <w:r>
        <w:rPr>
          <w:rFonts w:hint="eastAsia" w:asciiTheme="minorEastAsia" w:hAnsiTheme="minorEastAsia" w:eastAsiaTheme="minorEastAsia"/>
          <w:b/>
          <w:sz w:val="32"/>
          <w:szCs w:val="32"/>
          <w:lang w:eastAsia="zh-CN"/>
        </w:rPr>
        <w:t>财政拨款</w:t>
      </w:r>
      <w:r>
        <w:rPr>
          <w:rFonts w:asciiTheme="minorEastAsia" w:hAnsiTheme="minorEastAsia" w:eastAsiaTheme="minorEastAsia"/>
          <w:b/>
          <w:sz w:val="32"/>
          <w:szCs w:val="32"/>
        </w:rPr>
        <w:t>支出决算具体情况</w:t>
      </w:r>
    </w:p>
    <w:p>
      <w:pPr>
        <w:pStyle w:val="5"/>
        <w:ind w:firstLine="800"/>
        <w:rPr>
          <w:rFonts w:asciiTheme="minorEastAsia" w:hAnsiTheme="minorEastAsia" w:eastAsiaTheme="minorEastAsia"/>
          <w:sz w:val="32"/>
          <w:szCs w:val="32"/>
        </w:rPr>
      </w:pPr>
      <w:r>
        <w:rPr>
          <w:rFonts w:asciiTheme="minorEastAsia" w:hAnsiTheme="minorEastAsia" w:eastAsiaTheme="minorEastAsia"/>
          <w:sz w:val="32"/>
          <w:szCs w:val="32"/>
        </w:rPr>
        <w:t xml:space="preserve">    2019年度</w:t>
      </w:r>
      <w:r>
        <w:rPr>
          <w:rFonts w:hint="eastAsia" w:asciiTheme="minorEastAsia" w:hAnsiTheme="minorEastAsia" w:eastAsiaTheme="minorEastAsia"/>
          <w:sz w:val="32"/>
          <w:szCs w:val="32"/>
          <w:lang w:eastAsia="zh-CN"/>
        </w:rPr>
        <w:t>财政拨款</w:t>
      </w:r>
      <w:r>
        <w:rPr>
          <w:rFonts w:asciiTheme="minorEastAsia" w:hAnsiTheme="minorEastAsia" w:eastAsiaTheme="minorEastAsia"/>
          <w:sz w:val="32"/>
          <w:szCs w:val="32"/>
        </w:rPr>
        <w:t>支出年初预算数为133.47万元，支出决算数为207.1万元，完成年初预算的155.16%，其中：</w:t>
      </w:r>
    </w:p>
    <w:p>
      <w:pPr>
        <w:pStyle w:val="5"/>
        <w:ind w:firstLine="800"/>
        <w:rPr>
          <w:rFonts w:asciiTheme="minorEastAsia" w:hAnsiTheme="minorEastAsia" w:eastAsiaTheme="minorEastAsia"/>
          <w:sz w:val="32"/>
          <w:szCs w:val="32"/>
        </w:rPr>
      </w:pPr>
      <w:r>
        <w:rPr>
          <w:rFonts w:asciiTheme="minorEastAsia" w:hAnsiTheme="minorEastAsia" w:eastAsiaTheme="minorEastAsia"/>
          <w:sz w:val="32"/>
          <w:szCs w:val="32"/>
        </w:rPr>
        <w:t xml:space="preserve">    1、一般公共服务支出</w:t>
      </w:r>
    </w:p>
    <w:p>
      <w:pPr>
        <w:pStyle w:val="5"/>
        <w:ind w:firstLine="960"/>
        <w:rPr>
          <w:rFonts w:asciiTheme="minorEastAsia" w:hAnsiTheme="minorEastAsia" w:eastAsiaTheme="minorEastAsia"/>
          <w:sz w:val="32"/>
          <w:szCs w:val="32"/>
        </w:rPr>
      </w:pPr>
      <w:r>
        <w:rPr>
          <w:rFonts w:asciiTheme="minorEastAsia" w:hAnsiTheme="minorEastAsia" w:eastAsiaTheme="minorEastAsia"/>
          <w:sz w:val="32"/>
          <w:szCs w:val="32"/>
        </w:rPr>
        <w:t>年初预算为115.9万元，支出决算为189.20万元，完成年初预算的163.24%，决算数大于年初预算数的主要原因是：追加项目经费。</w:t>
      </w:r>
    </w:p>
    <w:p>
      <w:pPr>
        <w:pStyle w:val="5"/>
        <w:ind w:firstLine="800"/>
        <w:rPr>
          <w:rFonts w:asciiTheme="minorEastAsia" w:hAnsiTheme="minorEastAsia" w:eastAsiaTheme="minorEastAsia"/>
          <w:sz w:val="32"/>
          <w:szCs w:val="32"/>
        </w:rPr>
      </w:pPr>
      <w:r>
        <w:rPr>
          <w:rFonts w:asciiTheme="minorEastAsia" w:hAnsiTheme="minorEastAsia" w:eastAsiaTheme="minorEastAsia"/>
          <w:sz w:val="32"/>
          <w:szCs w:val="32"/>
        </w:rPr>
        <w:t xml:space="preserve">    2、社会保障和就业支出支出</w:t>
      </w:r>
    </w:p>
    <w:p>
      <w:pPr>
        <w:pStyle w:val="5"/>
        <w:rPr>
          <w:rFonts w:asciiTheme="minorEastAsia" w:hAnsiTheme="minorEastAsia" w:eastAsiaTheme="minorEastAsia"/>
          <w:sz w:val="32"/>
          <w:szCs w:val="32"/>
        </w:rPr>
      </w:pPr>
      <w:r>
        <w:rPr>
          <w:rFonts w:asciiTheme="minorEastAsia" w:hAnsiTheme="minorEastAsia" w:eastAsiaTheme="minorEastAsia"/>
          <w:sz w:val="32"/>
          <w:szCs w:val="32"/>
        </w:rPr>
        <w:t xml:space="preserve">    年初预算为12.21万元，支出决算为12.21万元，完成年初预算的100%</w:t>
      </w:r>
    </w:p>
    <w:p>
      <w:pPr>
        <w:pStyle w:val="5"/>
        <w:ind w:firstLine="960"/>
        <w:rPr>
          <w:rFonts w:asciiTheme="minorEastAsia" w:hAnsiTheme="minorEastAsia" w:eastAsiaTheme="minorEastAsia"/>
          <w:sz w:val="32"/>
          <w:szCs w:val="32"/>
        </w:rPr>
      </w:pPr>
      <w:r>
        <w:rPr>
          <w:rFonts w:asciiTheme="minorEastAsia" w:hAnsiTheme="minorEastAsia" w:eastAsiaTheme="minorEastAsia"/>
          <w:sz w:val="32"/>
          <w:szCs w:val="32"/>
        </w:rPr>
        <w:t xml:space="preserve">    3、卫生健康支出</w:t>
      </w:r>
    </w:p>
    <w:p>
      <w:pPr>
        <w:pStyle w:val="5"/>
        <w:rPr>
          <w:rFonts w:asciiTheme="minorEastAsia" w:hAnsiTheme="minorEastAsia" w:eastAsiaTheme="minorEastAsia"/>
          <w:sz w:val="32"/>
          <w:szCs w:val="32"/>
        </w:rPr>
      </w:pPr>
      <w:r>
        <w:rPr>
          <w:rFonts w:asciiTheme="minorEastAsia" w:hAnsiTheme="minorEastAsia" w:eastAsiaTheme="minorEastAsia"/>
          <w:sz w:val="32"/>
          <w:szCs w:val="32"/>
        </w:rPr>
        <w:t xml:space="preserve">    年初预算为2.48万元，支出决算为2.99万元，完成年初预算的120.56%</w:t>
      </w:r>
    </w:p>
    <w:p>
      <w:pPr>
        <w:pStyle w:val="5"/>
        <w:rPr>
          <w:rFonts w:asciiTheme="minorEastAsia" w:hAnsiTheme="minorEastAsia" w:eastAsiaTheme="minorEastAsia"/>
          <w:sz w:val="32"/>
          <w:szCs w:val="32"/>
        </w:rPr>
      </w:pPr>
      <w:r>
        <w:rPr>
          <w:rFonts w:asciiTheme="minorEastAsia" w:hAnsiTheme="minorEastAsia" w:eastAsiaTheme="minorEastAsia"/>
          <w:sz w:val="32"/>
          <w:szCs w:val="32"/>
        </w:rPr>
        <w:t xml:space="preserve">    4、住房保障支出</w:t>
      </w:r>
    </w:p>
    <w:p>
      <w:pPr>
        <w:pStyle w:val="5"/>
        <w:ind w:firstLine="800"/>
        <w:rPr>
          <w:rFonts w:asciiTheme="minorEastAsia" w:hAnsiTheme="minorEastAsia" w:eastAsiaTheme="minorEastAsia"/>
          <w:sz w:val="32"/>
          <w:szCs w:val="32"/>
        </w:rPr>
      </w:pPr>
      <w:r>
        <w:rPr>
          <w:rFonts w:asciiTheme="minorEastAsia" w:hAnsiTheme="minorEastAsia" w:eastAsiaTheme="minorEastAsia"/>
          <w:sz w:val="32"/>
          <w:szCs w:val="32"/>
        </w:rPr>
        <w:t xml:space="preserve">    年初预算为2.88万元，支出决算为2.70万元，完成年初预算的94%。</w:t>
      </w:r>
    </w:p>
    <w:p>
      <w:pPr>
        <w:pStyle w:val="5"/>
        <w:rPr>
          <w:b/>
          <w:sz w:val="32"/>
          <w:szCs w:val="32"/>
        </w:rPr>
      </w:pPr>
      <w:r>
        <w:rPr>
          <w:b/>
          <w:sz w:val="32"/>
          <w:szCs w:val="32"/>
        </w:rPr>
        <w:t xml:space="preserve">    六、一般公共预算</w:t>
      </w:r>
      <w:r>
        <w:rPr>
          <w:rFonts w:hint="eastAsia"/>
          <w:b/>
          <w:sz w:val="32"/>
          <w:szCs w:val="32"/>
          <w:lang w:eastAsia="zh-CN"/>
        </w:rPr>
        <w:t>财政拨款</w:t>
      </w:r>
      <w:r>
        <w:rPr>
          <w:b/>
          <w:sz w:val="32"/>
          <w:szCs w:val="32"/>
        </w:rPr>
        <w:t>基本支出决算情况说明</w:t>
      </w:r>
    </w:p>
    <w:p>
      <w:pPr>
        <w:pStyle w:val="5"/>
        <w:ind w:firstLine="640"/>
        <w:rPr>
          <w:rFonts w:asciiTheme="minorEastAsia" w:hAnsiTheme="minorEastAsia" w:eastAsiaTheme="minorEastAsia"/>
          <w:sz w:val="32"/>
          <w:szCs w:val="32"/>
        </w:rPr>
      </w:pPr>
      <w:r>
        <w:rPr>
          <w:rFonts w:asciiTheme="minorEastAsia" w:hAnsiTheme="minorEastAsia" w:eastAsiaTheme="minorEastAsia"/>
          <w:sz w:val="32"/>
          <w:szCs w:val="32"/>
        </w:rPr>
        <w:t xml:space="preserve">    2019年度</w:t>
      </w:r>
      <w:r>
        <w:rPr>
          <w:rFonts w:hint="eastAsia" w:asciiTheme="minorEastAsia" w:hAnsiTheme="minorEastAsia" w:eastAsiaTheme="minorEastAsia"/>
          <w:sz w:val="32"/>
          <w:szCs w:val="32"/>
          <w:lang w:eastAsia="zh-CN"/>
        </w:rPr>
        <w:t>财政拨款</w:t>
      </w:r>
      <w:r>
        <w:rPr>
          <w:rFonts w:asciiTheme="minorEastAsia" w:hAnsiTheme="minorEastAsia" w:eastAsiaTheme="minorEastAsia"/>
          <w:sz w:val="32"/>
          <w:szCs w:val="32"/>
        </w:rPr>
        <w:t>基本支出100.11万元，其中：人员经费89.91万元，占基本支出的89.81%,主要包括基本工资、津贴补贴、奖金；公用经费10.20万元，占基本支出的10.19%，主要包括办公费、印刷费、咨询费、手续费、水电费、差旅费、公务接待费等。</w:t>
      </w:r>
    </w:p>
    <w:p>
      <w:pPr>
        <w:pStyle w:val="5"/>
        <w:rPr>
          <w:b/>
          <w:sz w:val="32"/>
          <w:szCs w:val="32"/>
        </w:rPr>
      </w:pPr>
      <w:r>
        <w:rPr>
          <w:b/>
          <w:sz w:val="32"/>
          <w:szCs w:val="32"/>
        </w:rPr>
        <w:t xml:space="preserve">    七、一般公共预算</w:t>
      </w:r>
      <w:r>
        <w:rPr>
          <w:rFonts w:hint="eastAsia"/>
          <w:b/>
          <w:sz w:val="32"/>
          <w:szCs w:val="32"/>
          <w:lang w:eastAsia="zh-CN"/>
        </w:rPr>
        <w:t>财政拨款</w:t>
      </w:r>
      <w:r>
        <w:rPr>
          <w:b/>
          <w:sz w:val="32"/>
          <w:szCs w:val="32"/>
        </w:rPr>
        <w:t>三公经费支出决算情况说明</w:t>
      </w:r>
    </w:p>
    <w:p>
      <w:pPr>
        <w:pStyle w:val="5"/>
        <w:rPr>
          <w:rFonts w:asciiTheme="minorEastAsia" w:hAnsiTheme="minorEastAsia" w:eastAsiaTheme="minorEastAsia"/>
          <w:b/>
          <w:sz w:val="32"/>
          <w:szCs w:val="32"/>
        </w:rPr>
      </w:pPr>
      <w:r>
        <w:rPr>
          <w:rFonts w:asciiTheme="minorEastAsia" w:hAnsiTheme="minorEastAsia" w:eastAsiaTheme="minorEastAsia"/>
          <w:b/>
          <w:sz w:val="32"/>
          <w:szCs w:val="32"/>
        </w:rPr>
        <w:t xml:space="preserve">    （一）“三公”经费</w:t>
      </w:r>
      <w:r>
        <w:rPr>
          <w:rFonts w:hint="eastAsia" w:asciiTheme="minorEastAsia" w:hAnsiTheme="minorEastAsia" w:eastAsiaTheme="minorEastAsia"/>
          <w:b/>
          <w:sz w:val="32"/>
          <w:szCs w:val="32"/>
          <w:lang w:eastAsia="zh-CN"/>
        </w:rPr>
        <w:t>财政拨款</w:t>
      </w:r>
      <w:r>
        <w:rPr>
          <w:rFonts w:asciiTheme="minorEastAsia" w:hAnsiTheme="minorEastAsia" w:eastAsiaTheme="minorEastAsia"/>
          <w:b/>
          <w:sz w:val="32"/>
          <w:szCs w:val="32"/>
        </w:rPr>
        <w:t>支出决算总体情况说明</w:t>
      </w:r>
    </w:p>
    <w:p>
      <w:pPr>
        <w:pStyle w:val="5"/>
        <w:ind w:firstLine="800"/>
        <w:rPr>
          <w:rFonts w:asciiTheme="minorEastAsia" w:hAnsiTheme="minorEastAsia" w:eastAsiaTheme="minorEastAsia"/>
          <w:sz w:val="32"/>
          <w:szCs w:val="32"/>
        </w:rPr>
      </w:pPr>
      <w:r>
        <w:rPr>
          <w:rFonts w:asciiTheme="minorEastAsia" w:hAnsiTheme="minorEastAsia" w:eastAsiaTheme="minorEastAsia"/>
          <w:sz w:val="32"/>
          <w:szCs w:val="32"/>
        </w:rPr>
        <w:t xml:space="preserve">  “三公”经费</w:t>
      </w:r>
      <w:r>
        <w:rPr>
          <w:rFonts w:hint="eastAsia" w:asciiTheme="minorEastAsia" w:hAnsiTheme="minorEastAsia" w:eastAsiaTheme="minorEastAsia"/>
          <w:sz w:val="32"/>
          <w:szCs w:val="32"/>
          <w:lang w:eastAsia="zh-CN"/>
        </w:rPr>
        <w:t>财政拨款</w:t>
      </w:r>
      <w:r>
        <w:rPr>
          <w:rFonts w:asciiTheme="minorEastAsia" w:hAnsiTheme="minorEastAsia" w:eastAsiaTheme="minorEastAsia"/>
          <w:sz w:val="32"/>
          <w:szCs w:val="32"/>
        </w:rPr>
        <w:t>支出预算为4.3万元，支出决算为4.3万元，完成预算的100%，其中：</w:t>
      </w:r>
    </w:p>
    <w:p>
      <w:pPr>
        <w:pStyle w:val="5"/>
        <w:ind w:firstLine="800"/>
        <w:rPr>
          <w:rFonts w:asciiTheme="minorEastAsia" w:hAnsiTheme="minorEastAsia" w:eastAsiaTheme="minorEastAsia"/>
          <w:sz w:val="32"/>
          <w:szCs w:val="32"/>
        </w:rPr>
      </w:pPr>
      <w:r>
        <w:rPr>
          <w:rFonts w:asciiTheme="minorEastAsia" w:hAnsiTheme="minorEastAsia" w:eastAsiaTheme="minorEastAsia"/>
          <w:sz w:val="32"/>
          <w:szCs w:val="32"/>
        </w:rPr>
        <w:t xml:space="preserve">   因公出国（境）费支出预算为0万元，支出决算为0万元0%。</w:t>
      </w:r>
    </w:p>
    <w:p>
      <w:pPr>
        <w:pStyle w:val="5"/>
        <w:ind w:firstLine="800"/>
        <w:rPr>
          <w:rFonts w:asciiTheme="minorEastAsia" w:hAnsiTheme="minorEastAsia" w:eastAsiaTheme="minorEastAsia"/>
          <w:sz w:val="32"/>
          <w:szCs w:val="32"/>
        </w:rPr>
      </w:pPr>
      <w:r>
        <w:rPr>
          <w:rFonts w:asciiTheme="minorEastAsia" w:hAnsiTheme="minorEastAsia" w:eastAsiaTheme="minorEastAsia"/>
          <w:sz w:val="32"/>
          <w:szCs w:val="32"/>
        </w:rPr>
        <w:t xml:space="preserve">   公务接待费支出预算为4.3万元，支出决算为4.3万元，完成预算的100%。</w:t>
      </w:r>
    </w:p>
    <w:p>
      <w:pPr>
        <w:pStyle w:val="5"/>
        <w:ind w:firstLine="960"/>
        <w:rPr>
          <w:rFonts w:asciiTheme="minorEastAsia" w:hAnsiTheme="minorEastAsia" w:eastAsiaTheme="minorEastAsia"/>
          <w:sz w:val="32"/>
          <w:szCs w:val="32"/>
        </w:rPr>
      </w:pPr>
      <w:r>
        <w:rPr>
          <w:rFonts w:asciiTheme="minorEastAsia" w:hAnsiTheme="minorEastAsia" w:eastAsiaTheme="minorEastAsia"/>
          <w:sz w:val="32"/>
          <w:szCs w:val="32"/>
        </w:rPr>
        <w:t xml:space="preserve">   公务用车购置费及运行维护费支出预算为0万元，支出决算为0万元，主要原因是：无公车。</w:t>
      </w:r>
    </w:p>
    <w:p>
      <w:pPr>
        <w:pStyle w:val="5"/>
        <w:rPr>
          <w:rFonts w:asciiTheme="minorEastAsia" w:hAnsiTheme="minorEastAsia" w:eastAsiaTheme="minorEastAsia"/>
          <w:b/>
          <w:sz w:val="32"/>
          <w:szCs w:val="32"/>
        </w:rPr>
      </w:pPr>
      <w:r>
        <w:rPr>
          <w:rFonts w:asciiTheme="minorEastAsia" w:hAnsiTheme="minorEastAsia" w:eastAsiaTheme="minorEastAsia"/>
          <w:b/>
          <w:sz w:val="32"/>
          <w:szCs w:val="32"/>
        </w:rPr>
        <w:t xml:space="preserve">    （二）“三公”经费</w:t>
      </w:r>
      <w:r>
        <w:rPr>
          <w:rFonts w:hint="eastAsia" w:asciiTheme="minorEastAsia" w:hAnsiTheme="minorEastAsia" w:eastAsiaTheme="minorEastAsia"/>
          <w:b/>
          <w:sz w:val="32"/>
          <w:szCs w:val="32"/>
          <w:lang w:eastAsia="zh-CN"/>
        </w:rPr>
        <w:t>财政拨款</w:t>
      </w:r>
      <w:r>
        <w:rPr>
          <w:rFonts w:asciiTheme="minorEastAsia" w:hAnsiTheme="minorEastAsia" w:eastAsiaTheme="minorEastAsia"/>
          <w:b/>
          <w:sz w:val="32"/>
          <w:szCs w:val="32"/>
        </w:rPr>
        <w:t>支出决算具体情况说明</w:t>
      </w:r>
    </w:p>
    <w:p>
      <w:pPr>
        <w:pStyle w:val="5"/>
        <w:ind w:firstLine="640"/>
        <w:rPr>
          <w:rFonts w:asciiTheme="minorEastAsia" w:hAnsiTheme="minorEastAsia" w:eastAsiaTheme="minorEastAsia"/>
          <w:sz w:val="32"/>
          <w:szCs w:val="32"/>
        </w:rPr>
      </w:pPr>
      <w:r>
        <w:rPr>
          <w:rFonts w:asciiTheme="minorEastAsia" w:hAnsiTheme="minorEastAsia" w:eastAsiaTheme="minorEastAsia"/>
          <w:sz w:val="32"/>
          <w:szCs w:val="32"/>
        </w:rPr>
        <w:t xml:space="preserve">     2019年度“三公”经费</w:t>
      </w:r>
      <w:r>
        <w:rPr>
          <w:rFonts w:hint="eastAsia" w:asciiTheme="minorEastAsia" w:hAnsiTheme="minorEastAsia" w:eastAsiaTheme="minorEastAsia"/>
          <w:sz w:val="32"/>
          <w:szCs w:val="32"/>
          <w:lang w:eastAsia="zh-CN"/>
        </w:rPr>
        <w:t>财政拨款</w:t>
      </w:r>
      <w:r>
        <w:rPr>
          <w:rFonts w:asciiTheme="minorEastAsia" w:hAnsiTheme="minorEastAsia" w:eastAsiaTheme="minorEastAsia"/>
          <w:sz w:val="32"/>
          <w:szCs w:val="32"/>
        </w:rPr>
        <w:t>支出决算中，公务接待费支出决算4.3万元，占100%,因公出国（境）费支出决算0万元，占0%,公务用车购置费及运行维护费支出决算0万元，占0%。其中：</w:t>
      </w:r>
    </w:p>
    <w:p>
      <w:pPr>
        <w:pStyle w:val="5"/>
        <w:ind w:firstLine="640"/>
        <w:rPr>
          <w:rFonts w:asciiTheme="minorEastAsia" w:hAnsiTheme="minorEastAsia" w:eastAsiaTheme="minorEastAsia"/>
          <w:b/>
          <w:sz w:val="32"/>
          <w:szCs w:val="32"/>
        </w:rPr>
      </w:pPr>
      <w:r>
        <w:rPr>
          <w:rFonts w:asciiTheme="minorEastAsia" w:hAnsiTheme="minorEastAsia" w:eastAsiaTheme="minorEastAsia"/>
          <w:sz w:val="32"/>
          <w:szCs w:val="32"/>
        </w:rPr>
        <w:t xml:space="preserve">    1、因公出国（境）费支出决算为0万元，全年安排因公出国（境）团组0个，累计0人次。</w:t>
      </w:r>
    </w:p>
    <w:p>
      <w:pPr>
        <w:widowControl/>
        <w:spacing w:line="600" w:lineRule="exact"/>
        <w:ind w:firstLine="640"/>
        <w:rPr>
          <w:rFonts w:asciiTheme="minorEastAsia" w:hAnsiTheme="minorEastAsia" w:cstheme="minorEastAsia"/>
          <w:kern w:val="0"/>
          <w:sz w:val="34"/>
          <w:szCs w:val="34"/>
        </w:rPr>
      </w:pPr>
      <w:r>
        <w:rPr>
          <w:rFonts w:asciiTheme="minorEastAsia" w:hAnsiTheme="minorEastAsia"/>
          <w:sz w:val="32"/>
          <w:szCs w:val="32"/>
        </w:rPr>
        <w:t xml:space="preserve">     2、公务接待费支出决算为4.3万元，全年共接待来访团组</w:t>
      </w:r>
      <w:r>
        <w:rPr>
          <w:rFonts w:hint="eastAsia" w:asciiTheme="minorEastAsia" w:hAnsiTheme="minorEastAsia"/>
          <w:sz w:val="32"/>
          <w:szCs w:val="32"/>
        </w:rPr>
        <w:t>25</w:t>
      </w:r>
      <w:r>
        <w:rPr>
          <w:rFonts w:asciiTheme="minorEastAsia" w:hAnsiTheme="minorEastAsia"/>
          <w:sz w:val="32"/>
          <w:szCs w:val="32"/>
        </w:rPr>
        <w:t>个、来宾8</w:t>
      </w:r>
      <w:r>
        <w:rPr>
          <w:rFonts w:hint="eastAsia" w:asciiTheme="minorEastAsia" w:hAnsiTheme="minorEastAsia"/>
          <w:sz w:val="32"/>
          <w:szCs w:val="32"/>
        </w:rPr>
        <w:t>60</w:t>
      </w:r>
      <w:r>
        <w:rPr>
          <w:rFonts w:asciiTheme="minorEastAsia" w:hAnsiTheme="minorEastAsia"/>
          <w:sz w:val="32"/>
          <w:szCs w:val="32"/>
        </w:rPr>
        <w:t>人次，主要是接待省</w:t>
      </w:r>
      <w:r>
        <w:rPr>
          <w:rFonts w:ascii="方正仿宋_GBK" w:hAnsi="方正仿宋_GBK" w:eastAsia="方正仿宋_GBK" w:cs="方正仿宋_GBK"/>
          <w:kern w:val="0"/>
          <w:sz w:val="34"/>
          <w:szCs w:val="34"/>
        </w:rPr>
        <w:t>、</w:t>
      </w:r>
      <w:r>
        <w:rPr>
          <w:rFonts w:asciiTheme="minorEastAsia" w:hAnsiTheme="minorEastAsia" w:cstheme="minorEastAsia"/>
          <w:kern w:val="0"/>
          <w:sz w:val="32"/>
          <w:szCs w:val="32"/>
        </w:rPr>
        <w:t>市、县及乡镇处理信访事项支出。</w:t>
      </w:r>
    </w:p>
    <w:p>
      <w:pPr>
        <w:ind w:firstLine="800"/>
        <w:rPr>
          <w:rFonts w:cs="黑体" w:asciiTheme="minorEastAsia" w:hAnsiTheme="minorEastAsia"/>
          <w:color w:val="000000"/>
          <w:kern w:val="0"/>
          <w:sz w:val="32"/>
          <w:szCs w:val="32"/>
        </w:rPr>
      </w:pPr>
      <w:r>
        <w:rPr>
          <w:rFonts w:asciiTheme="minorEastAsia" w:hAnsiTheme="minorEastAsia"/>
          <w:sz w:val="32"/>
          <w:szCs w:val="32"/>
        </w:rPr>
        <w:t xml:space="preserve">    3、</w:t>
      </w:r>
      <w:r>
        <w:rPr>
          <w:rFonts w:hint="eastAsia" w:asciiTheme="minorEastAsia" w:hAnsiTheme="minorEastAsia"/>
          <w:sz w:val="32"/>
          <w:szCs w:val="32"/>
        </w:rPr>
        <w:t>本年度单位没有公务用车，本年车辆保有量为0辆，本年新增车辆数为0辆</w:t>
      </w:r>
      <w:r>
        <w:rPr>
          <w:rFonts w:asciiTheme="minorEastAsia" w:hAnsiTheme="minorEastAsia"/>
          <w:sz w:val="32"/>
          <w:szCs w:val="32"/>
        </w:rPr>
        <w:t>。</w:t>
      </w:r>
    </w:p>
    <w:p>
      <w:pPr>
        <w:pStyle w:val="5"/>
        <w:rPr>
          <w:b/>
          <w:sz w:val="32"/>
          <w:szCs w:val="32"/>
        </w:rPr>
      </w:pPr>
      <w:r>
        <w:rPr>
          <w:b/>
          <w:sz w:val="32"/>
          <w:szCs w:val="32"/>
        </w:rPr>
        <w:t xml:space="preserve">   八、政府性基金预算收入支出决算情况</w:t>
      </w:r>
    </w:p>
    <w:p>
      <w:pPr>
        <w:pStyle w:val="5"/>
        <w:rPr>
          <w:rFonts w:asciiTheme="minorEastAsia" w:hAnsiTheme="minorEastAsia" w:eastAsiaTheme="minorEastAsia"/>
          <w:i/>
          <w:color w:val="FF0000"/>
          <w:sz w:val="32"/>
          <w:szCs w:val="32"/>
        </w:rPr>
      </w:pPr>
      <w:r>
        <w:rPr>
          <w:rFonts w:asciiTheme="minorEastAsia" w:hAnsiTheme="minorEastAsia" w:eastAsiaTheme="minorEastAsia"/>
          <w:sz w:val="32"/>
          <w:szCs w:val="32"/>
        </w:rPr>
        <w:t xml:space="preserve">   2019年度无政府性基金预算</w:t>
      </w:r>
      <w:r>
        <w:rPr>
          <w:rFonts w:hint="eastAsia" w:asciiTheme="minorEastAsia" w:hAnsiTheme="minorEastAsia" w:eastAsiaTheme="minorEastAsia"/>
          <w:sz w:val="32"/>
          <w:szCs w:val="32"/>
          <w:lang w:eastAsia="zh-CN"/>
        </w:rPr>
        <w:t>财政拨款</w:t>
      </w:r>
      <w:r>
        <w:rPr>
          <w:rFonts w:asciiTheme="minorEastAsia" w:hAnsiTheme="minorEastAsia" w:eastAsiaTheme="minorEastAsia"/>
          <w:sz w:val="32"/>
          <w:szCs w:val="32"/>
        </w:rPr>
        <w:t>收支。</w:t>
      </w:r>
    </w:p>
    <w:p>
      <w:pPr>
        <w:pStyle w:val="5"/>
        <w:rPr>
          <w:b/>
          <w:sz w:val="32"/>
          <w:szCs w:val="32"/>
        </w:rPr>
      </w:pPr>
      <w:r>
        <w:rPr>
          <w:b/>
          <w:sz w:val="32"/>
          <w:szCs w:val="32"/>
        </w:rPr>
        <w:t xml:space="preserve">   九、关于2019年度预算绩效情况说明</w:t>
      </w:r>
    </w:p>
    <w:p>
      <w:pPr>
        <w:ind w:firstLine="800"/>
        <w:rPr>
          <w:rFonts w:cs="黑体" w:asciiTheme="minorEastAsia" w:hAnsiTheme="minorEastAsia"/>
          <w:color w:val="000000"/>
          <w:kern w:val="0"/>
          <w:sz w:val="32"/>
          <w:szCs w:val="32"/>
        </w:rPr>
      </w:pPr>
      <w:r>
        <w:t xml:space="preserve"> </w:t>
      </w:r>
      <w:r>
        <w:rPr>
          <w:rFonts w:asciiTheme="minorEastAsia" w:hAnsiTheme="minorEastAsia"/>
          <w:sz w:val="32"/>
          <w:szCs w:val="32"/>
        </w:rPr>
        <w:t xml:space="preserve">  </w:t>
      </w:r>
      <w:r>
        <w:rPr>
          <w:rFonts w:asciiTheme="minorEastAsia" w:hAnsiTheme="minorEastAsia" w:cstheme="minorEastAsia"/>
          <w:kern w:val="0"/>
          <w:sz w:val="32"/>
          <w:szCs w:val="32"/>
        </w:rPr>
        <w:t xml:space="preserve"> </w:t>
      </w:r>
      <w:r>
        <w:rPr>
          <w:rFonts w:eastAsia="宋体" w:cs="宋体" w:asciiTheme="minorEastAsia" w:hAnsiTheme="minorEastAsia"/>
          <w:sz w:val="32"/>
          <w:szCs w:val="32"/>
        </w:rPr>
        <w:t>2019</w:t>
      </w:r>
      <w:r>
        <w:rPr>
          <w:rFonts w:cs="宋体" w:asciiTheme="minorEastAsia" w:hAnsiTheme="minorEastAsia"/>
          <w:sz w:val="32"/>
          <w:szCs w:val="32"/>
        </w:rPr>
        <w:t>年，我局积极履职，强化管理，较好的完成了年度工作目标。通过加强预算收支的管理，不断建立健全内部控制管理制度，理顺内部管理流程，部门整体支出管理情况得到了提升。部门整体支出绩效较好，提前完成了各项目标任务。</w:t>
      </w:r>
    </w:p>
    <w:p>
      <w:pPr>
        <w:pStyle w:val="5"/>
        <w:rPr>
          <w:b/>
          <w:sz w:val="32"/>
          <w:szCs w:val="32"/>
        </w:rPr>
      </w:pPr>
      <w:r>
        <w:rPr>
          <w:b/>
          <w:sz w:val="32"/>
          <w:szCs w:val="32"/>
        </w:rPr>
        <w:t xml:space="preserve">   十、其他重要事项情况说明</w:t>
      </w:r>
    </w:p>
    <w:p>
      <w:pPr>
        <w:ind w:firstLine="482"/>
        <w:rPr>
          <w:rFonts w:cs="黑体" w:asciiTheme="minorEastAsia" w:hAnsiTheme="minorEastAsia"/>
          <w:b/>
          <w:color w:val="000000"/>
          <w:kern w:val="0"/>
          <w:sz w:val="32"/>
          <w:szCs w:val="32"/>
        </w:rPr>
      </w:pPr>
      <w:r>
        <w:rPr>
          <w:rFonts w:cs="黑体" w:asciiTheme="minorEastAsia" w:hAnsiTheme="minorEastAsia"/>
          <w:b/>
          <w:color w:val="000000"/>
          <w:kern w:val="0"/>
          <w:sz w:val="32"/>
          <w:szCs w:val="32"/>
        </w:rPr>
        <w:t xml:space="preserve">  （一）机关运行经费支出情况</w:t>
      </w:r>
    </w:p>
    <w:p>
      <w:pPr>
        <w:ind w:firstLine="640"/>
        <w:rPr>
          <w:rFonts w:cs="黑体" w:asciiTheme="minorEastAsia" w:hAnsiTheme="minorEastAsia"/>
          <w:kern w:val="0"/>
          <w:sz w:val="32"/>
          <w:szCs w:val="32"/>
        </w:rPr>
      </w:pPr>
      <w:r>
        <w:rPr>
          <w:rFonts w:cs="黑体" w:asciiTheme="minorEastAsia" w:hAnsiTheme="minorEastAsia"/>
          <w:color w:val="000000"/>
          <w:kern w:val="0"/>
          <w:sz w:val="32"/>
          <w:szCs w:val="32"/>
        </w:rPr>
        <w:t xml:space="preserve">   本部门2019 年度机关运行经费支出10.20万元，比年初预算数增加5.4万元，增长112.5%。主要原因是：</w:t>
      </w:r>
      <w:r>
        <w:rPr>
          <w:rFonts w:cs="黑体" w:asciiTheme="minorEastAsia" w:hAnsiTheme="minorEastAsia"/>
          <w:kern w:val="0"/>
          <w:sz w:val="32"/>
          <w:szCs w:val="32"/>
        </w:rPr>
        <w:t>年初预算经费不足。</w:t>
      </w:r>
    </w:p>
    <w:p>
      <w:pPr>
        <w:ind w:firstLine="643"/>
        <w:rPr>
          <w:rFonts w:cs="黑体" w:asciiTheme="minorEastAsia" w:hAnsiTheme="minorEastAsia"/>
          <w:b/>
          <w:color w:val="000000"/>
          <w:kern w:val="0"/>
          <w:sz w:val="32"/>
          <w:szCs w:val="32"/>
        </w:rPr>
      </w:pPr>
      <w:r>
        <w:rPr>
          <w:rFonts w:cs="黑体" w:asciiTheme="minorEastAsia" w:hAnsiTheme="minorEastAsia"/>
          <w:b/>
          <w:color w:val="000000"/>
          <w:kern w:val="0"/>
          <w:sz w:val="32"/>
          <w:szCs w:val="32"/>
        </w:rPr>
        <w:t xml:space="preserve">   （二）一般性支出情况</w:t>
      </w:r>
    </w:p>
    <w:p>
      <w:pPr>
        <w:ind w:firstLine="640"/>
        <w:rPr>
          <w:rFonts w:cs="黑体" w:asciiTheme="minorEastAsia" w:hAnsiTheme="minorEastAsia"/>
          <w:kern w:val="0"/>
          <w:sz w:val="32"/>
          <w:szCs w:val="32"/>
        </w:rPr>
      </w:pPr>
      <w:r>
        <w:rPr>
          <w:rFonts w:cs="黑体" w:asciiTheme="minorEastAsia" w:hAnsiTheme="minorEastAsia"/>
          <w:color w:val="000000"/>
          <w:kern w:val="0"/>
          <w:sz w:val="32"/>
          <w:szCs w:val="32"/>
        </w:rPr>
        <w:t xml:space="preserve">    2019年本部门开支会议费4.18万元，用于召</w:t>
      </w:r>
      <w:r>
        <w:rPr>
          <w:rFonts w:cs="黑体" w:asciiTheme="minorEastAsia" w:hAnsiTheme="minorEastAsia"/>
          <w:kern w:val="0"/>
          <w:sz w:val="32"/>
          <w:szCs w:val="32"/>
        </w:rPr>
        <w:t>开信访工作会议；开支培训费1.06万元，用于开展信访业务培训。</w:t>
      </w:r>
    </w:p>
    <w:p>
      <w:pPr>
        <w:ind w:firstLine="643"/>
        <w:rPr>
          <w:rFonts w:cs="黑体" w:asciiTheme="minorEastAsia" w:hAnsiTheme="minorEastAsia"/>
          <w:b/>
          <w:kern w:val="0"/>
          <w:sz w:val="32"/>
          <w:szCs w:val="32"/>
        </w:rPr>
      </w:pPr>
      <w:r>
        <w:rPr>
          <w:rFonts w:cs="黑体" w:asciiTheme="minorEastAsia" w:hAnsiTheme="minorEastAsia"/>
          <w:b/>
          <w:kern w:val="0"/>
          <w:sz w:val="32"/>
          <w:szCs w:val="32"/>
        </w:rPr>
        <w:t xml:space="preserve">  （三）政府采购支出情况</w:t>
      </w:r>
    </w:p>
    <w:p>
      <w:pPr>
        <w:ind w:firstLine="640"/>
        <w:rPr>
          <w:rFonts w:cs="黑体" w:asciiTheme="minorEastAsia" w:hAnsiTheme="minorEastAsia"/>
          <w:i/>
          <w:color w:val="FF0000"/>
          <w:kern w:val="0"/>
          <w:sz w:val="32"/>
          <w:szCs w:val="32"/>
        </w:rPr>
      </w:pPr>
      <w:r>
        <w:rPr>
          <w:rFonts w:cs="黑体" w:asciiTheme="minorEastAsia" w:hAnsiTheme="minorEastAsia"/>
          <w:color w:val="000000"/>
          <w:kern w:val="0"/>
          <w:sz w:val="32"/>
          <w:szCs w:val="32"/>
        </w:rPr>
        <w:t xml:space="preserve">   本部门2019年度政府采购支出总额42.1万元，其中：政府采购货物支出16.5万元、政府采购工程支出7.3万元、政府采购服务支出18.37万元。授予中小企业合同金额0万元，占政府采购支出总额的0%，其中：授予小微企业合同金额0万元，占政府采购支出总额的0%。</w:t>
      </w:r>
    </w:p>
    <w:p>
      <w:pPr>
        <w:ind w:firstLine="482"/>
        <w:rPr>
          <w:rFonts w:cs="黑体" w:asciiTheme="minorEastAsia" w:hAnsiTheme="minorEastAsia"/>
          <w:b/>
          <w:color w:val="000000"/>
          <w:kern w:val="0"/>
          <w:sz w:val="32"/>
          <w:szCs w:val="32"/>
        </w:rPr>
      </w:pPr>
      <w:r>
        <w:rPr>
          <w:rFonts w:cs="黑体" w:asciiTheme="minorEastAsia" w:hAnsiTheme="minorEastAsia"/>
          <w:b/>
          <w:color w:val="000000"/>
          <w:kern w:val="0"/>
          <w:sz w:val="32"/>
          <w:szCs w:val="32"/>
        </w:rPr>
        <w:t xml:space="preserve">   （四）国有资产占用情况</w:t>
      </w:r>
    </w:p>
    <w:p>
      <w:pPr>
        <w:ind w:firstLine="640"/>
        <w:rPr>
          <w:rFonts w:cs="黑体" w:asciiTheme="minorEastAsia" w:hAnsiTheme="minorEastAsia"/>
          <w:color w:val="000000"/>
          <w:kern w:val="0"/>
          <w:sz w:val="32"/>
          <w:szCs w:val="32"/>
        </w:rPr>
      </w:pPr>
      <w:r>
        <w:rPr>
          <w:rFonts w:cs="黑体" w:asciiTheme="minorEastAsia" w:hAnsiTheme="minorEastAsia"/>
          <w:color w:val="000000"/>
          <w:kern w:val="0"/>
          <w:sz w:val="32"/>
          <w:szCs w:val="32"/>
        </w:rPr>
        <w:t xml:space="preserve">   截至2019年12月31日，本单位固定资产原值51.05万元，其中：办公电脑、打印机等通用设备46.75万元；办公桌椅、会议桌椅、文件柜等办公家具4.3万元。本年增加采购货物16.5万元，占32.32%。本单位共有车辆0辆。单位价值50万元以上通用设备0台（套）；单位价值100万元以上专用设备0台（套）。</w:t>
      </w:r>
    </w:p>
    <w:p>
      <w:pPr>
        <w:ind w:firstLine="640"/>
        <w:rPr>
          <w:rFonts w:cs="黑体" w:asciiTheme="minorEastAsia" w:hAnsiTheme="minorEastAsia"/>
          <w:color w:val="000000"/>
          <w:kern w:val="0"/>
          <w:sz w:val="32"/>
          <w:szCs w:val="32"/>
        </w:rPr>
      </w:pPr>
      <w:r>
        <w:rPr>
          <w:rFonts w:cs="黑体" w:asciiTheme="minorEastAsia" w:hAnsiTheme="minorEastAsia"/>
          <w:color w:val="000000"/>
          <w:kern w:val="0"/>
          <w:sz w:val="32"/>
          <w:szCs w:val="32"/>
        </w:rPr>
        <w:t>。</w:t>
      </w:r>
    </w:p>
    <w:p>
      <w:pPr>
        <w:widowControl/>
        <w:jc w:val="left"/>
        <w:rPr>
          <w:rFonts w:cs="黑体" w:asciiTheme="minorEastAsia" w:hAnsiTheme="minorEastAsia"/>
          <w:color w:val="000000"/>
          <w:kern w:val="0"/>
          <w:sz w:val="32"/>
          <w:szCs w:val="32"/>
        </w:rPr>
      </w:pPr>
      <w:r>
        <w:br w:type="page"/>
      </w:r>
    </w:p>
    <w:p>
      <w:pPr>
        <w:ind w:firstLine="640"/>
        <w:rPr>
          <w:rFonts w:cs="黑体" w:asciiTheme="minorEastAsia" w:hAnsiTheme="minorEastAsia"/>
          <w:color w:val="000000"/>
          <w:kern w:val="0"/>
          <w:sz w:val="32"/>
          <w:szCs w:val="32"/>
        </w:rPr>
      </w:pPr>
    </w:p>
    <w:p>
      <w:pPr>
        <w:pStyle w:val="5"/>
        <w:jc w:val="center"/>
        <w:rPr>
          <w:sz w:val="72"/>
          <w:szCs w:val="72"/>
        </w:rPr>
      </w:pPr>
    </w:p>
    <w:p>
      <w:pPr>
        <w:pStyle w:val="5"/>
        <w:jc w:val="center"/>
        <w:rPr>
          <w:sz w:val="72"/>
          <w:szCs w:val="72"/>
        </w:rPr>
      </w:pPr>
    </w:p>
    <w:p>
      <w:pPr>
        <w:pStyle w:val="5"/>
        <w:jc w:val="center"/>
        <w:rPr>
          <w:sz w:val="72"/>
          <w:szCs w:val="72"/>
        </w:rPr>
      </w:pPr>
    </w:p>
    <w:p>
      <w:pPr>
        <w:pStyle w:val="5"/>
        <w:jc w:val="center"/>
        <w:rPr>
          <w:sz w:val="72"/>
          <w:szCs w:val="72"/>
        </w:rPr>
      </w:pPr>
    </w:p>
    <w:p>
      <w:pPr>
        <w:pStyle w:val="5"/>
        <w:jc w:val="center"/>
        <w:rPr>
          <w:sz w:val="72"/>
          <w:szCs w:val="72"/>
        </w:rPr>
      </w:pPr>
    </w:p>
    <w:p>
      <w:pPr>
        <w:pStyle w:val="5"/>
        <w:jc w:val="center"/>
        <w:rPr>
          <w:sz w:val="72"/>
          <w:szCs w:val="72"/>
        </w:rPr>
      </w:pPr>
    </w:p>
    <w:p>
      <w:pPr>
        <w:pStyle w:val="5"/>
        <w:jc w:val="center"/>
        <w:rPr>
          <w:sz w:val="72"/>
          <w:szCs w:val="72"/>
        </w:rPr>
      </w:pPr>
      <w:r>
        <w:rPr>
          <w:sz w:val="72"/>
          <w:szCs w:val="72"/>
        </w:rPr>
        <w:t>第四部分</w:t>
      </w:r>
    </w:p>
    <w:p>
      <w:pPr>
        <w:jc w:val="center"/>
        <w:rPr>
          <w:rFonts w:ascii="黑体" w:hAnsi="黑体" w:eastAsia="黑体" w:cs="黑体"/>
          <w:color w:val="000000"/>
          <w:kern w:val="0"/>
          <w:sz w:val="70"/>
          <w:szCs w:val="70"/>
        </w:rPr>
      </w:pPr>
    </w:p>
    <w:p>
      <w:pPr>
        <w:jc w:val="center"/>
        <w:rPr>
          <w:rFonts w:ascii="黑体" w:hAnsi="黑体" w:eastAsia="黑体" w:cs="黑体"/>
          <w:color w:val="000000"/>
          <w:kern w:val="0"/>
          <w:sz w:val="70"/>
          <w:szCs w:val="70"/>
        </w:rPr>
      </w:pPr>
      <w:r>
        <w:rPr>
          <w:rFonts w:ascii="黑体" w:hAnsi="黑体" w:eastAsia="黑体" w:cs="黑体"/>
          <w:color w:val="000000"/>
          <w:kern w:val="0"/>
          <w:sz w:val="70"/>
          <w:szCs w:val="70"/>
        </w:rPr>
        <w:t>名词解释</w:t>
      </w:r>
    </w:p>
    <w:p>
      <w:pPr>
        <w:widowControl/>
        <w:jc w:val="left"/>
        <w:rPr>
          <w:rFonts w:ascii="黑体" w:hAnsi="黑体" w:eastAsia="黑体" w:cs="黑体"/>
          <w:color w:val="000000"/>
          <w:kern w:val="0"/>
          <w:sz w:val="70"/>
          <w:szCs w:val="70"/>
        </w:rPr>
      </w:pPr>
      <w:r>
        <w:br w:type="page"/>
      </w:r>
    </w:p>
    <w:p>
      <w:pPr>
        <w:jc w:val="left"/>
        <w:rPr>
          <w:rFonts w:cs="黑体" w:asciiTheme="minorEastAsia" w:hAnsiTheme="minorEastAsia"/>
          <w:color w:val="000000"/>
          <w:kern w:val="0"/>
          <w:sz w:val="32"/>
          <w:szCs w:val="32"/>
        </w:rPr>
      </w:pPr>
    </w:p>
    <w:p>
      <w:pPr>
        <w:widowControl/>
        <w:spacing w:line="600" w:lineRule="exact"/>
        <w:ind w:firstLine="680"/>
        <w:rPr>
          <w:rFonts w:asciiTheme="minorEastAsia" w:hAnsiTheme="minorEastAsia" w:cstheme="minorEastAsia"/>
          <w:kern w:val="0"/>
          <w:sz w:val="34"/>
          <w:szCs w:val="34"/>
        </w:rPr>
      </w:pPr>
      <w:r>
        <w:rPr>
          <w:rFonts w:ascii="方正仿宋_GBK" w:hAnsi="方正仿宋_GBK" w:eastAsia="方正仿宋_GBK" w:cs="方正仿宋_GBK"/>
          <w:b/>
          <w:kern w:val="0"/>
          <w:sz w:val="34"/>
          <w:szCs w:val="34"/>
        </w:rPr>
        <w:t>一、</w:t>
      </w:r>
      <w:r>
        <w:rPr>
          <w:rFonts w:hint="eastAsia" w:ascii="方正仿宋_GBK" w:hAnsi="方正仿宋_GBK" w:eastAsia="方正仿宋_GBK" w:cs="方正仿宋_GBK"/>
          <w:b/>
          <w:kern w:val="0"/>
          <w:sz w:val="34"/>
          <w:szCs w:val="34"/>
          <w:lang w:eastAsia="zh-CN"/>
        </w:rPr>
        <w:t>财政拨款</w:t>
      </w:r>
      <w:r>
        <w:rPr>
          <w:rFonts w:ascii="方正仿宋_GBK" w:hAnsi="方正仿宋_GBK" w:eastAsia="方正仿宋_GBK" w:cs="方正仿宋_GBK"/>
          <w:b/>
          <w:kern w:val="0"/>
          <w:sz w:val="34"/>
          <w:szCs w:val="34"/>
        </w:rPr>
        <w:t>收入：</w:t>
      </w:r>
      <w:r>
        <w:rPr>
          <w:rFonts w:asciiTheme="minorEastAsia" w:hAnsiTheme="minorEastAsia" w:cstheme="minorEastAsia"/>
          <w:kern w:val="0"/>
          <w:sz w:val="34"/>
          <w:szCs w:val="34"/>
        </w:rPr>
        <w:t>指财政部门核拨给单位的财政预算资金。</w:t>
      </w:r>
    </w:p>
    <w:p>
      <w:pPr>
        <w:widowControl/>
        <w:spacing w:line="600" w:lineRule="exact"/>
        <w:ind w:firstLine="680"/>
        <w:rPr>
          <w:rFonts w:asciiTheme="minorEastAsia" w:hAnsiTheme="minorEastAsia" w:cstheme="minorEastAsia"/>
          <w:kern w:val="0"/>
          <w:sz w:val="34"/>
          <w:szCs w:val="34"/>
        </w:rPr>
      </w:pPr>
      <w:r>
        <w:rPr>
          <w:rFonts w:ascii="方正仿宋_GBK" w:hAnsi="方正仿宋_GBK" w:eastAsia="方正仿宋_GBK" w:cs="方正仿宋_GBK"/>
          <w:b/>
          <w:kern w:val="0"/>
          <w:sz w:val="34"/>
          <w:szCs w:val="34"/>
        </w:rPr>
        <w:t>二、事业收入：</w:t>
      </w:r>
      <w:r>
        <w:rPr>
          <w:rFonts w:asciiTheme="minorEastAsia" w:hAnsiTheme="minorEastAsia" w:cstheme="minorEastAsia"/>
          <w:kern w:val="0"/>
          <w:sz w:val="34"/>
          <w:szCs w:val="34"/>
        </w:rPr>
        <w:t>指事业单位开展专业业务活动及辅助活动所取得的收入。</w:t>
      </w:r>
    </w:p>
    <w:p>
      <w:pPr>
        <w:widowControl/>
        <w:spacing w:line="600" w:lineRule="exact"/>
        <w:ind w:firstLine="680"/>
        <w:rPr>
          <w:rFonts w:asciiTheme="minorEastAsia" w:hAnsiTheme="minorEastAsia" w:cstheme="minorEastAsia"/>
          <w:kern w:val="0"/>
          <w:sz w:val="34"/>
          <w:szCs w:val="34"/>
        </w:rPr>
      </w:pPr>
      <w:r>
        <w:rPr>
          <w:rFonts w:ascii="方正仿宋_GBK" w:hAnsi="方正仿宋_GBK" w:eastAsia="方正仿宋_GBK" w:cs="方正仿宋_GBK"/>
          <w:b/>
          <w:kern w:val="0"/>
          <w:sz w:val="34"/>
          <w:szCs w:val="34"/>
        </w:rPr>
        <w:t>三、附属单位上缴收入：</w:t>
      </w:r>
      <w:r>
        <w:rPr>
          <w:rFonts w:asciiTheme="minorEastAsia" w:hAnsiTheme="minorEastAsia" w:cstheme="minorEastAsia"/>
          <w:kern w:val="0"/>
          <w:sz w:val="34"/>
          <w:szCs w:val="34"/>
        </w:rPr>
        <w:t>指事业单位附属独立核算单位按有关规定上缴的收入。</w:t>
      </w:r>
    </w:p>
    <w:p>
      <w:pPr>
        <w:widowControl/>
        <w:spacing w:line="600" w:lineRule="exact"/>
        <w:ind w:firstLine="680"/>
        <w:rPr>
          <w:rFonts w:ascii="方正仿宋_GBK" w:hAnsi="方正仿宋_GBK" w:eastAsia="方正仿宋_GBK" w:cs="方正仿宋_GBK"/>
          <w:kern w:val="0"/>
          <w:sz w:val="34"/>
          <w:szCs w:val="34"/>
        </w:rPr>
      </w:pPr>
      <w:r>
        <w:rPr>
          <w:rFonts w:ascii="方正仿宋_GBK" w:hAnsi="方正仿宋_GBK" w:eastAsia="方正仿宋_GBK" w:cs="方正仿宋_GBK"/>
          <w:b/>
          <w:kern w:val="0"/>
          <w:sz w:val="34"/>
          <w:szCs w:val="34"/>
        </w:rPr>
        <w:t>四、其他收入：</w:t>
      </w:r>
      <w:r>
        <w:rPr>
          <w:rFonts w:asciiTheme="minorEastAsia" w:hAnsiTheme="minorEastAsia" w:cstheme="minorEastAsia"/>
          <w:kern w:val="0"/>
          <w:sz w:val="34"/>
          <w:szCs w:val="34"/>
        </w:rPr>
        <w:t>指单位取得的除上述“</w:t>
      </w:r>
      <w:r>
        <w:rPr>
          <w:rFonts w:hint="eastAsia" w:asciiTheme="minorEastAsia" w:hAnsiTheme="minorEastAsia" w:cstheme="minorEastAsia"/>
          <w:kern w:val="0"/>
          <w:sz w:val="34"/>
          <w:szCs w:val="34"/>
          <w:lang w:eastAsia="zh-CN"/>
        </w:rPr>
        <w:t>财政拨款</w:t>
      </w:r>
      <w:r>
        <w:rPr>
          <w:rFonts w:asciiTheme="minorEastAsia" w:hAnsiTheme="minorEastAsia" w:cstheme="minorEastAsia"/>
          <w:kern w:val="0"/>
          <w:sz w:val="34"/>
          <w:szCs w:val="34"/>
        </w:rPr>
        <w:t>收入”、“事业收入”、“附属单位上缴收入”等以外的收入。</w:t>
      </w:r>
    </w:p>
    <w:p>
      <w:pPr>
        <w:widowControl/>
        <w:spacing w:line="600" w:lineRule="exact"/>
        <w:ind w:firstLine="680"/>
        <w:rPr>
          <w:rFonts w:asciiTheme="minorEastAsia" w:hAnsiTheme="minorEastAsia" w:cstheme="minorEastAsia"/>
          <w:kern w:val="0"/>
          <w:sz w:val="34"/>
          <w:szCs w:val="34"/>
        </w:rPr>
      </w:pPr>
      <w:r>
        <w:rPr>
          <w:rFonts w:ascii="方正仿宋_GBK" w:hAnsi="方正仿宋_GBK" w:eastAsia="方正仿宋_GBK" w:cs="方正仿宋_GBK"/>
          <w:b/>
          <w:kern w:val="0"/>
          <w:sz w:val="34"/>
          <w:szCs w:val="34"/>
        </w:rPr>
        <w:t>五、年初结转和结余：</w:t>
      </w:r>
      <w:r>
        <w:rPr>
          <w:rFonts w:asciiTheme="minorEastAsia" w:hAnsiTheme="minorEastAsia" w:cstheme="minorEastAsia"/>
          <w:kern w:val="0"/>
          <w:sz w:val="34"/>
          <w:szCs w:val="34"/>
        </w:rPr>
        <w:t>指以前年度尚未完成、结转到本年仍按有关规定继续使用的资金。</w:t>
      </w:r>
    </w:p>
    <w:p>
      <w:pPr>
        <w:widowControl/>
        <w:tabs>
          <w:tab w:val="left" w:pos="2635"/>
        </w:tabs>
        <w:spacing w:line="600" w:lineRule="exact"/>
        <w:ind w:firstLine="680"/>
        <w:rPr>
          <w:rFonts w:asciiTheme="minorEastAsia" w:hAnsiTheme="minorEastAsia" w:cstheme="minorEastAsia"/>
          <w:kern w:val="0"/>
          <w:sz w:val="34"/>
          <w:szCs w:val="34"/>
        </w:rPr>
      </w:pPr>
      <w:r>
        <w:rPr>
          <w:rFonts w:ascii="方正仿宋_GBK" w:hAnsi="方正仿宋_GBK" w:eastAsia="方正仿宋_GBK" w:cs="方正仿宋_GBK"/>
          <w:b/>
          <w:kern w:val="0"/>
          <w:sz w:val="34"/>
          <w:szCs w:val="34"/>
        </w:rPr>
        <w:t>六、用事业基金弥补收支差额：</w:t>
      </w:r>
      <w:r>
        <w:rPr>
          <w:rFonts w:asciiTheme="minorEastAsia" w:hAnsiTheme="minorEastAsia" w:cstheme="minorEastAsia"/>
          <w:kern w:val="0"/>
          <w:sz w:val="34"/>
          <w:szCs w:val="34"/>
        </w:rPr>
        <w:t>指事业单位在当年的“</w:t>
      </w:r>
      <w:r>
        <w:rPr>
          <w:rFonts w:hint="eastAsia" w:asciiTheme="minorEastAsia" w:hAnsiTheme="minorEastAsia" w:cstheme="minorEastAsia"/>
          <w:kern w:val="0"/>
          <w:sz w:val="34"/>
          <w:szCs w:val="34"/>
          <w:lang w:eastAsia="zh-CN"/>
        </w:rPr>
        <w:t>财政拨款</w:t>
      </w:r>
      <w:r>
        <w:rPr>
          <w:rFonts w:asciiTheme="minorEastAsia" w:hAnsiTheme="minorEastAsia" w:cstheme="minorEastAsia"/>
          <w:kern w:val="0"/>
          <w:sz w:val="34"/>
          <w:szCs w:val="34"/>
        </w:rPr>
        <w:t>收入”、“事业收入”、“经营收入”和“其他收入”不足以安排当年支出的情况下，使用以前年度积累的事业基金（即事业单位以前各年度收支相抵后，按国家规定提取、用于弥补以后年度收支差额的基金）弥补本年收支缺口的资金。</w:t>
      </w:r>
    </w:p>
    <w:p>
      <w:pPr>
        <w:widowControl/>
        <w:spacing w:line="600" w:lineRule="exact"/>
        <w:ind w:firstLine="680"/>
        <w:rPr>
          <w:rFonts w:ascii="方正仿宋_GBK" w:hAnsi="方正仿宋_GBK" w:eastAsia="方正仿宋_GBK" w:cs="方正仿宋_GBK"/>
          <w:bCs/>
          <w:kern w:val="0"/>
          <w:sz w:val="34"/>
          <w:szCs w:val="34"/>
        </w:rPr>
      </w:pPr>
      <w:r>
        <w:rPr>
          <w:rFonts w:ascii="方正仿宋_GBK" w:hAnsi="方正仿宋_GBK" w:eastAsia="方正仿宋_GBK" w:cs="方正仿宋_GBK"/>
          <w:b/>
          <w:kern w:val="0"/>
          <w:sz w:val="34"/>
          <w:szCs w:val="34"/>
        </w:rPr>
        <w:t>七、卫生健康支出（类）行政事业单位医疗（款）其他行政事业单位医疗支出（项）：</w:t>
      </w:r>
      <w:r>
        <w:rPr>
          <w:rFonts w:asciiTheme="minorEastAsia" w:hAnsiTheme="minorEastAsia" w:cstheme="minorEastAsia"/>
          <w:bCs/>
          <w:kern w:val="0"/>
          <w:sz w:val="34"/>
          <w:szCs w:val="34"/>
        </w:rPr>
        <w:t>指单位医疗保障经费</w:t>
      </w:r>
      <w:r>
        <w:rPr>
          <w:rFonts w:ascii="方正仿宋_GBK" w:hAnsi="方正仿宋_GBK" w:eastAsia="方正仿宋_GBK" w:cs="方正仿宋_GBK"/>
          <w:bCs/>
          <w:kern w:val="0"/>
          <w:sz w:val="34"/>
          <w:szCs w:val="34"/>
        </w:rPr>
        <w:t>。</w:t>
      </w:r>
    </w:p>
    <w:p>
      <w:pPr>
        <w:widowControl/>
        <w:spacing w:line="600" w:lineRule="exact"/>
        <w:ind w:firstLine="680"/>
        <w:rPr>
          <w:rFonts w:asciiTheme="minorEastAsia" w:hAnsiTheme="minorEastAsia" w:cstheme="minorEastAsia"/>
          <w:kern w:val="0"/>
          <w:sz w:val="34"/>
          <w:szCs w:val="34"/>
        </w:rPr>
      </w:pPr>
      <w:r>
        <w:rPr>
          <w:rFonts w:ascii="方正仿宋_GBK" w:hAnsi="方正仿宋_GBK" w:eastAsia="方正仿宋_GBK" w:cs="方正仿宋_GBK"/>
          <w:b/>
          <w:kern w:val="0"/>
          <w:sz w:val="34"/>
          <w:szCs w:val="34"/>
        </w:rPr>
        <w:t>八、住房保障支出（类）住房改革支出（款）住房公积金（项）：</w:t>
      </w:r>
      <w:r>
        <w:rPr>
          <w:rFonts w:asciiTheme="minorEastAsia" w:hAnsiTheme="minorEastAsia" w:cstheme="minorEastAsia"/>
          <w:kern w:val="0"/>
          <w:sz w:val="34"/>
          <w:szCs w:val="34"/>
        </w:rPr>
        <w:t>指住房公积金。</w:t>
      </w:r>
    </w:p>
    <w:p>
      <w:pPr>
        <w:widowControl/>
        <w:spacing w:line="600" w:lineRule="exact"/>
        <w:ind w:firstLine="680"/>
        <w:rPr>
          <w:rFonts w:asciiTheme="minorEastAsia" w:hAnsiTheme="minorEastAsia" w:cstheme="minorEastAsia"/>
          <w:kern w:val="0"/>
          <w:sz w:val="34"/>
          <w:szCs w:val="34"/>
        </w:rPr>
      </w:pPr>
      <w:r>
        <w:rPr>
          <w:rFonts w:ascii="方正仿宋_GBK" w:hAnsi="方正仿宋_GBK" w:eastAsia="方正仿宋_GBK" w:cs="方正仿宋_GBK"/>
          <w:b/>
          <w:kern w:val="0"/>
          <w:sz w:val="34"/>
          <w:szCs w:val="34"/>
        </w:rPr>
        <w:t>九、结余分配：</w:t>
      </w:r>
      <w:r>
        <w:rPr>
          <w:rFonts w:asciiTheme="minorEastAsia" w:hAnsiTheme="minorEastAsia" w:cstheme="minorEastAsia"/>
          <w:kern w:val="0"/>
          <w:sz w:val="34"/>
          <w:szCs w:val="34"/>
        </w:rPr>
        <w:t>指事业单位按规定提取的职工福利基金、事业基金和缴纳的所得税，以及建设单位按规定应交回的基本建设竣工项目结余资金。</w:t>
      </w:r>
    </w:p>
    <w:p>
      <w:pPr>
        <w:widowControl/>
        <w:autoSpaceDE w:val="0"/>
        <w:autoSpaceDN w:val="0"/>
        <w:spacing w:line="600" w:lineRule="exact"/>
        <w:ind w:firstLine="680"/>
        <w:rPr>
          <w:rFonts w:asciiTheme="minorEastAsia" w:hAnsiTheme="minorEastAsia" w:cstheme="minorEastAsia"/>
          <w:kern w:val="0"/>
          <w:sz w:val="34"/>
          <w:szCs w:val="34"/>
        </w:rPr>
      </w:pPr>
      <w:r>
        <w:rPr>
          <w:rFonts w:ascii="方正仿宋_GBK" w:hAnsi="方正仿宋_GBK" w:eastAsia="方正仿宋_GBK" w:cs="方正仿宋_GBK"/>
          <w:b/>
          <w:kern w:val="0"/>
          <w:sz w:val="34"/>
          <w:szCs w:val="34"/>
        </w:rPr>
        <w:t>十、年末结转和结余：</w:t>
      </w:r>
      <w:r>
        <w:rPr>
          <w:rFonts w:asciiTheme="minorEastAsia" w:hAnsiTheme="minorEastAsia" w:cstheme="minorEastAsia"/>
          <w:kern w:val="0"/>
          <w:sz w:val="34"/>
          <w:szCs w:val="34"/>
        </w:rPr>
        <w:t>指本年度或以前年度预算安排、因客观条件发生变化无法按原计划实施，需延迟到以后年度按有关规定继续使用的资金。</w:t>
      </w:r>
    </w:p>
    <w:p>
      <w:pPr>
        <w:widowControl/>
        <w:autoSpaceDE w:val="0"/>
        <w:autoSpaceDN w:val="0"/>
        <w:spacing w:line="600" w:lineRule="exact"/>
        <w:ind w:firstLine="680"/>
        <w:rPr>
          <w:rFonts w:asciiTheme="minorEastAsia" w:hAnsiTheme="minorEastAsia" w:cstheme="minorEastAsia"/>
          <w:kern w:val="0"/>
          <w:sz w:val="34"/>
          <w:szCs w:val="34"/>
        </w:rPr>
      </w:pPr>
      <w:r>
        <w:rPr>
          <w:rFonts w:ascii="方正仿宋_GBK" w:hAnsi="方正仿宋_GBK" w:eastAsia="方正仿宋_GBK" w:cs="方正仿宋_GBK"/>
          <w:b/>
          <w:kern w:val="0"/>
          <w:sz w:val="34"/>
          <w:szCs w:val="34"/>
        </w:rPr>
        <w:t>十一、基本支出：</w:t>
      </w:r>
      <w:r>
        <w:rPr>
          <w:rFonts w:asciiTheme="minorEastAsia" w:hAnsiTheme="minorEastAsia" w:cstheme="minorEastAsia"/>
          <w:kern w:val="0"/>
          <w:sz w:val="34"/>
          <w:szCs w:val="34"/>
        </w:rPr>
        <w:t>指为保障机构正常运转、完成日常工作任务而发生的人员支出和公用支出。</w:t>
      </w:r>
    </w:p>
    <w:p>
      <w:pPr>
        <w:widowControl/>
        <w:autoSpaceDE w:val="0"/>
        <w:autoSpaceDN w:val="0"/>
        <w:spacing w:line="600" w:lineRule="exact"/>
        <w:ind w:firstLine="680"/>
        <w:rPr>
          <w:rFonts w:asciiTheme="minorEastAsia" w:hAnsiTheme="minorEastAsia" w:cstheme="minorEastAsia"/>
          <w:kern w:val="0"/>
          <w:sz w:val="34"/>
          <w:szCs w:val="34"/>
        </w:rPr>
      </w:pPr>
      <w:r>
        <w:rPr>
          <w:rFonts w:ascii="方正仿宋_GBK" w:hAnsi="方正仿宋_GBK" w:eastAsia="方正仿宋_GBK" w:cs="方正仿宋_GBK"/>
          <w:b/>
          <w:kern w:val="0"/>
          <w:sz w:val="34"/>
          <w:szCs w:val="34"/>
        </w:rPr>
        <w:t>十二、项目支出：</w:t>
      </w:r>
      <w:r>
        <w:rPr>
          <w:rFonts w:asciiTheme="minorEastAsia" w:hAnsiTheme="minorEastAsia" w:cstheme="minorEastAsia"/>
          <w:kern w:val="0"/>
          <w:sz w:val="34"/>
          <w:szCs w:val="34"/>
        </w:rPr>
        <w:t>指在基本支出之外，为完成特定行政任务和事业发展目标所发生的支出。</w:t>
      </w:r>
    </w:p>
    <w:p>
      <w:pPr>
        <w:widowControl/>
        <w:spacing w:line="600" w:lineRule="exact"/>
        <w:ind w:firstLine="680"/>
        <w:rPr>
          <w:rFonts w:asciiTheme="minorEastAsia" w:hAnsiTheme="minorEastAsia" w:cstheme="minorEastAsia"/>
          <w:kern w:val="0"/>
          <w:sz w:val="34"/>
          <w:szCs w:val="34"/>
        </w:rPr>
      </w:pPr>
      <w:r>
        <w:rPr>
          <w:rFonts w:ascii="方正仿宋_GBK" w:hAnsi="方正仿宋_GBK" w:eastAsia="方正仿宋_GBK" w:cs="方正仿宋_GBK"/>
          <w:b/>
          <w:kern w:val="0"/>
          <w:sz w:val="34"/>
          <w:szCs w:val="34"/>
        </w:rPr>
        <w:t>十三、“三公”经费：</w:t>
      </w:r>
      <w:r>
        <w:rPr>
          <w:rFonts w:asciiTheme="minorEastAsia" w:hAnsiTheme="minorEastAsia" w:cstheme="minorEastAsia"/>
          <w:kern w:val="0"/>
          <w:sz w:val="34"/>
          <w:szCs w:val="34"/>
        </w:rPr>
        <w:t>指</w:t>
      </w:r>
      <w:r>
        <w:rPr>
          <w:rFonts w:hint="eastAsia" w:asciiTheme="minorEastAsia" w:hAnsiTheme="minorEastAsia" w:cstheme="minorEastAsia"/>
          <w:kern w:val="0"/>
          <w:sz w:val="34"/>
          <w:szCs w:val="34"/>
          <w:lang w:eastAsia="zh-CN"/>
        </w:rPr>
        <w:t>财政拨款</w:t>
      </w:r>
      <w:r>
        <w:rPr>
          <w:rFonts w:asciiTheme="minorEastAsia" w:hAnsiTheme="minorEastAsia" w:cstheme="minorEastAsia"/>
          <w:kern w:val="0"/>
          <w:sz w:val="34"/>
          <w:szCs w:val="34"/>
        </w:rPr>
        <w:t>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pPr>
        <w:widowControl/>
        <w:spacing w:line="600" w:lineRule="exact"/>
        <w:ind w:firstLine="680"/>
        <w:rPr>
          <w:rFonts w:asciiTheme="minorEastAsia" w:hAnsiTheme="minorEastAsia" w:cstheme="minorEastAsia"/>
          <w:kern w:val="0"/>
          <w:sz w:val="34"/>
          <w:szCs w:val="34"/>
        </w:rPr>
      </w:pPr>
      <w:r>
        <w:rPr>
          <w:rFonts w:ascii="方正仿宋_GBK" w:hAnsi="方正仿宋_GBK" w:eastAsia="方正仿宋_GBK" w:cs="方正仿宋_GBK"/>
          <w:b/>
          <w:kern w:val="0"/>
          <w:sz w:val="34"/>
          <w:szCs w:val="34"/>
        </w:rPr>
        <w:t>十四、机关运行经费：</w:t>
      </w:r>
      <w:r>
        <w:rPr>
          <w:rFonts w:asciiTheme="minorEastAsia" w:hAnsiTheme="minorEastAsia" w:cstheme="minorEastAsia"/>
          <w:kern w:val="0"/>
          <w:sz w:val="34"/>
          <w:szCs w:val="34"/>
        </w:rPr>
        <w:t>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widowControl/>
        <w:jc w:val="left"/>
        <w:rPr>
          <w:rFonts w:hint="eastAsia" w:cs="宋体"/>
          <w:color w:val="FF0000"/>
          <w:shd w:val="clear" w:color="auto" w:fill="FFFFFF"/>
          <w:lang w:val="en-US" w:eastAsia="zh-CN"/>
        </w:rPr>
      </w:pPr>
      <w:r>
        <w:rPr>
          <w:rFonts w:hint="eastAsia" w:cs="宋体"/>
          <w:color w:val="FF0000"/>
          <w:shd w:val="clear" w:color="auto" w:fill="FFFFFF"/>
          <w:lang w:val="en-US" w:eastAsia="zh-CN"/>
        </w:rPr>
        <w:t xml:space="preserve"> </w:t>
      </w:r>
    </w:p>
    <w:p>
      <w:pPr>
        <w:widowControl/>
        <w:jc w:val="left"/>
        <w:rPr>
          <w:rFonts w:hint="eastAsia" w:cs="宋体"/>
          <w:color w:val="FF0000"/>
          <w:shd w:val="clear" w:color="auto" w:fill="FFFFFF"/>
          <w:lang w:val="en-US" w:eastAsia="zh-CN"/>
        </w:rPr>
      </w:pPr>
    </w:p>
    <w:p>
      <w:pPr>
        <w:widowControl/>
        <w:jc w:val="left"/>
        <w:rPr>
          <w:rFonts w:hint="eastAsia" w:cs="宋体"/>
          <w:color w:val="FF0000"/>
          <w:shd w:val="clear" w:color="auto" w:fill="FFFFFF"/>
          <w:lang w:val="en-US" w:eastAsia="zh-CN"/>
        </w:rPr>
      </w:pPr>
    </w:p>
    <w:p>
      <w:pPr>
        <w:widowControl/>
        <w:jc w:val="left"/>
        <w:rPr>
          <w:rFonts w:hint="eastAsia" w:cs="宋体"/>
          <w:color w:val="FF0000"/>
          <w:shd w:val="clear" w:color="auto" w:fill="FFFFFF"/>
          <w:lang w:val="en-US" w:eastAsia="zh-CN"/>
        </w:rPr>
      </w:pPr>
    </w:p>
    <w:p>
      <w:pPr>
        <w:widowControl/>
        <w:jc w:val="left"/>
        <w:rPr>
          <w:rFonts w:hint="eastAsia" w:cs="宋体"/>
          <w:color w:val="FF0000"/>
          <w:shd w:val="clear" w:color="auto" w:fill="FFFFFF"/>
          <w:lang w:val="en-US" w:eastAsia="zh-CN"/>
        </w:rPr>
      </w:pPr>
    </w:p>
    <w:p>
      <w:pPr>
        <w:widowControl/>
        <w:jc w:val="left"/>
        <w:rPr>
          <w:rFonts w:hint="eastAsia" w:cs="宋体"/>
          <w:color w:val="FF0000"/>
          <w:shd w:val="clear" w:color="auto" w:fill="FFFFFF"/>
          <w:lang w:val="en-US" w:eastAsia="zh-CN"/>
        </w:rPr>
      </w:pPr>
    </w:p>
    <w:p>
      <w:pPr>
        <w:widowControl/>
        <w:jc w:val="left"/>
        <w:rPr>
          <w:rFonts w:hint="eastAsia" w:cs="宋体"/>
          <w:color w:val="FF0000"/>
          <w:shd w:val="clear" w:color="auto" w:fill="FFFFFF"/>
          <w:lang w:val="en-US" w:eastAsia="zh-CN"/>
        </w:rPr>
      </w:pPr>
    </w:p>
    <w:p>
      <w:pPr>
        <w:widowControl/>
        <w:jc w:val="left"/>
        <w:rPr>
          <w:rFonts w:hint="eastAsia" w:cs="宋体"/>
          <w:color w:val="FF0000"/>
          <w:shd w:val="clear" w:color="auto" w:fill="FFFFFF"/>
          <w:lang w:val="en-US" w:eastAsia="zh-CN"/>
        </w:rPr>
      </w:pPr>
    </w:p>
    <w:p>
      <w:pPr>
        <w:widowControl/>
        <w:jc w:val="left"/>
        <w:rPr>
          <w:rFonts w:hint="eastAsia" w:cs="宋体"/>
          <w:color w:val="FF0000"/>
          <w:shd w:val="clear" w:color="auto" w:fill="FFFFFF"/>
          <w:lang w:val="en-US" w:eastAsia="zh-CN"/>
        </w:rPr>
      </w:pPr>
    </w:p>
    <w:p>
      <w:pPr>
        <w:widowControl/>
        <w:jc w:val="left"/>
        <w:rPr>
          <w:rFonts w:hint="eastAsia" w:cs="宋体"/>
          <w:color w:val="FF0000"/>
          <w:shd w:val="clear" w:color="auto" w:fill="FFFFFF"/>
          <w:lang w:val="en-US" w:eastAsia="zh-CN"/>
        </w:rPr>
      </w:pPr>
    </w:p>
    <w:p>
      <w:pPr>
        <w:widowControl/>
        <w:jc w:val="left"/>
        <w:rPr>
          <w:rFonts w:hint="eastAsia" w:cs="宋体"/>
          <w:color w:val="FF0000"/>
          <w:shd w:val="clear" w:color="auto" w:fill="FFFFFF"/>
          <w:lang w:val="en-US" w:eastAsia="zh-CN"/>
        </w:rPr>
      </w:pPr>
    </w:p>
    <w:p>
      <w:pPr>
        <w:widowControl/>
        <w:jc w:val="left"/>
        <w:rPr>
          <w:rFonts w:hint="eastAsia" w:cs="宋体"/>
          <w:color w:val="FF0000"/>
          <w:shd w:val="clear" w:color="auto" w:fill="FFFFFF"/>
          <w:lang w:val="en-US" w:eastAsia="zh-CN"/>
        </w:rPr>
      </w:pPr>
    </w:p>
    <w:p>
      <w:pPr>
        <w:widowControl/>
        <w:jc w:val="left"/>
        <w:rPr>
          <w:rFonts w:hint="eastAsia" w:cs="宋体"/>
          <w:color w:val="FF0000"/>
          <w:shd w:val="clear" w:color="auto" w:fill="FFFFFF"/>
          <w:lang w:val="en-US" w:eastAsia="zh-CN"/>
        </w:rPr>
      </w:pPr>
    </w:p>
    <w:p>
      <w:pPr>
        <w:widowControl/>
        <w:jc w:val="left"/>
        <w:rPr>
          <w:rFonts w:hint="eastAsia" w:cs="宋体"/>
          <w:color w:val="FF0000"/>
          <w:shd w:val="clear" w:color="auto" w:fill="FFFFFF"/>
          <w:lang w:val="en-US" w:eastAsia="zh-CN"/>
        </w:rPr>
      </w:pPr>
    </w:p>
    <w:p>
      <w:pPr>
        <w:widowControl/>
        <w:jc w:val="left"/>
        <w:rPr>
          <w:rFonts w:hint="eastAsia" w:cs="宋体"/>
          <w:color w:val="FF0000"/>
          <w:shd w:val="clear" w:color="auto" w:fill="FFFFFF"/>
          <w:lang w:val="en-US" w:eastAsia="zh-CN"/>
        </w:rPr>
      </w:pPr>
    </w:p>
    <w:p>
      <w:pPr>
        <w:widowControl/>
        <w:jc w:val="left"/>
        <w:rPr>
          <w:rFonts w:hint="eastAsia" w:cs="宋体"/>
          <w:color w:val="FF0000"/>
          <w:shd w:val="clear" w:color="auto" w:fill="FFFFFF"/>
          <w:lang w:val="en-US" w:eastAsia="zh-CN"/>
        </w:rPr>
      </w:pPr>
    </w:p>
    <w:p>
      <w:pPr>
        <w:pStyle w:val="5"/>
        <w:jc w:val="center"/>
        <w:rPr>
          <w:sz w:val="72"/>
          <w:szCs w:val="72"/>
        </w:rPr>
      </w:pPr>
    </w:p>
    <w:p>
      <w:pPr>
        <w:pStyle w:val="5"/>
        <w:jc w:val="center"/>
        <w:rPr>
          <w:sz w:val="72"/>
          <w:szCs w:val="72"/>
        </w:rPr>
      </w:pPr>
    </w:p>
    <w:p>
      <w:pPr>
        <w:pStyle w:val="5"/>
        <w:jc w:val="center"/>
        <w:rPr>
          <w:sz w:val="72"/>
          <w:szCs w:val="72"/>
        </w:rPr>
      </w:pPr>
    </w:p>
    <w:p>
      <w:pPr>
        <w:pStyle w:val="5"/>
        <w:jc w:val="center"/>
        <w:rPr>
          <w:sz w:val="72"/>
          <w:szCs w:val="72"/>
        </w:rPr>
      </w:pPr>
    </w:p>
    <w:p>
      <w:pPr>
        <w:pStyle w:val="5"/>
        <w:jc w:val="center"/>
        <w:rPr>
          <w:sz w:val="72"/>
          <w:szCs w:val="72"/>
        </w:rPr>
      </w:pPr>
    </w:p>
    <w:p>
      <w:pPr>
        <w:pStyle w:val="5"/>
        <w:jc w:val="center"/>
        <w:rPr>
          <w:sz w:val="72"/>
          <w:szCs w:val="72"/>
        </w:rPr>
      </w:pPr>
    </w:p>
    <w:p>
      <w:pPr>
        <w:pStyle w:val="5"/>
        <w:jc w:val="center"/>
        <w:rPr>
          <w:sz w:val="72"/>
          <w:szCs w:val="72"/>
        </w:rPr>
      </w:pPr>
    </w:p>
    <w:p>
      <w:pPr>
        <w:pStyle w:val="5"/>
        <w:jc w:val="center"/>
        <w:rPr>
          <w:sz w:val="72"/>
          <w:szCs w:val="72"/>
        </w:rPr>
      </w:pPr>
    </w:p>
    <w:p>
      <w:pPr>
        <w:pStyle w:val="5"/>
        <w:jc w:val="center"/>
        <w:rPr>
          <w:sz w:val="72"/>
          <w:szCs w:val="72"/>
        </w:rPr>
      </w:pPr>
    </w:p>
    <w:p>
      <w:pPr>
        <w:pStyle w:val="5"/>
        <w:jc w:val="center"/>
        <w:rPr>
          <w:sz w:val="72"/>
          <w:szCs w:val="72"/>
        </w:rPr>
      </w:pPr>
    </w:p>
    <w:p>
      <w:pPr>
        <w:pStyle w:val="5"/>
        <w:jc w:val="center"/>
        <w:rPr>
          <w:sz w:val="72"/>
          <w:szCs w:val="72"/>
        </w:rPr>
      </w:pPr>
      <w:r>
        <w:rPr>
          <w:sz w:val="72"/>
          <w:szCs w:val="72"/>
        </w:rPr>
        <w:t>第五部分</w:t>
      </w:r>
    </w:p>
    <w:p>
      <w:pPr>
        <w:jc w:val="center"/>
        <w:rPr>
          <w:rFonts w:ascii="黑体" w:hAnsi="黑体" w:eastAsia="黑体" w:cs="黑体"/>
          <w:color w:val="000000"/>
          <w:kern w:val="0"/>
          <w:sz w:val="70"/>
          <w:szCs w:val="70"/>
        </w:rPr>
      </w:pPr>
    </w:p>
    <w:p>
      <w:pPr>
        <w:jc w:val="center"/>
        <w:rPr>
          <w:rFonts w:ascii="黑体" w:hAnsi="黑体" w:eastAsia="黑体" w:cs="黑体"/>
          <w:color w:val="000000"/>
          <w:kern w:val="0"/>
          <w:sz w:val="70"/>
          <w:szCs w:val="70"/>
        </w:rPr>
      </w:pPr>
      <w:r>
        <w:rPr>
          <w:rFonts w:ascii="黑体" w:hAnsi="黑体" w:eastAsia="黑体" w:cs="黑体"/>
          <w:color w:val="000000"/>
          <w:kern w:val="0"/>
          <w:sz w:val="70"/>
          <w:szCs w:val="70"/>
        </w:rPr>
        <w:t>附件</w:t>
      </w:r>
    </w:p>
    <w:p>
      <w:pPr>
        <w:widowControl/>
        <w:jc w:val="left"/>
        <w:rPr>
          <w:rFonts w:ascii="黑体" w:hAnsi="黑体" w:eastAsia="黑体" w:cs="黑体"/>
          <w:color w:val="000000"/>
          <w:kern w:val="0"/>
          <w:sz w:val="70"/>
          <w:szCs w:val="70"/>
        </w:rPr>
      </w:pPr>
      <w:r>
        <w:br w:type="page"/>
      </w:r>
    </w:p>
    <w:p>
      <w:pPr>
        <w:jc w:val="center"/>
        <w:rPr>
          <w:rFonts w:ascii="黑体" w:hAnsi="黑体" w:eastAsia="黑体" w:cs="黑体"/>
          <w:color w:val="000000"/>
          <w:kern w:val="0"/>
          <w:sz w:val="70"/>
          <w:szCs w:val="70"/>
        </w:rPr>
      </w:pPr>
    </w:p>
    <w:p>
      <w:pPr>
        <w:pStyle w:val="7"/>
        <w:widowControl/>
        <w:spacing w:beforeAutospacing="0" w:after="280"/>
        <w:jc w:val="center"/>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2019年度部门整体支出绩效评价报告</w:t>
      </w:r>
    </w:p>
    <w:p>
      <w:pPr>
        <w:pStyle w:val="7"/>
        <w:widowControl/>
        <w:spacing w:beforeAutospacing="0" w:after="28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一、部门基本情况</w:t>
      </w:r>
    </w:p>
    <w:p>
      <w:pPr>
        <w:pStyle w:val="7"/>
        <w:widowControl/>
        <w:spacing w:beforeAutospacing="0" w:after="28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（一）部门职责</w:t>
      </w:r>
    </w:p>
    <w:p>
      <w:pPr>
        <w:pStyle w:val="7"/>
        <w:widowControl/>
        <w:spacing w:beforeAutospacing="0" w:after="28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1、贯彻执行中央和省颁发的各项信访工作法律、法规及规章制度，并拟定具体实施意见。</w:t>
      </w:r>
    </w:p>
    <w:p>
      <w:pPr>
        <w:pStyle w:val="7"/>
        <w:widowControl/>
        <w:spacing w:beforeAutospacing="0" w:after="28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2、承担受理、交办、转送信访人向县委、县政府提出的信访事项。负责做好县委、县政府领导同志接待上访群众的</w:t>
      </w:r>
      <w:r>
        <w:rPr>
          <w:rFonts w:hint="eastAsia" w:cs="宋体"/>
          <w:color w:val="FF0000"/>
          <w:shd w:val="clear" w:color="auto" w:fill="FFFFFF"/>
        </w:rPr>
        <w:t>组</w:t>
      </w:r>
      <w:r>
        <w:rPr>
          <w:rFonts w:hint="eastAsia" w:asciiTheme="minorEastAsia" w:hAnsiTheme="minorEastAsia" w:eastAsiaTheme="minorEastAsia" w:cstheme="minorEastAsia"/>
          <w:kern w:val="0"/>
          <w:sz w:val="34"/>
          <w:szCs w:val="34"/>
          <w:lang w:val="en-US" w:eastAsia="zh-CN" w:bidi="ar-SA"/>
        </w:rPr>
        <w:t>织服务工作。</w:t>
      </w:r>
    </w:p>
    <w:p>
      <w:pPr>
        <w:pStyle w:val="7"/>
        <w:widowControl/>
        <w:spacing w:beforeAutospacing="0" w:after="28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3、承办中央和国家机关、省委和省政府、市委和市政府及县委和县政府交办的信访事项，督促检查领导同志有关信访批示件的落实情况。向乡镇和县直部门交办信访事项，督促检查信访事项的处理和落实情况。</w:t>
      </w:r>
    </w:p>
    <w:p>
      <w:pPr>
        <w:pStyle w:val="7"/>
        <w:widowControl/>
        <w:spacing w:beforeAutospacing="0" w:after="28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4、综合反映群众信访中的重要情况和带政策性、倾向性、苗头性的问题和社会动态，研究、统计、分析信访情况，及时向县委、县政府提出完善政策和改进工作的建议。</w:t>
      </w:r>
    </w:p>
    <w:p>
      <w:pPr>
        <w:pStyle w:val="7"/>
        <w:widowControl/>
        <w:spacing w:beforeAutospacing="0" w:after="28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5、协同有关部门处理跨地区、跨部门的重大信访问题。协调处理群众来县到市赴省进京上访和异常、突发性信访事项。</w:t>
      </w:r>
    </w:p>
    <w:p>
      <w:pPr>
        <w:pStyle w:val="7"/>
        <w:widowControl/>
        <w:spacing w:beforeAutospacing="0" w:after="28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6、承担县信访工作联席会议的日常工作，督促落实联席会议决定的事项。承担县政府信访事项复查复核办公室的日常工作，负责县政府信访事项的复查复核工作。</w:t>
      </w:r>
    </w:p>
    <w:p>
      <w:pPr>
        <w:pStyle w:val="7"/>
        <w:widowControl/>
        <w:spacing w:beforeAutospacing="0" w:after="28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7、负责信访工作宣传和理论研讨，总结推广信访工作经验，提出改进和加强信访工作的意见。对全县各单位的信访工作进行指导、督促、协调、检查、考核。</w:t>
      </w:r>
    </w:p>
    <w:p>
      <w:pPr>
        <w:pStyle w:val="7"/>
        <w:widowControl/>
        <w:spacing w:beforeAutospacing="0" w:after="28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8、负责全县网上投拆处理工作。指导全县信访信息系统建设和应用。</w:t>
      </w:r>
    </w:p>
    <w:p>
      <w:pPr>
        <w:pStyle w:val="7"/>
        <w:widowControl/>
        <w:spacing w:beforeAutospacing="0" w:after="28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9、掌握全县信访工作队伍建设情况，提出加强信访队伍建设意见措施。对信访工作中失职、渎职行为提出处理意见。组织信访干部培训。</w:t>
      </w:r>
    </w:p>
    <w:p>
      <w:pPr>
        <w:pStyle w:val="7"/>
        <w:widowControl/>
        <w:spacing w:beforeAutospacing="0" w:after="28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10、完成县委、县人民政府交办的其他事项。</w:t>
      </w:r>
    </w:p>
    <w:p>
      <w:pPr>
        <w:pStyle w:val="7"/>
        <w:widowControl/>
        <w:spacing w:beforeAutospacing="0" w:after="28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（二）机构设置情况</w:t>
      </w:r>
    </w:p>
    <w:p>
      <w:pPr>
        <w:pStyle w:val="7"/>
        <w:widowControl/>
        <w:spacing w:beforeAutospacing="0" w:after="28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1、办公室</w:t>
      </w:r>
    </w:p>
    <w:p>
      <w:pPr>
        <w:pStyle w:val="7"/>
        <w:widowControl/>
        <w:spacing w:beforeAutospacing="0" w:after="280"/>
        <w:ind w:firstLine="680" w:firstLineChars="20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协助局领导处理机关日常事务，负责机关文秘、机要、保密、档案、办公自动化、行政事物、后勤保障、会务和公务接待、卫生、安全保卫工作。负责机关组织人事、劳动工资、财务及资产管理工作。承担跟班学习干部及驻京、驻长人员的选调工作。负责计划生育和联络工作。负责意识形态工作。承担局机关信访信息系统的建设、管理与维护，指导全县信访信息系统建设和应用。负责信访工作法律、法规、规章和政策的宣传，并拟定具体实施意见。负责本局网站内容的更新。负责有关文件、讲话、汇报材料的起草和信访工作经验的总结和宣传报道。组织信访工作的考核评比。组织信访干部培训和信访理论研讨。</w:t>
      </w:r>
    </w:p>
    <w:p>
      <w:pPr>
        <w:pStyle w:val="7"/>
        <w:widowControl/>
        <w:spacing w:beforeAutospacing="0" w:after="28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  2、接访股。负责群众来访的接待和调度。编排县级领导接访值班表，为领导同志接待来访群众做好组织服务工作。负责重要信访事项的呈报及协调处理。负责制定全县重大活动的信访维稳工作方案，对全县信访业务进行业务指导。负责到市赴省进京上访情况的统计、分析和通报。负责联系驻京、驻长沙信访接待工作，并承担到市赴省进京信访事项的调度和处理。参与重要信访事项的协调处理。</w:t>
      </w:r>
    </w:p>
    <w:p>
      <w:pPr>
        <w:pStyle w:val="7"/>
        <w:widowControl/>
        <w:spacing w:beforeAutospacing="0" w:after="28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  3、网信股。负责受理群众以电子邮件、信函形式提出的信访事项。负责办理上级机关转送、交办、督办的网络信访事项，负责来信情况的统计、分析和通报。负责呈报重要的来信信息。负贵交办督办重要的来信事项，并参与协调处理。负责办理国、省、市信访局网上转送、交办、督办的信访事项。指导全县各单位的办信工作。</w:t>
      </w:r>
    </w:p>
    <w:p>
      <w:pPr>
        <w:pStyle w:val="7"/>
        <w:widowControl/>
        <w:spacing w:beforeAutospacing="0" w:after="28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督查和复查复核股。负责重大信访工作决策、重要信访工作部署贯彻落实情况的督促检查和情况反馈。负责中央、省、市交办的信访事项和县级领导批示的信访事项处理情况的督促检查及情况反馈。负责本局业务股室督查督办工作的协调联络。负责重要信访工作督查活动的组织安排。参与、协助县委县政府组织的其他重要督查活动。参与协调处理重大疑难信访案件。负贵协调县级领导联系乡镇信访工作和包案处理信访事项的服务保障工作。负责县人民政府信访事项复查复核工作，承担县人民政府信访事项复查复核办公室的日常工作。</w:t>
      </w:r>
    </w:p>
    <w:p>
      <w:pPr>
        <w:pStyle w:val="7"/>
        <w:widowControl/>
        <w:spacing w:beforeAutospacing="0" w:after="28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人民来访接待中心。</w:t>
      </w:r>
    </w:p>
    <w:p>
      <w:pPr>
        <w:pStyle w:val="7"/>
        <w:widowControl/>
        <w:spacing w:beforeAutospacing="0" w:after="28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（三）人员编制情况</w:t>
      </w:r>
    </w:p>
    <w:p>
      <w:pPr>
        <w:pStyle w:val="7"/>
        <w:widowControl/>
        <w:spacing w:beforeAutospacing="0" w:after="280"/>
        <w:ind w:firstLine="680" w:firstLineChars="20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局机关总人数 10人。行政编制7人，机关后勤服务全额事业编制2人，人民来访接待中心事业编制1人。</w:t>
      </w:r>
    </w:p>
    <w:p>
      <w:pPr>
        <w:pStyle w:val="7"/>
        <w:widowControl/>
        <w:spacing w:beforeAutospacing="0" w:after="28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 xml:space="preserve"> 二、部门整体支出管理及使用情况</w:t>
      </w:r>
    </w:p>
    <w:p>
      <w:pPr>
        <w:pStyle w:val="7"/>
        <w:widowControl/>
        <w:spacing w:beforeAutospacing="0" w:after="28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（一）2019年部门预算情况</w:t>
      </w:r>
    </w:p>
    <w:p>
      <w:pPr>
        <w:pStyle w:val="7"/>
        <w:widowControl/>
        <w:spacing w:beforeAutospacing="0" w:after="280"/>
        <w:ind w:firstLine="680" w:firstLineChars="20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2019年单位预算批复总收入133.47万元，其中：一般公共预算拨款133.47万元。</w:t>
      </w:r>
    </w:p>
    <w:p>
      <w:pPr>
        <w:pStyle w:val="7"/>
        <w:widowControl/>
        <w:spacing w:beforeAutospacing="0" w:after="280"/>
        <w:ind w:firstLine="680" w:firstLineChars="20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2019年单位预算总支出192.32万元，其中：工资福利支出87.33万元，一般商品和服务支出4.8万元，项目支出100.19万元。</w:t>
      </w:r>
    </w:p>
    <w:p>
      <w:pPr>
        <w:pStyle w:val="7"/>
        <w:widowControl/>
        <w:spacing w:beforeAutospacing="0" w:after="28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（二）2019年部门决算情况</w:t>
      </w:r>
    </w:p>
    <w:p>
      <w:pPr>
        <w:pStyle w:val="7"/>
        <w:widowControl/>
        <w:spacing w:beforeAutospacing="0" w:after="280"/>
        <w:ind w:firstLine="680" w:firstLineChars="20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本年总收入207.32万元，其中：财政拨款收入192.32万元，年初结转和结余14.91万元。</w:t>
      </w:r>
    </w:p>
    <w:p>
      <w:pPr>
        <w:pStyle w:val="7"/>
        <w:widowControl/>
        <w:spacing w:beforeAutospacing="0" w:after="280"/>
        <w:ind w:firstLine="680" w:firstLineChars="20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本年总支出207.1万元，其中：人员经费支出89.91万元，占总支出43.41%，日常公用经费支出10.20万元，占总支出4.93%，项目支出106.99万元，占总支出51.66%。</w:t>
      </w:r>
    </w:p>
    <w:p>
      <w:pPr>
        <w:pStyle w:val="7"/>
        <w:widowControl/>
        <w:spacing w:beforeAutospacing="0" w:after="28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本年结转和结余0.13万元。</w:t>
      </w:r>
    </w:p>
    <w:p>
      <w:pPr>
        <w:pStyle w:val="7"/>
        <w:widowControl/>
        <w:spacing w:beforeAutospacing="0" w:after="28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（三）2019年支出分类情况</w:t>
      </w:r>
    </w:p>
    <w:p>
      <w:pPr>
        <w:pStyle w:val="7"/>
        <w:widowControl/>
        <w:spacing w:beforeAutospacing="0" w:after="280"/>
        <w:ind w:firstLine="680" w:firstLineChars="20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基本保障我部正常运转，完成日常工作任务而发生的各项支出，包括用于在职人员的基本工资、津贴补贴等人员经费、办公费等日常公用经费。2019年基本支出100.11万元，其中人员经费89.91万元，公用经费10.2万元;项目支出106.99万元，系保障我局信访救助、信访接访工作等相关的支出。</w:t>
      </w:r>
    </w:p>
    <w:p>
      <w:pPr>
        <w:pStyle w:val="7"/>
        <w:widowControl/>
        <w:spacing w:beforeAutospacing="0" w:after="28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 xml:space="preserve"> （四）“三公”经费情况</w:t>
      </w:r>
    </w:p>
    <w:p>
      <w:pPr>
        <w:pStyle w:val="7"/>
        <w:widowControl/>
        <w:spacing w:beforeAutospacing="0" w:after="28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2019年“三公”经费实际支出4.3万元，其中公务接待4.3万元，2019年公务接待费比上年减少0.56万元，下降11.5%。</w:t>
      </w:r>
    </w:p>
    <w:p>
      <w:pPr>
        <w:pStyle w:val="7"/>
        <w:widowControl/>
        <w:spacing w:beforeAutospacing="0" w:after="28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三、部门整体支出绩效指标评价情况</w:t>
      </w:r>
    </w:p>
    <w:p>
      <w:pPr>
        <w:pStyle w:val="7"/>
        <w:widowControl/>
        <w:spacing w:beforeAutospacing="0" w:after="28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2019年通过加强预算收支的管理，加强管资产管理，不断建立健全内部管理制度，使部门整体支出管理情况得到了提升，较好的完成了各项目标任务。</w:t>
      </w:r>
    </w:p>
    <w:p>
      <w:pPr>
        <w:pStyle w:val="7"/>
        <w:widowControl/>
        <w:spacing w:beforeAutospacing="0" w:after="28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一是支出总额控制在预算总额以内，严格执行了国库集中支付、政府采购等有关规定，确保了支出管理流程、审批手续的完整。</w:t>
      </w:r>
    </w:p>
    <w:p>
      <w:pPr>
        <w:pStyle w:val="7"/>
        <w:widowControl/>
        <w:spacing w:beforeAutospacing="0" w:after="28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二是在确保人员经费、日常公用经费的正常开支基础上，保证重点工作支出，大力压缩一般性支出，严控“三公”经费支出，提高财政资金使用效益。</w:t>
      </w:r>
    </w:p>
    <w:p>
      <w:pPr>
        <w:pStyle w:val="7"/>
        <w:widowControl/>
        <w:spacing w:beforeAutospacing="0" w:after="28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 xml:space="preserve">三是全县信访工作以责任落实为主线，以“三无创建”和“百案攻坚活动”为抓手，成功创建国家、省级信访工作“三无”县，实现了“三降三升两好转” 的目标（即总量下降、赴省进京访量下降、积案存量下降，网信量上升、基层化解信访问题量上升、群众满意率上升，信访形势和信访秩序持续好转）。全年群众上访总量为3314 批次 8254人次，同比下降1.03%; 赴省进京访量229批379人次，同比下降6.43%;积案存量减少93个，同比下降6.78%;基层化解信访问题536个，同比上升2.1%;网信量1188批1201人次，同比上升8.64%；群众满意率91.5%，同比上长1.25%。2019年，根据我局年初工作规划和重点性工作，围绕县委、县政府中心工作，积极履职，强化管理，较好的完成了年度工作目标。 </w:t>
      </w:r>
    </w:p>
    <w:p>
      <w:pPr>
        <w:pStyle w:val="7"/>
        <w:widowControl/>
        <w:spacing w:beforeAutospacing="0" w:after="28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四、存在的主要问题</w:t>
      </w:r>
    </w:p>
    <w:p>
      <w:pPr>
        <w:pStyle w:val="7"/>
        <w:widowControl/>
        <w:spacing w:beforeAutospacing="0" w:after="28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年初预算的编制较为精细，按照费用支出的使用范围和内容，进行了基本支出、项目支出的严格区分，并按照预算的最末级明细进行预算支出管理，专款专用。但对于追加的项目支出、上年结余结转的项目资金，没有进行预算分解，编制明细预算。</w:t>
      </w:r>
    </w:p>
    <w:p>
      <w:pPr>
        <w:pStyle w:val="7"/>
        <w:widowControl/>
        <w:spacing w:beforeAutospacing="0" w:after="28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六、改进措施和建议</w:t>
      </w:r>
    </w:p>
    <w:p>
      <w:pPr>
        <w:pStyle w:val="7"/>
        <w:widowControl/>
        <w:spacing w:beforeAutospacing="0" w:after="28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进一步加强内部机构的预算管理意识，严格按照预算编制的相关制度和要求，进一步提高预算编制的科学性、合理性、严谨性和可控性，在日常预算管理过程中，进一步加强预算支出的审核、跟踪及预算执行情况分析。</w:t>
      </w:r>
    </w:p>
    <w:p>
      <w:pPr>
        <w:pStyle w:val="7"/>
        <w:widowControl/>
        <w:spacing w:beforeAutospacing="0" w:after="280"/>
        <w:jc w:val="both"/>
        <w:rPr>
          <w:rFonts w:hint="eastAsia" w:asciiTheme="minorEastAsia" w:hAnsiTheme="minorEastAsia" w:eastAsiaTheme="minorEastAsia" w:cstheme="minorEastAsia"/>
          <w:kern w:val="0"/>
          <w:sz w:val="34"/>
          <w:szCs w:val="34"/>
          <w:lang w:val="en-US" w:eastAsia="zh-CN" w:bidi="ar-SA"/>
        </w:rPr>
      </w:pPr>
    </w:p>
    <w:p>
      <w:pPr>
        <w:pStyle w:val="7"/>
        <w:widowControl/>
        <w:spacing w:beforeAutospacing="0" w:after="280"/>
        <w:jc w:val="both"/>
        <w:rPr>
          <w:rFonts w:hint="eastAsia" w:asciiTheme="minorEastAsia" w:hAnsiTheme="minorEastAsia" w:eastAsiaTheme="minorEastAsia" w:cstheme="minorEastAsia"/>
          <w:kern w:val="0"/>
          <w:sz w:val="34"/>
          <w:szCs w:val="34"/>
          <w:lang w:val="en-US" w:eastAsia="zh-CN" w:bidi="ar-SA"/>
        </w:rPr>
      </w:pPr>
    </w:p>
    <w:p>
      <w:pPr>
        <w:pStyle w:val="7"/>
        <w:widowControl/>
        <w:spacing w:beforeAutospacing="0" w:after="280"/>
        <w:jc w:val="both"/>
        <w:rPr>
          <w:rFonts w:hint="eastAsia" w:asciiTheme="minorEastAsia" w:hAnsiTheme="minorEastAsia" w:eastAsiaTheme="minorEastAsia" w:cstheme="minorEastAsia"/>
          <w:kern w:val="0"/>
          <w:sz w:val="34"/>
          <w:szCs w:val="34"/>
          <w:lang w:val="en-US" w:eastAsia="zh-CN" w:bidi="ar-SA"/>
        </w:rPr>
      </w:pPr>
      <w:r>
        <w:rPr>
          <w:rFonts w:hint="eastAsia" w:asciiTheme="minorEastAsia" w:hAnsiTheme="minorEastAsia" w:eastAsiaTheme="minorEastAsia" w:cstheme="minorEastAsia"/>
          <w:kern w:val="0"/>
          <w:sz w:val="34"/>
          <w:szCs w:val="34"/>
          <w:lang w:val="en-US" w:eastAsia="zh-CN" w:bidi="ar-SA"/>
        </w:rPr>
        <w:t xml:space="preserve">                                     衡南县信访局</w:t>
      </w:r>
    </w:p>
    <w:p>
      <w:pPr>
        <w:pStyle w:val="7"/>
        <w:widowControl/>
        <w:spacing w:beforeAutospacing="0" w:after="280"/>
        <w:jc w:val="right"/>
        <w:rPr>
          <w:rFonts w:hint="eastAsia" w:asciiTheme="minorEastAsia" w:hAnsiTheme="minorEastAsia" w:eastAsiaTheme="minorEastAsia" w:cstheme="minorEastAsia"/>
          <w:kern w:val="0"/>
          <w:sz w:val="34"/>
          <w:szCs w:val="34"/>
          <w:lang w:val="en-US" w:eastAsia="zh-CN" w:bidi="ar-SA"/>
        </w:rPr>
        <w:sectPr>
          <w:footerReference r:id="rId3" w:type="default"/>
          <w:pgSz w:w="11906" w:h="16838"/>
          <w:pgMar w:top="1440" w:right="1531" w:bottom="1440" w:left="1531" w:header="0" w:footer="992" w:gutter="0"/>
          <w:pgNumType w:start="1"/>
          <w:cols w:space="720" w:num="1"/>
          <w:formProt w:val="0"/>
          <w:docGrid w:type="lines" w:linePitch="312" w:charSpace="91954"/>
        </w:sectPr>
      </w:pPr>
      <w:r>
        <w:rPr>
          <w:rFonts w:hint="eastAsia" w:asciiTheme="minorEastAsia" w:hAnsiTheme="minorEastAsia" w:eastAsiaTheme="minorEastAsia" w:cstheme="minorEastAsia"/>
          <w:kern w:val="0"/>
          <w:sz w:val="34"/>
          <w:szCs w:val="34"/>
          <w:lang w:val="en-US" w:eastAsia="zh-CN" w:bidi="ar-SA"/>
        </w:rPr>
        <w:t>2020年6月25日</w:t>
      </w:r>
    </w:p>
    <w:p>
      <w:pPr>
        <w:widowControl/>
        <w:spacing w:line="600" w:lineRule="exact"/>
        <w:ind w:firstLine="680"/>
        <w:rPr>
          <w:rFonts w:asciiTheme="minorEastAsia" w:hAnsiTheme="minorEastAsia" w:cstheme="minorEastAsia"/>
          <w:kern w:val="0"/>
          <w:sz w:val="34"/>
          <w:szCs w:val="34"/>
        </w:rPr>
      </w:pPr>
    </w:p>
    <w:sectPr>
      <w:footerReference r:id="rId4" w:type="default"/>
      <w:pgSz w:w="11906" w:h="16838"/>
      <w:pgMar w:top="720" w:right="720" w:bottom="1049" w:left="720" w:header="0" w:footer="992" w:gutter="0"/>
      <w:cols w:space="720" w:num="1"/>
      <w:formProt w:val="0"/>
      <w:docGrid w:type="linesAndChars" w:linePitch="312" w:charSpace="919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roman"/>
    <w:pitch w:val="default"/>
    <w:sig w:usb0="00000001" w:usb1="080E0000" w:usb2="00000000" w:usb3="00000000" w:csb0="00040000" w:csb1="00000000"/>
  </w:font>
  <w:font w:name="Adobe 仿宋 Std R">
    <w:altName w:val="宋体"/>
    <w:panose1 w:val="00000000000000000000"/>
    <w:charset w:val="86"/>
    <w:family w:val="roman"/>
    <w:pitch w:val="default"/>
    <w:sig w:usb0="00000000" w:usb1="00000000" w:usb2="00000000" w:usb3="00000000" w:csb0="00000000" w:csb1="00000000"/>
  </w:font>
  <w:font w:name="方正仿宋_GBK">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rect id="图像1" o:spid="_x0000_s4097" o:spt="1" style="position:absolute;left:0pt;margin-left:382.55pt;margin-top:-7.45pt;height:17.4pt;width:41.8pt;mso-position-horizontal-relative:margin;z-index:-251657216;mso-width-relative:page;mso-height-relative:page;" filled="f" stroked="f" coordsize="21600,21600" o:allowincell="f" o:gfxdata="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XvxSsNgAAAAKAQAADwAAAAAAAAABACAAAAAiAAAAZHJzL2Rvd25yZXYueG1sUEsBAhQAFAAA&#10;AAgAh07iQJXXYV62AQAAdwMAAA4AAAAAAAAAAQAgAAAAJwEAAGRycy9lMm9Eb2MueG1sUEsFBgAA&#10;AAAGAAYAWQEAAE8FAAAAAA==&#10;">
          <v:path/>
          <v:fill on="f" focussize="0,0"/>
          <v:stroke on="f" weight="0pt"/>
          <v:imagedata o:title=""/>
          <o:lock v:ext="edit" aspectratio="f"/>
          <v:textbox inset="0mm,0mm,0mm,0mm">
            <w:txbxContent>
              <w:p>
                <w:pPr>
                  <w:pStyle w:val="2"/>
                  <w:rPr>
                    <w:rFonts w:eastAsia="宋体"/>
                    <w:sz w:val="28"/>
                    <w:szCs w:val="28"/>
                  </w:rPr>
                </w:pPr>
                <w:r>
                  <w:rPr>
                    <w:sz w:val="28"/>
                    <w:szCs w:val="28"/>
                  </w:rPr>
                  <w:fldChar w:fldCharType="begin"/>
                </w:r>
                <w:r>
                  <w:rPr>
                    <w:sz w:val="28"/>
                    <w:szCs w:val="28"/>
                  </w:rPr>
                  <w:instrText xml:space="preserve">PAGE</w:instrText>
                </w:r>
                <w:r>
                  <w:rPr>
                    <w:sz w:val="28"/>
                    <w:szCs w:val="28"/>
                  </w:rPr>
                  <w:fldChar w:fldCharType="separate"/>
                </w:r>
                <w:r>
                  <w:rPr>
                    <w:sz w:val="28"/>
                    <w:szCs w:val="28"/>
                  </w:rPr>
                  <w:t>10</w:t>
                </w:r>
                <w:r>
                  <w:rPr>
                    <w:sz w:val="28"/>
                    <w:szCs w:val="28"/>
                  </w:rPr>
                  <w:fldChar w:fldCharType="end"/>
                </w:r>
              </w:p>
            </w:txbxContent>
          </v:textbox>
        </v:rect>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0" distR="0" simplePos="0" relativeHeight="251659264" behindDoc="1" locked="0" layoutInCell="0" allowOverlap="1">
              <wp:simplePos x="0" y="0"/>
              <wp:positionH relativeFrom="margin">
                <wp:posOffset>4858385</wp:posOffset>
              </wp:positionH>
              <wp:positionV relativeFrom="paragraph">
                <wp:posOffset>-94615</wp:posOffset>
              </wp:positionV>
              <wp:extent cx="530860" cy="220980"/>
              <wp:effectExtent l="0" t="0" r="0" b="0"/>
              <wp:wrapNone/>
              <wp:docPr id="3" name="图像2"/>
              <wp:cNvGraphicFramePr/>
              <a:graphic xmlns:a="http://schemas.openxmlformats.org/drawingml/2006/main">
                <a:graphicData uri="http://schemas.microsoft.com/office/word/2010/wordprocessingShape">
                  <wps:wsp>
                    <wps:cNvSpPr/>
                    <wps:spPr>
                      <a:xfrm>
                        <a:off x="0" y="0"/>
                        <a:ext cx="530280" cy="220320"/>
                      </a:xfrm>
                      <a:prstGeom prst="rect">
                        <a:avLst/>
                      </a:prstGeom>
                      <a:noFill/>
                      <a:ln w="0">
                        <a:noFill/>
                      </a:ln>
                    </wps:spPr>
                    <wps:style>
                      <a:lnRef idx="0">
                        <a:scrgbClr r="0" g="0" b="0"/>
                      </a:lnRef>
                      <a:fillRef idx="0">
                        <a:scrgbClr r="0" g="0" b="0"/>
                      </a:fillRef>
                      <a:effectRef idx="0">
                        <a:scrgbClr r="0" g="0" b="0"/>
                      </a:effectRef>
                      <a:fontRef idx="minor"/>
                    </wps:style>
                    <wps:txbx>
                      <w:txbxContent>
                        <w:p>
                          <w:pPr>
                            <w:pStyle w:val="2"/>
                            <w:rPr>
                              <w:rFonts w:eastAsia="宋体"/>
                              <w:sz w:val="28"/>
                              <w:szCs w:val="28"/>
                            </w:rPr>
                          </w:pPr>
                          <w:r>
                            <w:rPr>
                              <w:sz w:val="28"/>
                              <w:szCs w:val="28"/>
                            </w:rPr>
                            <w:fldChar w:fldCharType="begin"/>
                          </w:r>
                          <w:r>
                            <w:rPr>
                              <w:sz w:val="28"/>
                              <w:szCs w:val="28"/>
                            </w:rPr>
                            <w:instrText xml:space="preserve">PAGE</w:instrText>
                          </w:r>
                          <w:r>
                            <w:rPr>
                              <w:sz w:val="28"/>
                              <w:szCs w:val="28"/>
                            </w:rPr>
                            <w:fldChar w:fldCharType="separate"/>
                          </w:r>
                          <w:r>
                            <w:rPr>
                              <w:sz w:val="28"/>
                              <w:szCs w:val="28"/>
                            </w:rPr>
                            <w:t>22</w:t>
                          </w:r>
                          <w:r>
                            <w:rPr>
                              <w:sz w:val="28"/>
                              <w:szCs w:val="28"/>
                            </w:rPr>
                            <w:fldChar w:fldCharType="end"/>
                          </w:r>
                        </w:p>
                      </w:txbxContent>
                    </wps:txbx>
                    <wps:bodyPr lIns="0" tIns="0" rIns="0" bIns="0">
                      <a:noAutofit/>
                    </wps:bodyPr>
                  </wps:wsp>
                </a:graphicData>
              </a:graphic>
            </wp:anchor>
          </w:drawing>
        </mc:Choice>
        <mc:Fallback>
          <w:pict>
            <v:rect id="图像2" o:spid="_x0000_s1026" o:spt="1" style="position:absolute;left:0pt;margin-left:382.55pt;margin-top:-7.45pt;height:17.4pt;width:41.8pt;mso-position-horizontal-relative:margin;z-index:-251657216;mso-width-relative:page;mso-height-relative:page;" filled="f" stroked="f" coordsize="21600,21600" o:allowincell="f" o:gfxdata="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">
              <v:fill on="f" focussize="0,0"/>
              <v:stroke on="f" weight="0pt"/>
              <v:imagedata o:title=""/>
              <o:lock v:ext="edit" aspectratio="f"/>
              <v:textbox inset="0mm,0mm,0mm,0mm">
                <w:txbxContent>
                  <w:p>
                    <w:pPr>
                      <w:pStyle w:val="2"/>
                      <w:rPr>
                        <w:rFonts w:eastAsia="宋体"/>
                        <w:sz w:val="28"/>
                        <w:szCs w:val="28"/>
                      </w:rPr>
                    </w:pPr>
                    <w:r>
                      <w:rPr>
                        <w:sz w:val="28"/>
                        <w:szCs w:val="28"/>
                      </w:rPr>
                      <w:fldChar w:fldCharType="begin"/>
                    </w:r>
                    <w:r>
                      <w:rPr>
                        <w:sz w:val="28"/>
                        <w:szCs w:val="28"/>
                      </w:rPr>
                      <w:instrText xml:space="preserve">PAGE</w:instrText>
                    </w:r>
                    <w:r>
                      <w:rPr>
                        <w:sz w:val="28"/>
                        <w:szCs w:val="28"/>
                      </w:rPr>
                      <w:fldChar w:fldCharType="separate"/>
                    </w:r>
                    <w:r>
                      <w:rPr>
                        <w:sz w:val="28"/>
                        <w:szCs w:val="28"/>
                      </w:rPr>
                      <w:t>22</w:t>
                    </w:r>
                    <w:r>
                      <w:rPr>
                        <w:sz w:val="28"/>
                        <w:szCs w:val="28"/>
                      </w:rP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autoHyphenation/>
  <w:characterSpacingControl w:val="doNotCompress"/>
  <w:hdrShapeDefaults>
    <o:shapelayout v:ext="edit">
      <o:idmap v:ext="edit" data="3,4"/>
    </o:shapelayout>
  </w:hdrShapeDefaults>
  <w:compat>
    <w:balanceSingleByteDoubleByteWidth/>
    <w:doNotExpandShiftReturn/>
    <w:useFELayout/>
    <w:compatSetting w:name="compatibilityMode" w:uri="http://schemas.microsoft.com/office/word" w:val="12"/>
  </w:compat>
  <w:rsids>
    <w:rsidRoot w:val="00B00227"/>
    <w:rsid w:val="00462E11"/>
    <w:rsid w:val="00695FB9"/>
    <w:rsid w:val="00AB4B19"/>
    <w:rsid w:val="00B00227"/>
    <w:rsid w:val="00D509B2"/>
    <w:rsid w:val="38C50B02"/>
    <w:rsid w:val="418C784D"/>
    <w:rsid w:val="7AEE696B"/>
  </w:rsids>
  <m:mathPr>
    <m:mathFont m:val="Cambria Math"/>
    <m:brkBin m:val="before"/>
    <m:brkBinSub m:val="--"/>
    <m:smallFrac m:val="0"/>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customStyle="1" w:styleId="5">
    <w:name w:val="Default"/>
    <w:qFormat/>
    <w:uiPriority w:val="0"/>
    <w:pPr>
      <w:widowControl w:val="0"/>
    </w:pPr>
    <w:rPr>
      <w:rFonts w:ascii="黑体" w:eastAsia="黑体" w:cs="黑体" w:hAnsiTheme="minorHAnsi"/>
      <w:color w:val="000000"/>
      <w:sz w:val="24"/>
      <w:szCs w:val="24"/>
      <w:lang w:val="en-US" w:eastAsia="zh-CN" w:bidi="ar-SA"/>
    </w:rPr>
  </w:style>
  <w:style w:type="paragraph" w:customStyle="1" w:styleId="6">
    <w:name w:val="列表段落"/>
    <w:basedOn w:val="1"/>
    <w:qFormat/>
    <w:uiPriority w:val="34"/>
    <w:pPr>
      <w:ind w:firstLine="420"/>
    </w:pPr>
  </w:style>
  <w:style w:type="paragraph" w:customStyle="1" w:styleId="7">
    <w:name w:val="普通(网站) Char"/>
    <w:basedOn w:val="1"/>
    <w:qFormat/>
    <w:uiPriority w:val="0"/>
    <w:pPr>
      <w:spacing w:beforeAutospacing="1" w:afterAutospacing="1"/>
      <w:jc w:val="left"/>
    </w:pPr>
    <w:rPr>
      <w:rFonts w:ascii="宋体" w:hAnsi="宋体" w:eastAsia="宋体" w:cs="Times New Roman"/>
      <w:kern w:val="0"/>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33245B8-FCF2-4992-A184-3E759505E5F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28</Pages>
  <Words>1125</Words>
  <Characters>6413</Characters>
  <Lines>53</Lines>
  <Paragraphs>15</Paragraphs>
  <TotalTime>0</TotalTime>
  <ScaleCrop>false</ScaleCrop>
  <LinksUpToDate>false</LinksUpToDate>
  <CharactersWithSpaces>7523</CharactersWithSpaces>
  <Application>WPS Office_11.3.0.8775_F1E327BC-269C-435d-A152-05C5408002CA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2021-06-03T02:57:00Z</dcterms:created>
  <dc:creator>李航 null</dc:creator>
  <cp:lastModifiedBy>茜茜</cp:lastModifiedBy>
  <cp:lastPrinted>2020-07-15T07:25:00Z</cp:lastPrinted>
  <dcterms:modified xsi:type="dcterms:W3CDTF">2023-11-08T03:36:51Z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6D3CDAA393964E08A2718202158C64B2</vt:lpwstr>
  </property>
  <property fmtid="{D5CDD505-2E9C-101B-9397-08002B2CF9AE}" pid="3" name="KSOProductBuildVer">
    <vt:lpwstr>2052-11.3.0.8775</vt:lpwstr>
  </property>
</Properties>
</file>