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2020年度衡南县</w:t>
      </w:r>
    </w:p>
    <w:p>
      <w:pPr>
        <w:pStyle w:val="10"/>
        <w:jc w:val="center"/>
        <w:rPr>
          <w:sz w:val="84"/>
          <w:szCs w:val="84"/>
        </w:rPr>
      </w:pPr>
      <w:r>
        <w:rPr>
          <w:rFonts w:hint="eastAsia"/>
          <w:sz w:val="84"/>
          <w:szCs w:val="84"/>
        </w:rPr>
        <w:t>政协部门决算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spacing w:line="540" w:lineRule="exact"/>
        <w:jc w:val="center"/>
        <w:rPr>
          <w:sz w:val="56"/>
          <w:szCs w:val="56"/>
        </w:rPr>
      </w:pPr>
    </w:p>
    <w:p>
      <w:pPr>
        <w:pStyle w:val="10"/>
        <w:spacing w:line="540" w:lineRule="exact"/>
        <w:jc w:val="center"/>
        <w:rPr>
          <w:sz w:val="56"/>
          <w:szCs w:val="56"/>
        </w:rPr>
      </w:pPr>
    </w:p>
    <w:p>
      <w:pPr>
        <w:pStyle w:val="10"/>
        <w:spacing w:line="540" w:lineRule="exact"/>
        <w:jc w:val="center"/>
        <w:rPr>
          <w:sz w:val="56"/>
          <w:szCs w:val="56"/>
        </w:rPr>
      </w:pPr>
    </w:p>
    <w:p>
      <w:pPr>
        <w:pStyle w:val="10"/>
        <w:spacing w:line="540" w:lineRule="exact"/>
        <w:jc w:val="center"/>
        <w:rPr>
          <w:sz w:val="56"/>
          <w:szCs w:val="56"/>
        </w:rPr>
      </w:pPr>
    </w:p>
    <w:p>
      <w:pPr>
        <w:pStyle w:val="10"/>
        <w:spacing w:line="540" w:lineRule="exact"/>
        <w:jc w:val="center"/>
        <w:rPr>
          <w:sz w:val="56"/>
          <w:szCs w:val="56"/>
        </w:rPr>
      </w:pPr>
    </w:p>
    <w:p>
      <w:pPr>
        <w:pStyle w:val="10"/>
        <w:spacing w:line="540" w:lineRule="exact"/>
        <w:jc w:val="center"/>
        <w:rPr>
          <w:sz w:val="56"/>
          <w:szCs w:val="56"/>
        </w:rPr>
      </w:pPr>
    </w:p>
    <w:p>
      <w:pPr>
        <w:pStyle w:val="10"/>
        <w:spacing w:line="540" w:lineRule="exact"/>
        <w:jc w:val="center"/>
        <w:rPr>
          <w:sz w:val="56"/>
          <w:szCs w:val="56"/>
        </w:rPr>
      </w:pPr>
    </w:p>
    <w:p>
      <w:pPr>
        <w:pStyle w:val="10"/>
        <w:spacing w:line="520" w:lineRule="exact"/>
        <w:jc w:val="center"/>
        <w:rPr>
          <w:sz w:val="56"/>
          <w:szCs w:val="56"/>
        </w:rPr>
      </w:pPr>
      <w:r>
        <w:rPr>
          <w:rFonts w:hint="eastAsia"/>
          <w:sz w:val="56"/>
          <w:szCs w:val="56"/>
        </w:rPr>
        <w:t>目录</w:t>
      </w:r>
    </w:p>
    <w:p>
      <w:pPr>
        <w:pStyle w:val="10"/>
        <w:spacing w:line="520" w:lineRule="exact"/>
        <w:jc w:val="center"/>
        <w:rPr>
          <w:sz w:val="56"/>
          <w:szCs w:val="56"/>
        </w:rPr>
      </w:pPr>
    </w:p>
    <w:p>
      <w:pPr>
        <w:pStyle w:val="10"/>
        <w:spacing w:line="520" w:lineRule="exact"/>
        <w:jc w:val="center"/>
        <w:rPr>
          <w:sz w:val="56"/>
          <w:szCs w:val="56"/>
        </w:rPr>
      </w:pPr>
    </w:p>
    <w:p>
      <w:pPr>
        <w:pStyle w:val="10"/>
        <w:spacing w:line="520" w:lineRule="exact"/>
        <w:rPr>
          <w:rFonts w:ascii="仿宋_GB2312" w:hAnsi="仿宋_GB2312" w:cs="仿宋_GB2312"/>
          <w:b/>
          <w:sz w:val="28"/>
          <w:szCs w:val="28"/>
        </w:rPr>
      </w:pPr>
      <w:r>
        <w:rPr>
          <w:rFonts w:hint="eastAsia"/>
          <w:b/>
          <w:sz w:val="28"/>
          <w:szCs w:val="28"/>
        </w:rPr>
        <w:t>第一部分单位概况</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20" w:lineRule="exact"/>
        <w:rPr>
          <w:rFonts w:ascii="仿宋_GB2312" w:hAnsi="仿宋_GB2312" w:cs="仿宋_GB2312"/>
          <w:b/>
          <w:sz w:val="28"/>
          <w:szCs w:val="28"/>
        </w:rPr>
      </w:pPr>
      <w:r>
        <w:rPr>
          <w:rFonts w:hint="eastAsia" w:hAnsi="仿宋_GB2312"/>
          <w:b/>
          <w:sz w:val="28"/>
          <w:szCs w:val="28"/>
        </w:rPr>
        <w:t>第二部分2020年度部门决算表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2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0"/>
        <w:spacing w:line="520" w:lineRule="exact"/>
        <w:rPr>
          <w:rFonts w:ascii="仿宋_GB2312" w:hAnsi="仿宋_GB2312" w:cs="仿宋_GB2312"/>
          <w:b/>
          <w:sz w:val="28"/>
          <w:szCs w:val="28"/>
        </w:rPr>
      </w:pPr>
      <w:r>
        <w:rPr>
          <w:rFonts w:hint="eastAsia" w:hAnsi="仿宋_GB2312"/>
          <w:b/>
          <w:sz w:val="28"/>
          <w:szCs w:val="28"/>
        </w:rPr>
        <w:t>第三部分2020年度部门决算情况说明</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九、国有资本经营预算财政拨款支出决算情况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十、关于机关运行经费支出说明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十一、一般性支出情况说明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十二、关于政府采购支出说明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十三、关于国有资产占用情况说明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十四、关于2020年度预算绩效情况说明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黑体" w:hAnsi="黑体" w:eastAsia="黑体" w:cs="黑体"/>
          <w:b/>
          <w:color w:val="000000"/>
          <w:kern w:val="0"/>
          <w:sz w:val="28"/>
          <w:szCs w:val="28"/>
        </w:rPr>
        <w:t>第五部分附件</w:t>
      </w: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jc w:val="center"/>
        <w:rPr>
          <w:sz w:val="72"/>
          <w:szCs w:val="72"/>
        </w:rPr>
      </w:pPr>
    </w:p>
    <w:p>
      <w:pPr>
        <w:pStyle w:val="2"/>
        <w:jc w:val="center"/>
        <w:rPr>
          <w:sz w:val="72"/>
          <w:szCs w:val="72"/>
        </w:rPr>
      </w:pPr>
    </w:p>
    <w:p>
      <w:pPr>
        <w:pStyle w:val="2"/>
        <w:jc w:val="center"/>
        <w:rPr>
          <w:sz w:val="72"/>
          <w:szCs w:val="72"/>
        </w:rPr>
      </w:pPr>
    </w:p>
    <w:p>
      <w:pPr>
        <w:pStyle w:val="2"/>
        <w:jc w:val="center"/>
        <w:rPr>
          <w:sz w:val="72"/>
          <w:szCs w:val="72"/>
        </w:rPr>
      </w:pPr>
    </w:p>
    <w:p>
      <w:pPr>
        <w:pStyle w:val="2"/>
        <w:jc w:val="center"/>
        <w:rPr>
          <w:sz w:val="72"/>
          <w:szCs w:val="72"/>
        </w:rPr>
      </w:pPr>
    </w:p>
    <w:p>
      <w:pPr>
        <w:pStyle w:val="2"/>
        <w:rPr>
          <w:sz w:val="72"/>
          <w:szCs w:val="72"/>
        </w:rPr>
      </w:pPr>
    </w:p>
    <w:p>
      <w:pPr>
        <w:pStyle w:val="2"/>
        <w:jc w:val="center"/>
        <w:rPr>
          <w:sz w:val="72"/>
          <w:szCs w:val="72"/>
        </w:rPr>
      </w:pPr>
      <w:r>
        <w:rPr>
          <w:rFonts w:hint="eastAsia"/>
          <w:sz w:val="72"/>
          <w:szCs w:val="72"/>
        </w:rPr>
        <w:t>第一部分</w:t>
      </w:r>
    </w:p>
    <w:p>
      <w:pPr>
        <w:pStyle w:val="2"/>
        <w:jc w:val="center"/>
        <w:rPr>
          <w:sz w:val="72"/>
          <w:szCs w:val="72"/>
        </w:rPr>
      </w:pPr>
    </w:p>
    <w:p>
      <w:pPr>
        <w:pStyle w:val="2"/>
        <w:jc w:val="center"/>
        <w:rPr>
          <w:sz w:val="72"/>
          <w:szCs w:val="72"/>
        </w:rPr>
      </w:pPr>
      <w:r>
        <w:rPr>
          <w:rFonts w:hint="eastAsia"/>
          <w:sz w:val="72"/>
          <w:szCs w:val="72"/>
        </w:rPr>
        <w:t>衡南县政协单位概况</w:t>
      </w:r>
    </w:p>
    <w:p>
      <w:pPr>
        <w:pStyle w:val="10"/>
        <w:jc w:val="center"/>
        <w:rPr>
          <w:sz w:val="84"/>
          <w:szCs w:val="84"/>
        </w:rPr>
      </w:pPr>
    </w:p>
    <w:p>
      <w:pPr>
        <w:pStyle w:val="10"/>
        <w:jc w:val="center"/>
        <w:rPr>
          <w:sz w:val="84"/>
          <w:szCs w:val="84"/>
        </w:rPr>
      </w:pPr>
    </w:p>
    <w:p>
      <w:pPr>
        <w:pStyle w:val="10"/>
        <w:jc w:val="center"/>
        <w:rPr>
          <w:sz w:val="84"/>
          <w:szCs w:val="84"/>
        </w:rPr>
      </w:pPr>
    </w:p>
    <w:p>
      <w:pPr>
        <w:pStyle w:val="10"/>
        <w:jc w:val="center"/>
        <w:rPr>
          <w:sz w:val="84"/>
          <w:szCs w:val="84"/>
        </w:rPr>
      </w:pPr>
    </w:p>
    <w:p>
      <w:pPr>
        <w:pStyle w:val="10"/>
        <w:jc w:val="center"/>
        <w:rPr>
          <w:sz w:val="84"/>
          <w:szCs w:val="84"/>
        </w:rPr>
      </w:pPr>
    </w:p>
    <w:p>
      <w:pPr>
        <w:pStyle w:val="10"/>
        <w:jc w:val="center"/>
        <w:rPr>
          <w:sz w:val="84"/>
          <w:szCs w:val="84"/>
        </w:rPr>
      </w:pPr>
    </w:p>
    <w:p>
      <w:pPr>
        <w:pStyle w:val="11"/>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numPr>
          <w:ilvl w:val="0"/>
          <w:numId w:val="2"/>
        </w:numPr>
        <w:ind w:firstLine="640" w:firstLineChars="200"/>
        <w:jc w:val="left"/>
        <w:rPr>
          <w:rFonts w:asciiTheme="minorEastAsia" w:hAnsiTheme="minorEastAsia"/>
          <w:sz w:val="32"/>
          <w:szCs w:val="32"/>
        </w:rPr>
      </w:pPr>
      <w:r>
        <w:rPr>
          <w:rFonts w:hint="eastAsia" w:asciiTheme="minorEastAsia" w:hAnsiTheme="minorEastAsia"/>
          <w:sz w:val="32"/>
          <w:szCs w:val="32"/>
        </w:rPr>
        <w:t>政治协商，民主监督，参政议政。</w:t>
      </w:r>
    </w:p>
    <w:p>
      <w:pPr>
        <w:numPr>
          <w:ilvl w:val="0"/>
          <w:numId w:val="2"/>
        </w:numPr>
        <w:ind w:firstLine="640" w:firstLineChars="200"/>
        <w:jc w:val="left"/>
        <w:rPr>
          <w:rFonts w:ascii="仿宋_GB2312" w:eastAsia="仿宋_GB2312" w:hAnsiTheme="minorEastAsia"/>
          <w:sz w:val="28"/>
          <w:szCs w:val="32"/>
        </w:rPr>
      </w:pPr>
      <w:r>
        <w:rPr>
          <w:rFonts w:hint="eastAsia" w:asciiTheme="minorEastAsia" w:hAnsiTheme="minorEastAsia"/>
          <w:sz w:val="32"/>
          <w:szCs w:val="32"/>
        </w:rPr>
        <w:t>履行职能的六种主要方式会议（主席会，常委会，全委会，专题协商会等）；</w:t>
      </w:r>
    </w:p>
    <w:p>
      <w:pPr>
        <w:numPr>
          <w:ilvl w:val="0"/>
          <w:numId w:val="2"/>
        </w:numPr>
        <w:ind w:firstLine="640" w:firstLineChars="200"/>
        <w:jc w:val="left"/>
        <w:rPr>
          <w:rFonts w:ascii="仿宋_GB2312" w:eastAsia="仿宋_GB2312" w:hAnsiTheme="minorEastAsia"/>
          <w:sz w:val="28"/>
          <w:szCs w:val="32"/>
        </w:rPr>
      </w:pPr>
      <w:r>
        <w:rPr>
          <w:rFonts w:hint="eastAsia" w:asciiTheme="minorEastAsia" w:hAnsiTheme="minorEastAsia"/>
          <w:sz w:val="32"/>
          <w:szCs w:val="32"/>
        </w:rPr>
        <w:t>调研或视察；提案，建议案；民主评议；社情民意信息；委派民主监督员，通过开展各项工作协调全县党群等各种关系，汇聚各民</w:t>
      </w:r>
      <w:r>
        <w:rPr>
          <w:rFonts w:hint="eastAsia" w:asciiTheme="minorEastAsia" w:hAnsiTheme="minorEastAsia"/>
          <w:sz w:val="32"/>
          <w:szCs w:val="32"/>
          <w:lang w:val="en-US" w:eastAsia="zh-CN"/>
        </w:rPr>
        <w:t>主</w:t>
      </w:r>
      <w:r>
        <w:rPr>
          <w:rFonts w:hint="eastAsia" w:asciiTheme="minorEastAsia" w:hAnsiTheme="minorEastAsia"/>
          <w:sz w:val="32"/>
          <w:szCs w:val="32"/>
        </w:rPr>
        <w:t>党派，委员，界别的凝聚力，为县委，政府建言献策。</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asciiTheme="minorEastAsia" w:hAnsiTheme="minorEastAsia"/>
          <w:bCs/>
          <w:kern w:val="0"/>
          <w:sz w:val="28"/>
          <w:szCs w:val="28"/>
        </w:rPr>
      </w:pPr>
      <w:r>
        <w:rPr>
          <w:rFonts w:hint="eastAsia" w:asciiTheme="minorEastAsia" w:hAnsiTheme="minorEastAsia"/>
          <w:bCs/>
          <w:kern w:val="0"/>
          <w:sz w:val="28"/>
          <w:szCs w:val="28"/>
        </w:rPr>
        <w:t>（一）内设机构设置。内设机构包括：政协本级。</w:t>
      </w:r>
    </w:p>
    <w:p>
      <w:pPr>
        <w:widowControl/>
        <w:spacing w:line="600" w:lineRule="exact"/>
        <w:rPr>
          <w:rFonts w:asciiTheme="minorEastAsia" w:hAnsiTheme="minorEastAsia"/>
          <w:bCs/>
          <w:kern w:val="0"/>
          <w:sz w:val="28"/>
          <w:szCs w:val="28"/>
        </w:rPr>
      </w:pPr>
      <w:r>
        <w:rPr>
          <w:rFonts w:hint="eastAsia" w:asciiTheme="minorEastAsia" w:hAnsiTheme="minorEastAsia"/>
          <w:bCs/>
          <w:kern w:val="0"/>
          <w:sz w:val="28"/>
          <w:szCs w:val="28"/>
        </w:rPr>
        <w:t>（二）决算单位构成。2020年部门决算汇总公开单位构成包括：政协本级。</w:t>
      </w:r>
    </w:p>
    <w:p>
      <w:pPr>
        <w:jc w:val="left"/>
        <w:rPr>
          <w:rFonts w:ascii="仿宋_GB2312" w:eastAsia="仿宋_GB2312" w:hAnsiTheme="minorEastAsia"/>
          <w:sz w:val="28"/>
          <w:szCs w:val="32"/>
        </w:rPr>
      </w:pPr>
    </w:p>
    <w:p>
      <w:pPr>
        <w:jc w:val="center"/>
        <w:rPr>
          <w:sz w:val="72"/>
          <w:szCs w:val="72"/>
        </w:rPr>
      </w:pPr>
    </w:p>
    <w:p>
      <w:pPr>
        <w:pStyle w:val="2"/>
        <w:rPr>
          <w:sz w:val="72"/>
          <w:szCs w:val="72"/>
        </w:rPr>
      </w:pPr>
      <w:bookmarkStart w:id="0" w:name="_GoBack"/>
      <w:bookmarkEnd w:id="0"/>
    </w:p>
    <w:p>
      <w:pPr>
        <w:pStyle w:val="2"/>
        <w:rPr>
          <w:sz w:val="72"/>
          <w:szCs w:val="72"/>
        </w:rPr>
      </w:pPr>
    </w:p>
    <w:p>
      <w:pPr>
        <w:pStyle w:val="2"/>
        <w:rPr>
          <w:sz w:val="72"/>
          <w:szCs w:val="72"/>
        </w:rPr>
      </w:pPr>
    </w:p>
    <w:p>
      <w:pPr>
        <w:pStyle w:val="2"/>
        <w:rPr>
          <w:sz w:val="72"/>
          <w:szCs w:val="72"/>
        </w:rPr>
      </w:pPr>
    </w:p>
    <w:p>
      <w:pPr>
        <w:pStyle w:val="2"/>
        <w:rPr>
          <w:sz w:val="72"/>
          <w:szCs w:val="72"/>
        </w:rPr>
      </w:pPr>
    </w:p>
    <w:p>
      <w:pPr>
        <w:pStyle w:val="2"/>
        <w:rPr>
          <w:sz w:val="72"/>
          <w:szCs w:val="72"/>
        </w:rPr>
      </w:pPr>
    </w:p>
    <w:p>
      <w:pPr>
        <w:pStyle w:val="2"/>
        <w:rPr>
          <w:sz w:val="72"/>
          <w:szCs w:val="72"/>
        </w:rPr>
      </w:pPr>
    </w:p>
    <w:p>
      <w:pPr>
        <w:pStyle w:val="2"/>
        <w:rPr>
          <w:sz w:val="72"/>
          <w:szCs w:val="72"/>
        </w:rPr>
      </w:pPr>
    </w:p>
    <w:p>
      <w:pPr>
        <w:pStyle w:val="2"/>
        <w:rPr>
          <w:sz w:val="72"/>
          <w:szCs w:val="72"/>
        </w:rPr>
      </w:pPr>
    </w:p>
    <w:p>
      <w:pPr>
        <w:pStyle w:val="2"/>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r>
        <w:rPr>
          <w:rFonts w:hint="eastAsia"/>
          <w:sz w:val="72"/>
          <w:szCs w:val="72"/>
        </w:rPr>
        <w:t>(部门决算公示表附后)</w:t>
      </w:r>
    </w:p>
    <w:p>
      <w:pPr>
        <w:jc w:val="center"/>
        <w:rPr>
          <w:sz w:val="72"/>
          <w:szCs w:val="72"/>
        </w:rPr>
      </w:pPr>
    </w:p>
    <w:p>
      <w:pPr>
        <w:pStyle w:val="2"/>
        <w:rPr>
          <w:sz w:val="72"/>
          <w:szCs w:val="72"/>
        </w:rPr>
      </w:pPr>
    </w:p>
    <w:p>
      <w:pPr>
        <w:pStyle w:val="2"/>
        <w:rPr>
          <w:sz w:val="72"/>
          <w:szCs w:val="72"/>
        </w:rPr>
      </w:pPr>
    </w:p>
    <w:p>
      <w:pPr>
        <w:pStyle w:val="2"/>
        <w:rPr>
          <w:sz w:val="72"/>
          <w:szCs w:val="72"/>
        </w:rPr>
      </w:pPr>
    </w:p>
    <w:p>
      <w:pPr>
        <w:pStyle w:val="2"/>
        <w:rPr>
          <w:sz w:val="72"/>
          <w:szCs w:val="72"/>
        </w:rPr>
      </w:pPr>
    </w:p>
    <w:p>
      <w:pPr>
        <w:pStyle w:val="2"/>
        <w:rPr>
          <w:sz w:val="72"/>
          <w:szCs w:val="72"/>
        </w:rPr>
      </w:pPr>
    </w:p>
    <w:p>
      <w:pPr>
        <w:jc w:val="center"/>
        <w:rPr>
          <w:sz w:val="72"/>
          <w:szCs w:val="72"/>
        </w:rPr>
      </w:pPr>
    </w:p>
    <w:p>
      <w:pPr>
        <w:jc w:val="center"/>
        <w:rPr>
          <w:sz w:val="72"/>
          <w:szCs w:val="72"/>
        </w:rPr>
      </w:pPr>
    </w:p>
    <w:p>
      <w:pPr>
        <w:pStyle w:val="10"/>
        <w:jc w:val="center"/>
        <w:rPr>
          <w:sz w:val="72"/>
          <w:szCs w:val="72"/>
        </w:rPr>
      </w:pPr>
    </w:p>
    <w:p>
      <w:pPr>
        <w:pStyle w:val="10"/>
        <w:jc w:val="center"/>
        <w:rPr>
          <w:sz w:val="72"/>
          <w:szCs w:val="72"/>
        </w:rPr>
      </w:pPr>
    </w:p>
    <w:p>
      <w:pPr>
        <w:jc w:val="center"/>
        <w:rPr>
          <w:sz w:val="72"/>
          <w:szCs w:val="72"/>
        </w:rPr>
      </w:pPr>
    </w:p>
    <w:p>
      <w:pPr>
        <w:jc w:val="center"/>
        <w:rPr>
          <w:sz w:val="72"/>
          <w:szCs w:val="72"/>
        </w:rPr>
      </w:pPr>
      <w:r>
        <w:rPr>
          <w:rFonts w:hint="eastAsia"/>
          <w:sz w:val="72"/>
          <w:szCs w:val="72"/>
        </w:rPr>
        <w:t>第三部分</w:t>
      </w:r>
    </w:p>
    <w:p>
      <w:pPr>
        <w:jc w:val="center"/>
        <w:rPr>
          <w:sz w:val="72"/>
          <w:szCs w:val="72"/>
        </w:rPr>
      </w:pPr>
    </w:p>
    <w:p>
      <w:pPr>
        <w:jc w:val="center"/>
        <w:rPr>
          <w:sz w:val="72"/>
          <w:szCs w:val="72"/>
        </w:rPr>
      </w:pPr>
      <w:r>
        <w:rPr>
          <w:rFonts w:hint="eastAsia"/>
          <w:sz w:val="72"/>
          <w:szCs w:val="72"/>
        </w:rPr>
        <w:t>2020年度部门决算情况说明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hAnsi="黑体"/>
          <w:b/>
          <w:sz w:val="32"/>
          <w:szCs w:val="32"/>
        </w:rPr>
      </w:pPr>
    </w:p>
    <w:p>
      <w:pPr>
        <w:pStyle w:val="10"/>
        <w:rPr>
          <w:rFonts w:hAnsi="黑体"/>
          <w:b/>
          <w:sz w:val="32"/>
          <w:szCs w:val="32"/>
        </w:rPr>
      </w:pPr>
      <w:r>
        <w:rPr>
          <w:rFonts w:hint="eastAsia" w:hAnsi="黑体"/>
          <w:b/>
          <w:sz w:val="32"/>
          <w:szCs w:val="32"/>
        </w:rPr>
        <w:t>一、收入支出决算总体情况说明</w:t>
      </w:r>
    </w:p>
    <w:p>
      <w:pPr>
        <w:spacing w:line="520" w:lineRule="exact"/>
        <w:ind w:firstLine="640"/>
        <w:rPr>
          <w:rFonts w:asciiTheme="minorEastAsia" w:hAnsiTheme="minorEastAsia"/>
          <w:sz w:val="32"/>
          <w:szCs w:val="32"/>
        </w:rPr>
      </w:pPr>
      <w:r>
        <w:rPr>
          <w:rFonts w:hint="eastAsia" w:asciiTheme="minorEastAsia" w:hAnsiTheme="minorEastAsia"/>
          <w:sz w:val="32"/>
          <w:szCs w:val="32"/>
        </w:rPr>
        <w:t>2020年度收、支总计675.48万元。与2019年相比，减少42.9万元，减少6</w:t>
      </w:r>
      <w:r>
        <w:rPr>
          <w:rFonts w:hint="eastAsia" w:asciiTheme="minorEastAsia" w:hAnsiTheme="minorEastAsia"/>
          <w:sz w:val="32"/>
          <w:szCs w:val="32"/>
          <w:lang w:val="zh-CN"/>
        </w:rPr>
        <w:t>%</w:t>
      </w:r>
      <w:r>
        <w:rPr>
          <w:rFonts w:hint="eastAsia" w:asciiTheme="minorEastAsia" w:hAnsiTheme="minorEastAsia"/>
          <w:sz w:val="32"/>
          <w:szCs w:val="32"/>
        </w:rPr>
        <w:t>，主要是因为：相关工作经费减少。</w:t>
      </w:r>
    </w:p>
    <w:p>
      <w:pPr>
        <w:pStyle w:val="10"/>
        <w:rPr>
          <w:rFonts w:hAnsi="黑体"/>
          <w:b/>
          <w:sz w:val="32"/>
          <w:szCs w:val="32"/>
        </w:rPr>
      </w:pPr>
      <w:r>
        <w:rPr>
          <w:rFonts w:hint="eastAsia" w:hAnsi="黑体"/>
          <w:b/>
          <w:sz w:val="32"/>
          <w:szCs w:val="32"/>
        </w:rPr>
        <w:t>二、收入决算情况说明</w:t>
      </w:r>
    </w:p>
    <w:p>
      <w:pPr>
        <w:spacing w:line="520" w:lineRule="exact"/>
        <w:ind w:firstLine="640"/>
        <w:rPr>
          <w:rFonts w:asciiTheme="minorEastAsia" w:hAnsiTheme="minorEastAsia"/>
          <w:sz w:val="32"/>
          <w:szCs w:val="32"/>
        </w:rPr>
      </w:pPr>
      <w:r>
        <w:rPr>
          <w:rFonts w:hint="eastAsia" w:asciiTheme="minorEastAsia" w:hAnsiTheme="minorEastAsia"/>
          <w:sz w:val="32"/>
          <w:szCs w:val="32"/>
        </w:rPr>
        <w:t>本年收入合计675.48万元，其中：财政拨款收入675.48万元，占100%；政府性基金预算财政拨款收入0万元，占0%，上级补助收入0万元，占0%；事业收入0万元，占0%；经营收入0万元，占0%；附属单位上缴收入0万元，占0%；其他收入0万元，占0%。与2019年相比，减少42.9万元，减少6</w:t>
      </w:r>
      <w:r>
        <w:rPr>
          <w:rFonts w:hint="eastAsia" w:asciiTheme="minorEastAsia" w:hAnsiTheme="minorEastAsia"/>
          <w:sz w:val="32"/>
          <w:szCs w:val="32"/>
          <w:lang w:val="zh-CN"/>
        </w:rPr>
        <w:t>%</w:t>
      </w:r>
      <w:r>
        <w:rPr>
          <w:rFonts w:hint="eastAsia" w:asciiTheme="minorEastAsia" w:hAnsiTheme="minorEastAsia"/>
          <w:sz w:val="32"/>
          <w:szCs w:val="32"/>
        </w:rPr>
        <w:t>，主要是因为：相关工作经费减少。</w:t>
      </w:r>
    </w:p>
    <w:p>
      <w:pPr>
        <w:pStyle w:val="10"/>
        <w:rPr>
          <w:rFonts w:hAnsi="黑体"/>
          <w:b/>
          <w:sz w:val="32"/>
          <w:szCs w:val="32"/>
        </w:rPr>
      </w:pPr>
      <w:r>
        <w:rPr>
          <w:rFonts w:hint="eastAsia" w:hAnsi="黑体"/>
          <w:b/>
          <w:sz w:val="32"/>
          <w:szCs w:val="32"/>
        </w:rPr>
        <w:t>三、支出决算情况说明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w:t>
      </w:r>
      <w:r>
        <w:rPr>
          <w:rFonts w:hint="eastAsia" w:asciiTheme="minorEastAsia" w:hAnsiTheme="minorEastAsia" w:eastAsiaTheme="minorEastAsia" w:cstheme="minorBidi"/>
          <w:color w:val="auto"/>
          <w:kern w:val="2"/>
          <w:sz w:val="32"/>
          <w:szCs w:val="32"/>
        </w:rPr>
        <w:t>675.48万</w:t>
      </w:r>
      <w:r>
        <w:rPr>
          <w:rFonts w:hint="eastAsia" w:asciiTheme="minorEastAsia" w:hAnsiTheme="minorEastAsia" w:eastAsiaTheme="minorEastAsia"/>
          <w:sz w:val="32"/>
          <w:szCs w:val="32"/>
        </w:rPr>
        <w:t>元，其中：基本支出462.36万元，占68.45%；项目支出213.12元，占31.55%；上缴上级支出0万元，占0%；经营支出0万元，占0%；对附属单位补助支出0万元，占0%。</w:t>
      </w:r>
    </w:p>
    <w:p>
      <w:pPr>
        <w:pStyle w:val="10"/>
        <w:rPr>
          <w:rFonts w:hAnsi="黑体"/>
          <w:b/>
          <w:sz w:val="32"/>
          <w:szCs w:val="32"/>
        </w:rPr>
      </w:pPr>
      <w:r>
        <w:rPr>
          <w:rFonts w:hint="eastAsia" w:hAnsi="黑体"/>
          <w:b/>
          <w:sz w:val="32"/>
          <w:szCs w:val="32"/>
        </w:rPr>
        <w:t>四、财政拨款收入支出决算总体情况说明</w:t>
      </w:r>
    </w:p>
    <w:p>
      <w:pPr>
        <w:pStyle w:val="5"/>
        <w:shd w:val="clear" w:color="auto" w:fill="FFFFFF"/>
        <w:spacing w:before="0" w:beforeAutospacing="0" w:after="0" w:afterAutospacing="0"/>
        <w:ind w:firstLine="640" w:firstLineChars="200"/>
        <w:rPr>
          <w:rFonts w:cs="黑体" w:asciiTheme="minorEastAsia" w:hAnsiTheme="minorEastAsia" w:eastAsiaTheme="minorEastAsia"/>
          <w:color w:val="000000"/>
          <w:sz w:val="32"/>
          <w:szCs w:val="32"/>
        </w:rPr>
      </w:pPr>
      <w:r>
        <w:rPr>
          <w:rFonts w:hint="eastAsia" w:cs="黑体" w:asciiTheme="minorEastAsia" w:hAnsiTheme="minorEastAsia" w:eastAsiaTheme="minorEastAsia"/>
          <w:color w:val="000000"/>
          <w:sz w:val="32"/>
          <w:szCs w:val="32"/>
        </w:rPr>
        <w:t>2020年度财政拨款收、支总计</w:t>
      </w:r>
      <w:r>
        <w:rPr>
          <w:rFonts w:hint="eastAsia" w:asciiTheme="minorEastAsia" w:hAnsiTheme="minorEastAsia" w:eastAsiaTheme="minorEastAsia" w:cstheme="minorBidi"/>
          <w:kern w:val="2"/>
          <w:sz w:val="32"/>
          <w:szCs w:val="32"/>
        </w:rPr>
        <w:t>675.48</w:t>
      </w:r>
      <w:r>
        <w:rPr>
          <w:rFonts w:hint="eastAsia" w:cs="黑体" w:asciiTheme="minorEastAsia" w:hAnsiTheme="minorEastAsia" w:eastAsiaTheme="minorEastAsia"/>
          <w:color w:val="000000"/>
          <w:sz w:val="32"/>
          <w:szCs w:val="32"/>
        </w:rPr>
        <w:t>万元，</w:t>
      </w:r>
      <w:r>
        <w:rPr>
          <w:rFonts w:hint="eastAsia" w:asciiTheme="minorEastAsia" w:hAnsiTheme="minorEastAsia"/>
          <w:sz w:val="32"/>
          <w:szCs w:val="32"/>
        </w:rPr>
        <w:t>与2019年相比，减少42.9万元，减少6</w:t>
      </w:r>
      <w:r>
        <w:rPr>
          <w:rFonts w:hint="eastAsia" w:asciiTheme="minorEastAsia" w:hAnsiTheme="minorEastAsia"/>
          <w:sz w:val="32"/>
          <w:szCs w:val="32"/>
          <w:lang w:val="zh-CN"/>
        </w:rPr>
        <w:t>%</w:t>
      </w:r>
      <w:r>
        <w:rPr>
          <w:rFonts w:hint="eastAsia" w:asciiTheme="minorEastAsia" w:hAnsiTheme="minorEastAsia"/>
          <w:sz w:val="32"/>
          <w:szCs w:val="32"/>
        </w:rPr>
        <w:t>，主要是因为：相关工作经费减少。</w:t>
      </w:r>
    </w:p>
    <w:p>
      <w:pPr>
        <w:pStyle w:val="1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5"/>
        <w:shd w:val="clear" w:color="auto" w:fill="FFFFFF"/>
        <w:spacing w:before="0" w:beforeAutospacing="0" w:after="0" w:afterAutospacing="0"/>
        <w:ind w:firstLine="640" w:firstLineChars="200"/>
        <w:rPr>
          <w:rFonts w:cs="黑体" w:asciiTheme="minorEastAsia" w:hAnsiTheme="minorEastAsia" w:eastAsiaTheme="minorEastAsia"/>
          <w:color w:val="000000"/>
          <w:sz w:val="32"/>
          <w:szCs w:val="32"/>
        </w:rPr>
      </w:pPr>
      <w:r>
        <w:rPr>
          <w:rFonts w:hint="eastAsia" w:cs="黑体" w:asciiTheme="minorEastAsia" w:hAnsiTheme="minorEastAsia" w:eastAsiaTheme="minorEastAsia"/>
          <w:color w:val="000000"/>
          <w:sz w:val="32"/>
          <w:szCs w:val="32"/>
        </w:rPr>
        <w:t>2020年度财政拨款支出</w:t>
      </w:r>
      <w:r>
        <w:rPr>
          <w:rFonts w:hint="eastAsia" w:asciiTheme="minorEastAsia" w:hAnsiTheme="minorEastAsia" w:eastAsiaTheme="minorEastAsia" w:cstheme="minorBidi"/>
          <w:kern w:val="2"/>
          <w:sz w:val="32"/>
          <w:szCs w:val="32"/>
        </w:rPr>
        <w:t>675.48</w:t>
      </w:r>
      <w:r>
        <w:rPr>
          <w:rFonts w:hint="eastAsia" w:cs="黑体" w:asciiTheme="minorEastAsia" w:hAnsiTheme="minorEastAsia" w:eastAsiaTheme="minorEastAsia"/>
          <w:color w:val="000000"/>
          <w:sz w:val="32"/>
          <w:szCs w:val="32"/>
        </w:rPr>
        <w:t>万元，占本年支出合计的100%，与2019年相比，财政拨款支出</w:t>
      </w:r>
      <w:r>
        <w:rPr>
          <w:rFonts w:hint="eastAsia" w:asciiTheme="minorEastAsia" w:hAnsiTheme="minorEastAsia"/>
          <w:sz w:val="32"/>
          <w:szCs w:val="32"/>
        </w:rPr>
        <w:t>减少42.9万元，减少6</w:t>
      </w:r>
      <w:r>
        <w:rPr>
          <w:rFonts w:hint="eastAsia" w:asciiTheme="minorEastAsia" w:hAnsiTheme="minorEastAsia"/>
          <w:sz w:val="32"/>
          <w:szCs w:val="32"/>
          <w:lang w:val="zh-CN"/>
        </w:rPr>
        <w:t>%</w:t>
      </w:r>
      <w:r>
        <w:rPr>
          <w:rFonts w:hint="eastAsia" w:cs="黑体" w:asciiTheme="minorEastAsia" w:hAnsiTheme="minorEastAsia" w:eastAsiaTheme="minorEastAsia"/>
          <w:color w:val="000000"/>
          <w:sz w:val="32"/>
          <w:szCs w:val="32"/>
        </w:rPr>
        <w:t>，</w:t>
      </w:r>
      <w:r>
        <w:rPr>
          <w:rFonts w:hint="eastAsia" w:asciiTheme="minorEastAsia" w:hAnsiTheme="minorEastAsia"/>
          <w:sz w:val="32"/>
          <w:szCs w:val="32"/>
        </w:rPr>
        <w:t>相关工作经费减少。</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w:t>
      </w:r>
      <w:r>
        <w:rPr>
          <w:rFonts w:hint="eastAsia" w:asciiTheme="minorEastAsia" w:hAnsiTheme="minorEastAsia" w:eastAsiaTheme="minorEastAsia" w:cstheme="minorBidi"/>
          <w:color w:val="auto"/>
          <w:kern w:val="2"/>
          <w:sz w:val="32"/>
          <w:szCs w:val="32"/>
        </w:rPr>
        <w:t>675.48</w:t>
      </w:r>
      <w:r>
        <w:rPr>
          <w:rFonts w:hint="eastAsia" w:asciiTheme="minorEastAsia" w:hAnsiTheme="minorEastAsia" w:eastAsiaTheme="minorEastAsia"/>
          <w:sz w:val="32"/>
          <w:szCs w:val="32"/>
        </w:rPr>
        <w:t>万元，主要用于以下方面：一般公共服务（类）支出608.23万元，占90.04%；社会保障和就业（类）支出40.55万元，占6%;卫生健康（类）支出14.69万元，占2.17%；住房保障（类）支出12.01万元，占1.78%。</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2020年度财政拨款支出年初预算数为</w:t>
      </w:r>
      <w:r>
        <w:rPr>
          <w:rFonts w:hint="eastAsia" w:asciiTheme="minorEastAsia" w:hAnsiTheme="minorEastAsia" w:eastAsiaTheme="minorEastAsia" w:cstheme="minorBidi"/>
          <w:color w:val="auto"/>
          <w:kern w:val="2"/>
          <w:sz w:val="32"/>
          <w:szCs w:val="32"/>
        </w:rPr>
        <w:t>675.48</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cstheme="minorBidi"/>
          <w:color w:val="auto"/>
          <w:kern w:val="2"/>
          <w:sz w:val="32"/>
          <w:szCs w:val="32"/>
        </w:rPr>
        <w:t>675.48</w:t>
      </w:r>
      <w:r>
        <w:rPr>
          <w:rFonts w:hint="eastAsia" w:asciiTheme="minorEastAsia" w:hAnsiTheme="minorEastAsia" w:eastAsiaTheme="minorEastAsia"/>
          <w:sz w:val="32"/>
          <w:szCs w:val="32"/>
        </w:rPr>
        <w:t>万元，完成年初预算的100%，其中：</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年初预算为608.23万元，支出决算为</w:t>
      </w:r>
      <w:r>
        <w:rPr>
          <w:rFonts w:hint="eastAsia" w:asciiTheme="minorEastAsia" w:hAnsiTheme="minorEastAsia" w:eastAsiaTheme="minorEastAsia"/>
          <w:color w:val="auto"/>
          <w:sz w:val="32"/>
          <w:szCs w:val="32"/>
        </w:rPr>
        <w:t>608.23</w:t>
      </w:r>
      <w:r>
        <w:rPr>
          <w:rFonts w:hint="eastAsia" w:asciiTheme="minorEastAsia" w:hAnsiTheme="minorEastAsia" w:eastAsiaTheme="minorEastAsia"/>
          <w:sz w:val="32"/>
          <w:szCs w:val="32"/>
        </w:rPr>
        <w:t>万元，完成年初预算的100%，决算数与年初预算数持平。</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2.社会保障和就业支出</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年初预算为40.55万元，支出决算为40.55万元，完成年初预算的100%，决算数与年初预算数持平。</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3.卫生健康支出</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年初预算为14.69万元，支出决算为14.69万元，完成年初预算的100%，决算数与年初预算数持平。</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4.住房保障支出</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年初预算为12.01万元，支出决算为12.01万元，完成年初预算的100%，决算数与年初预算数持平。</w:t>
      </w:r>
    </w:p>
    <w:p>
      <w:pPr>
        <w:pStyle w:val="1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基本支出462.36万元，其中：人员经费448.36万元，占基本支出的96.97%,主要包括基本工资、津贴补贴、奖金、绩效工资、机关事业单位基本养老保险缴费、职业年金缴费、职工基本医疗保险缴费、公务员医疗补助缴费、其他社会保障缴费、住房公积金、医疗费、其他工资福利支出、抚恤金、生活补助、其他对个人家庭补助支出；公用经费14万元，占基本支出的3.03%，主要包括办公费、水费、电费、邮电费、差旅费、维修（护）费、会议费、培训费、公务接待费、劳务费、工会经费、公务用车运行维护费、其他交通费用、其他商品和服务支出。</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“三公”经费年初预算2元，本年决算数1.74万元，完成预算度87%。比上年决算数2.09万元递减18.18%，决算数小于预算数主要原因是贯彻落实国家过“紧日子”要求，压减了一般性开支，努力降低行政运行成本。</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因公出国（境）费支出预算为0万元，支出决算为0万元，完成预算的0%，决算数与年初预算数持平。与上年一致，本年度无因公出国（境）。</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公务接待本年年初预算2万元，本年决算数1.74万元，完成预算度87%。</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公务用车购置费及运行维护费支出预算为0万元，支出决算为0万元，完成预算的0%，决算数与年初预算数持平。</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2020年度“三公”经费财政拨款支出决算中，公务接待费支出决算1.74万元，占100%,因公出国（境）费支出决算0万元，占0%,公务用车购置费及运行维护费支出决算0万元，占0%。其中：</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sz w:val="32"/>
          <w:szCs w:val="32"/>
        </w:rPr>
        <w:t>1、因公出国（境）费支出决算为0万元，全年安排因公出国（境）团组0个，累计0人次。</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2、公务接待费支出决算为1.74万元，本年共接待45批次，共接待435人次，均为国内公务接待。</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3、公务用车购置费及运行维护费支出决算为0万元，其中：公务用车购置费0万元</w:t>
      </w:r>
      <w:r>
        <w:rPr>
          <w:rFonts w:hint="eastAsia" w:asciiTheme="minorEastAsia" w:hAnsiTheme="minorEastAsia"/>
          <w:color w:val="000000" w:themeColor="text1"/>
          <w:sz w:val="32"/>
          <w:szCs w:val="32"/>
        </w:rPr>
        <w:t>。</w:t>
      </w:r>
      <w:r>
        <w:rPr>
          <w:rFonts w:hint="eastAsia" w:asciiTheme="minorEastAsia" w:hAnsiTheme="minorEastAsia"/>
          <w:sz w:val="32"/>
          <w:szCs w:val="32"/>
        </w:rPr>
        <w:t>公务用车运行维护费0万元。截至2020年12月31日，本单位保有车辆0辆，本年无新增公务车辆。</w:t>
      </w:r>
    </w:p>
    <w:p>
      <w:pPr>
        <w:pStyle w:val="10"/>
        <w:rPr>
          <w:rFonts w:hAnsi="黑体"/>
          <w:b/>
          <w:sz w:val="32"/>
          <w:szCs w:val="32"/>
        </w:rPr>
      </w:pPr>
      <w:r>
        <w:rPr>
          <w:rFonts w:hint="eastAsia" w:hAnsi="黑体"/>
          <w:b/>
          <w:sz w:val="32"/>
          <w:szCs w:val="32"/>
        </w:rPr>
        <w:t>八、政府性基金预算收入支出决算情况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2020年度本部门无政府性基金收支。</w:t>
      </w:r>
    </w:p>
    <w:p>
      <w:pPr>
        <w:pStyle w:val="10"/>
        <w:rPr>
          <w:rFonts w:hAnsi="黑体"/>
          <w:b/>
          <w:sz w:val="32"/>
          <w:szCs w:val="32"/>
        </w:rPr>
      </w:pPr>
      <w:r>
        <w:rPr>
          <w:rFonts w:hint="eastAsia" w:hAnsi="黑体"/>
          <w:b/>
          <w:sz w:val="32"/>
          <w:szCs w:val="32"/>
        </w:rPr>
        <w:t>九、国有资本经营预算财政拨款支出决算情况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本部门2020年没有国有资本经营预算财政拨款支出。</w:t>
      </w:r>
    </w:p>
    <w:p>
      <w:pPr>
        <w:pStyle w:val="10"/>
        <w:rPr>
          <w:rFonts w:hAnsi="黑体"/>
          <w:b/>
          <w:sz w:val="32"/>
          <w:szCs w:val="32"/>
        </w:rPr>
      </w:pPr>
      <w:r>
        <w:rPr>
          <w:rFonts w:hint="eastAsia" w:hAnsi="黑体"/>
          <w:b/>
          <w:sz w:val="32"/>
          <w:szCs w:val="32"/>
        </w:rPr>
        <w:t>十、机关运行经费支出说明</w:t>
      </w:r>
    </w:p>
    <w:p>
      <w:pPr>
        <w:pStyle w:val="10"/>
        <w:ind w:firstLine="640" w:firstLineChars="200"/>
        <w:rPr>
          <w:rFonts w:asciiTheme="minorEastAsia" w:hAnsiTheme="minorEastAsia" w:eastAsiaTheme="minorEastAsia" w:cstheme="minorBidi"/>
          <w:color w:val="auto"/>
          <w:kern w:val="2"/>
          <w:sz w:val="32"/>
          <w:szCs w:val="32"/>
        </w:rPr>
      </w:pPr>
      <w:r>
        <w:rPr>
          <w:rFonts w:hint="eastAsia" w:asciiTheme="minorEastAsia" w:hAnsiTheme="minorEastAsia" w:eastAsiaTheme="minorEastAsia" w:cstheme="minorBidi"/>
          <w:color w:val="auto"/>
          <w:kern w:val="2"/>
          <w:sz w:val="32"/>
          <w:szCs w:val="32"/>
        </w:rPr>
        <w:t>机关运行经费本年支出14万元，与上年的</w:t>
      </w:r>
      <w:r>
        <w:rPr>
          <w:rFonts w:hint="eastAsia" w:asciiTheme="minorEastAsia" w:hAnsiTheme="minorEastAsia"/>
          <w:sz w:val="32"/>
          <w:szCs w:val="32"/>
        </w:rPr>
        <w:t>9.56</w:t>
      </w:r>
      <w:r>
        <w:rPr>
          <w:rFonts w:hint="eastAsia" w:asciiTheme="minorEastAsia" w:hAnsiTheme="minorEastAsia" w:eastAsiaTheme="minorEastAsia" w:cstheme="minorBidi"/>
          <w:color w:val="auto"/>
          <w:kern w:val="2"/>
          <w:sz w:val="32"/>
          <w:szCs w:val="32"/>
        </w:rPr>
        <w:t>万元相比，递增46.44%。变动原因为会议相关支出增加。</w:t>
      </w:r>
    </w:p>
    <w:p>
      <w:pPr>
        <w:pStyle w:val="10"/>
        <w:rPr>
          <w:rFonts w:hAnsi="黑体"/>
          <w:b/>
          <w:sz w:val="32"/>
          <w:szCs w:val="32"/>
        </w:rPr>
      </w:pPr>
      <w:r>
        <w:rPr>
          <w:rFonts w:hint="eastAsia" w:hAnsi="黑体"/>
          <w:b/>
          <w:sz w:val="32"/>
          <w:szCs w:val="32"/>
        </w:rPr>
        <w:t>十一、一般性支出情况</w:t>
      </w:r>
    </w:p>
    <w:p>
      <w:pPr>
        <w:pStyle w:val="10"/>
        <w:ind w:firstLine="640" w:firstLineChars="200"/>
        <w:rPr>
          <w:rFonts w:asciiTheme="minorEastAsia" w:hAnsiTheme="minorEastAsia" w:eastAsiaTheme="minorEastAsia" w:cstheme="minorBidi"/>
          <w:color w:val="auto"/>
          <w:kern w:val="2"/>
          <w:sz w:val="32"/>
          <w:szCs w:val="32"/>
          <w:lang w:val="zh-CN"/>
        </w:rPr>
      </w:pPr>
      <w:r>
        <w:rPr>
          <w:rFonts w:hint="eastAsia" w:asciiTheme="minorEastAsia" w:hAnsiTheme="minorEastAsia" w:eastAsiaTheme="minorEastAsia" w:cstheme="minorBidi"/>
          <w:color w:val="auto"/>
          <w:kern w:val="2"/>
          <w:sz w:val="32"/>
          <w:szCs w:val="32"/>
        </w:rPr>
        <w:t>会议费支出情况：2020年会议费完成11.9万元，比上年3.64万元，增加23.27%，增减变化的主要原因是：政协会议支出增加</w:t>
      </w:r>
      <w:r>
        <w:rPr>
          <w:rFonts w:hint="eastAsia" w:asciiTheme="minorEastAsia" w:hAnsiTheme="minorEastAsia" w:eastAsiaTheme="minorEastAsia" w:cstheme="minorBidi"/>
          <w:color w:val="auto"/>
          <w:kern w:val="2"/>
          <w:sz w:val="32"/>
          <w:szCs w:val="32"/>
          <w:lang w:val="zh-CN"/>
        </w:rPr>
        <w:t>。</w:t>
      </w:r>
    </w:p>
    <w:p>
      <w:pPr>
        <w:pStyle w:val="10"/>
        <w:rPr>
          <w:rFonts w:hAnsi="黑体"/>
          <w:b/>
          <w:sz w:val="32"/>
          <w:szCs w:val="32"/>
        </w:rPr>
      </w:pPr>
      <w:r>
        <w:rPr>
          <w:rFonts w:hint="eastAsia" w:hAnsi="黑体"/>
          <w:b/>
          <w:sz w:val="32"/>
          <w:szCs w:val="32"/>
        </w:rPr>
        <w:t>十二、关于政府采购支出说明</w:t>
      </w:r>
    </w:p>
    <w:p>
      <w:pPr>
        <w:pStyle w:val="10"/>
        <w:ind w:firstLine="640" w:firstLineChars="200"/>
        <w:rPr>
          <w:rFonts w:hAnsi="黑体"/>
          <w:b/>
          <w:sz w:val="32"/>
          <w:szCs w:val="32"/>
        </w:rPr>
      </w:pPr>
      <w:r>
        <w:rPr>
          <w:rFonts w:hint="eastAsia" w:asciiTheme="minorEastAsia" w:hAnsiTheme="minorEastAsia" w:eastAsiaTheme="minorEastAsia" w:cstheme="minorBidi"/>
          <w:color w:val="auto"/>
          <w:kern w:val="2"/>
          <w:sz w:val="32"/>
          <w:szCs w:val="32"/>
        </w:rPr>
        <w:t>本部门2020年度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pPr>
        <w:autoSpaceDE w:val="0"/>
        <w:autoSpaceDN w:val="0"/>
        <w:adjustRightInd w:val="0"/>
        <w:spacing w:line="520" w:lineRule="exact"/>
        <w:jc w:val="left"/>
        <w:rPr>
          <w:rFonts w:ascii="黑体" w:hAnsi="黑体" w:eastAsia="黑体" w:cs="黑体"/>
          <w:b/>
          <w:color w:val="000000"/>
          <w:kern w:val="0"/>
          <w:sz w:val="32"/>
          <w:szCs w:val="32"/>
        </w:rPr>
      </w:pPr>
      <w:r>
        <w:rPr>
          <w:rFonts w:hint="eastAsia" w:ascii="黑体" w:hAnsi="黑体" w:eastAsia="黑体" w:cs="黑体"/>
          <w:b/>
          <w:color w:val="000000"/>
          <w:kern w:val="0"/>
          <w:sz w:val="32"/>
          <w:szCs w:val="32"/>
        </w:rPr>
        <w:t>十三、关于国有资产占用情况说明</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截至2020年12月31日，本单位共有车辆0辆，其中，领导干部用车0辆、机要通信用车0辆、应急保障用车0辆、执法执勤用车0辆、特种专业技术用车0辆、其他用车0辆；单位价值50万元以上通用设备0台（套）；单位价值100万元以上专用设备0台（套）。</w:t>
      </w:r>
    </w:p>
    <w:p>
      <w:pPr>
        <w:pStyle w:val="10"/>
        <w:rPr>
          <w:rFonts w:hAnsi="黑体"/>
          <w:b/>
          <w:sz w:val="32"/>
          <w:szCs w:val="32"/>
        </w:rPr>
      </w:pPr>
      <w:r>
        <w:rPr>
          <w:rFonts w:hint="eastAsia" w:hAnsi="黑体"/>
          <w:b/>
          <w:sz w:val="32"/>
          <w:szCs w:val="32"/>
        </w:rPr>
        <w:t>十四、关于2020年度预算绩效情况说明</w:t>
      </w:r>
    </w:p>
    <w:p>
      <w:pPr>
        <w:widowControl/>
        <w:jc w:val="left"/>
        <w:rPr>
          <w:rFonts w:asciiTheme="minorEastAsia" w:hAnsiTheme="minorEastAsia"/>
          <w:sz w:val="32"/>
          <w:szCs w:val="32"/>
        </w:rPr>
      </w:pPr>
      <w:r>
        <w:rPr>
          <w:rFonts w:hint="eastAsia" w:asciiTheme="minorEastAsia" w:hAnsiTheme="minorEastAsia"/>
          <w:sz w:val="32"/>
          <w:szCs w:val="32"/>
        </w:rPr>
        <w:t>（一）预算绩效管理工作开展情况</w:t>
      </w:r>
    </w:p>
    <w:p>
      <w:pPr>
        <w:pStyle w:val="10"/>
        <w:ind w:firstLine="640" w:firstLineChars="200"/>
        <w:rPr>
          <w:rFonts w:asciiTheme="minorEastAsia" w:hAnsiTheme="minorEastAsia" w:eastAsiaTheme="minorEastAsia" w:cstheme="minorBidi"/>
          <w:color w:val="auto"/>
          <w:kern w:val="2"/>
          <w:sz w:val="32"/>
          <w:szCs w:val="32"/>
        </w:rPr>
      </w:pPr>
      <w:r>
        <w:rPr>
          <w:rFonts w:hint="eastAsia" w:asciiTheme="minorEastAsia" w:hAnsiTheme="minorEastAsia" w:eastAsiaTheme="minorEastAsia" w:cstheme="minorBidi"/>
          <w:color w:val="auto"/>
          <w:kern w:val="2"/>
          <w:sz w:val="32"/>
          <w:szCs w:val="32"/>
        </w:rPr>
        <w:t>对部门整体支出绩效开展了自评。绩效评价结果显示，我部门2020年度绩效目标完成较好，在预算配置、预算执行、预算管理等方面较好的支持了财政中心工作发展。2020年，我部门深入学习贯彻习近平总书记系列重要讲话精神，紧紧围绕县委、县政府决策部署，有效发挥财政职能作用，统筹做好稳增长、促改革、调结构、惠民生、防风险各项工作。</w:t>
      </w:r>
    </w:p>
    <w:p>
      <w:pPr>
        <w:widowControl/>
        <w:jc w:val="left"/>
        <w:rPr>
          <w:rFonts w:asciiTheme="minorEastAsia" w:hAnsiTheme="minorEastAsia"/>
          <w:sz w:val="32"/>
          <w:szCs w:val="32"/>
        </w:rPr>
      </w:pPr>
      <w:r>
        <w:rPr>
          <w:rFonts w:hint="eastAsia" w:asciiTheme="minorEastAsia" w:hAnsiTheme="minorEastAsia"/>
          <w:sz w:val="32"/>
          <w:szCs w:val="32"/>
        </w:rPr>
        <w:t>（二）部门整体支出绩效自评结果</w:t>
      </w:r>
    </w:p>
    <w:p>
      <w:pPr>
        <w:widowControl/>
        <w:ind w:firstLine="640" w:firstLineChars="200"/>
        <w:jc w:val="left"/>
        <w:rPr>
          <w:rFonts w:asciiTheme="minorEastAsia" w:hAnsiTheme="minorEastAsia"/>
          <w:sz w:val="32"/>
          <w:szCs w:val="32"/>
        </w:rPr>
      </w:pPr>
      <w:r>
        <w:rPr>
          <w:rFonts w:asciiTheme="minorEastAsia" w:hAnsiTheme="minorEastAsia"/>
          <w:sz w:val="32"/>
          <w:szCs w:val="32"/>
        </w:rPr>
        <w:t xml:space="preserve">2020 </w:t>
      </w:r>
      <w:r>
        <w:rPr>
          <w:rFonts w:hint="eastAsia" w:asciiTheme="minorEastAsia" w:hAnsiTheme="minorEastAsia"/>
          <w:sz w:val="32"/>
          <w:szCs w:val="32"/>
        </w:rPr>
        <w:t>年，在县委、县政府的坚强领导下，我部门坚持以习近平新时代中国特色社会主义思想为指导，认真落实中央和省委、省政府重大决策部署，以强化执行力、提升创新力、增强凝聚力为抓手，圆满完成了各项工作任务，根据部门整体支出绩效评价指标，部门整体支出绩效得分</w:t>
      </w:r>
      <w:r>
        <w:rPr>
          <w:rFonts w:hint="eastAsia" w:ascii="仿宋" w:hAnsi="仿宋" w:eastAsia="仿宋"/>
          <w:color w:val="000000" w:themeColor="text1"/>
          <w:sz w:val="32"/>
          <w:szCs w:val="32"/>
        </w:rPr>
        <w:t>96.98</w:t>
      </w:r>
      <w:r>
        <w:rPr>
          <w:rFonts w:hint="eastAsia" w:asciiTheme="minorEastAsia" w:hAnsiTheme="minorEastAsia"/>
          <w:sz w:val="32"/>
          <w:szCs w:val="32"/>
        </w:rPr>
        <w:t>分。从评价情况来看，预算执行有效，完成情况较好，基本达到预算绩效目标</w:t>
      </w:r>
    </w:p>
    <w:p>
      <w:pPr>
        <w:pStyle w:val="10"/>
        <w:ind w:firstLine="640" w:firstLineChars="200"/>
        <w:rPr>
          <w:rFonts w:asciiTheme="minorEastAsia" w:hAnsiTheme="minorEastAsia" w:eastAsiaTheme="minorEastAsia" w:cstheme="minorBidi"/>
          <w:color w:val="auto"/>
          <w:kern w:val="2"/>
          <w:sz w:val="32"/>
          <w:szCs w:val="32"/>
        </w:rPr>
      </w:pPr>
    </w:p>
    <w:p>
      <w:pPr>
        <w:widowControl/>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br w:type="page"/>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rFonts w:asciiTheme="minorHAnsi" w:eastAsiaTheme="minorEastAsia" w:cstheme="minorBidi"/>
          <w:color w:val="auto"/>
          <w:kern w:val="2"/>
          <w:sz w:val="72"/>
          <w:szCs w:val="72"/>
        </w:rPr>
      </w:pPr>
      <w:r>
        <w:rPr>
          <w:rFonts w:hint="eastAsia" w:asciiTheme="minorHAnsi" w:eastAsiaTheme="minorEastAsia" w:cstheme="minorBidi"/>
          <w:color w:val="auto"/>
          <w:kern w:val="2"/>
          <w:sz w:val="72"/>
          <w:szCs w:val="72"/>
        </w:rPr>
        <w:t>第四部分</w:t>
      </w:r>
    </w:p>
    <w:p>
      <w:pPr>
        <w:jc w:val="center"/>
        <w:rPr>
          <w:sz w:val="72"/>
          <w:szCs w:val="72"/>
        </w:rPr>
      </w:pPr>
    </w:p>
    <w:p>
      <w:pPr>
        <w:jc w:val="center"/>
        <w:rPr>
          <w:sz w:val="72"/>
          <w:szCs w:val="72"/>
        </w:rPr>
      </w:pPr>
      <w:r>
        <w:rPr>
          <w:rFonts w:hint="eastAsia"/>
          <w:sz w:val="72"/>
          <w:szCs w:val="72"/>
        </w:rPr>
        <w:t>名词解释</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p>
    <w:p>
      <w:pPr>
        <w:widowControl/>
        <w:jc w:val="left"/>
        <w:rPr>
          <w:color w:val="333333"/>
          <w:sz w:val="28"/>
          <w:szCs w:val="28"/>
        </w:rPr>
      </w:pPr>
    </w:p>
    <w:p>
      <w:pPr>
        <w:widowControl/>
        <w:ind w:firstLine="560" w:firstLineChars="200"/>
        <w:jc w:val="left"/>
        <w:rPr>
          <w:color w:val="333333"/>
          <w:sz w:val="28"/>
          <w:szCs w:val="28"/>
        </w:rPr>
      </w:pPr>
      <w:r>
        <w:rPr>
          <w:rFonts w:hint="eastAsia"/>
          <w:color w:val="333333"/>
          <w:sz w:val="28"/>
          <w:szCs w:val="28"/>
        </w:rPr>
        <w:t>一、财政拨款收入：指财政部门核拨给单位的财政预算资金。</w:t>
      </w:r>
    </w:p>
    <w:p>
      <w:pPr>
        <w:widowControl/>
        <w:jc w:val="left"/>
        <w:rPr>
          <w:rFonts w:ascii="黑体" w:eastAsia="黑体" w:cs="黑体"/>
          <w:color w:val="000000"/>
          <w:kern w:val="0"/>
          <w:sz w:val="70"/>
          <w:szCs w:val="70"/>
        </w:rPr>
      </w:pPr>
      <w:r>
        <w:rPr>
          <w:rFonts w:hint="eastAsia"/>
          <w:color w:val="333333"/>
          <w:sz w:val="28"/>
          <w:szCs w:val="28"/>
        </w:rPr>
        <w:t>二、事业收入：指事业单位开展专业业务活动及辅助活动所取得的收入。 </w:t>
      </w:r>
    </w:p>
    <w:p>
      <w:pPr>
        <w:pStyle w:val="5"/>
        <w:shd w:val="clear" w:color="auto" w:fill="FFFFFF"/>
        <w:spacing w:before="0" w:beforeAutospacing="0" w:after="0" w:afterAutospacing="0"/>
        <w:rPr>
          <w:color w:val="333333"/>
          <w:sz w:val="28"/>
          <w:szCs w:val="28"/>
        </w:rPr>
      </w:pPr>
      <w:r>
        <w:rPr>
          <w:rFonts w:hint="eastAsia"/>
          <w:color w:val="333333"/>
          <w:sz w:val="28"/>
          <w:szCs w:val="28"/>
        </w:rPr>
        <w:t>三、附属单位上缴收入：指事业单位附属独立核算单位按有关规定上缴的收入。 </w:t>
      </w:r>
    </w:p>
    <w:p>
      <w:pPr>
        <w:pStyle w:val="5"/>
        <w:shd w:val="clear" w:color="auto" w:fill="FFFFFF"/>
        <w:spacing w:before="0" w:beforeAutospacing="0" w:after="0" w:afterAutospacing="0"/>
        <w:rPr>
          <w:color w:val="333333"/>
          <w:sz w:val="28"/>
          <w:szCs w:val="28"/>
        </w:rPr>
      </w:pPr>
      <w:r>
        <w:rPr>
          <w:rFonts w:hint="eastAsia"/>
          <w:color w:val="333333"/>
          <w:sz w:val="28"/>
          <w:szCs w:val="28"/>
        </w:rPr>
        <w:t>四、其他收入：指单位取得的除上述“财政拨款收入”、“事业收入”、“附属单位上缴收入”等以外的收入。 </w:t>
      </w:r>
    </w:p>
    <w:p>
      <w:pPr>
        <w:pStyle w:val="5"/>
        <w:shd w:val="clear" w:color="auto" w:fill="FFFFFF"/>
        <w:spacing w:before="0" w:beforeAutospacing="0" w:after="0" w:afterAutospacing="0"/>
        <w:rPr>
          <w:color w:val="333333"/>
          <w:sz w:val="28"/>
          <w:szCs w:val="28"/>
        </w:rPr>
      </w:pPr>
      <w:r>
        <w:rPr>
          <w:rFonts w:hint="eastAsia"/>
          <w:color w:val="333333"/>
          <w:sz w:val="28"/>
          <w:szCs w:val="28"/>
        </w:rPr>
        <w:t>五、年初结转和结余：指以前年度尚未完成、结转到本年仍按有关规定继续使用的资金。 </w:t>
      </w:r>
    </w:p>
    <w:p>
      <w:pPr>
        <w:pStyle w:val="5"/>
        <w:shd w:val="clear" w:color="auto" w:fill="FFFFFF"/>
        <w:spacing w:before="0" w:beforeAutospacing="0" w:after="0" w:afterAutospacing="0"/>
        <w:rPr>
          <w:color w:val="333333"/>
          <w:sz w:val="28"/>
          <w:szCs w:val="28"/>
        </w:rPr>
      </w:pPr>
      <w:r>
        <w:rPr>
          <w:rFonts w:hint="eastAsia"/>
          <w:color w:val="333333"/>
          <w:sz w:val="28"/>
          <w:szCs w:val="28"/>
        </w:rPr>
        <w:t>六、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 </w:t>
      </w:r>
    </w:p>
    <w:p>
      <w:pPr>
        <w:pStyle w:val="5"/>
        <w:shd w:val="clear" w:color="auto" w:fill="FFFFFF"/>
        <w:spacing w:before="0" w:beforeAutospacing="0" w:after="0" w:afterAutospacing="0"/>
        <w:rPr>
          <w:color w:val="333333"/>
          <w:sz w:val="28"/>
          <w:szCs w:val="28"/>
        </w:rPr>
      </w:pPr>
      <w:r>
        <w:rPr>
          <w:rFonts w:hint="eastAsia"/>
          <w:color w:val="333333"/>
          <w:sz w:val="28"/>
          <w:szCs w:val="28"/>
        </w:rPr>
        <w:t>七、结余分配：指事业单位按规定提取的职工福利基金、事业基金和缴纳的所得税，以及建设单位按规定应交回的基本建设竣工项目结余资金。 </w:t>
      </w:r>
    </w:p>
    <w:p>
      <w:pPr>
        <w:pStyle w:val="5"/>
        <w:shd w:val="clear" w:color="auto" w:fill="FFFFFF"/>
        <w:spacing w:before="0" w:beforeAutospacing="0" w:after="0" w:afterAutospacing="0"/>
        <w:rPr>
          <w:color w:val="333333"/>
          <w:sz w:val="28"/>
          <w:szCs w:val="28"/>
        </w:rPr>
      </w:pPr>
      <w:r>
        <w:rPr>
          <w:rFonts w:hint="eastAsia"/>
          <w:color w:val="333333"/>
          <w:sz w:val="28"/>
          <w:szCs w:val="28"/>
        </w:rPr>
        <w:t>八、年末结转和结余：指本年度或以前年度预算安排、因客观条件发生变化无法按原计划实施，需延迟到以后年度按有关规定继续使用的资金。 </w:t>
      </w:r>
    </w:p>
    <w:p>
      <w:pPr>
        <w:pStyle w:val="5"/>
        <w:shd w:val="clear" w:color="auto" w:fill="FFFFFF"/>
        <w:spacing w:before="0" w:beforeAutospacing="0" w:after="0" w:afterAutospacing="0"/>
        <w:rPr>
          <w:color w:val="333333"/>
          <w:sz w:val="28"/>
          <w:szCs w:val="28"/>
        </w:rPr>
      </w:pPr>
      <w:r>
        <w:rPr>
          <w:rFonts w:hint="eastAsia"/>
          <w:color w:val="333333"/>
          <w:sz w:val="28"/>
          <w:szCs w:val="28"/>
        </w:rPr>
        <w:t>九、基本支出：指为保障机构正常运转、完成日常工作任务而发生的人员支出和公用支出。 </w:t>
      </w:r>
    </w:p>
    <w:p>
      <w:pPr>
        <w:pStyle w:val="5"/>
        <w:shd w:val="clear" w:color="auto" w:fill="FFFFFF"/>
        <w:spacing w:before="0" w:beforeAutospacing="0" w:after="0" w:afterAutospacing="0"/>
        <w:rPr>
          <w:color w:val="333333"/>
          <w:sz w:val="28"/>
          <w:szCs w:val="28"/>
        </w:rPr>
      </w:pPr>
      <w:r>
        <w:rPr>
          <w:rFonts w:hint="eastAsia"/>
          <w:color w:val="333333"/>
          <w:sz w:val="28"/>
          <w:szCs w:val="28"/>
        </w:rPr>
        <w:t>十、项目支出：指在基本支出之外，为完成特定行政任务和事业发展目标所发生的支出。 </w:t>
      </w:r>
    </w:p>
    <w:p>
      <w:pPr>
        <w:pStyle w:val="5"/>
        <w:shd w:val="clear" w:color="auto" w:fill="FFFFFF"/>
        <w:spacing w:before="0" w:beforeAutospacing="0" w:after="0" w:afterAutospacing="0"/>
        <w:rPr>
          <w:color w:val="333333"/>
          <w:sz w:val="28"/>
          <w:szCs w:val="28"/>
        </w:rPr>
      </w:pPr>
      <w:r>
        <w:rPr>
          <w:rFonts w:hint="eastAsia"/>
          <w:color w:val="333333"/>
          <w:sz w:val="28"/>
          <w:szCs w:val="28"/>
        </w:rPr>
        <w:t>十一、“三公”经费：指省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widowControl/>
        <w:jc w:val="left"/>
        <w:rPr>
          <w:rFonts w:asciiTheme="minorEastAsia" w:hAnsiTheme="minorEastAsia"/>
          <w:i/>
          <w:color w:val="FF0000"/>
          <w:sz w:val="32"/>
          <w:szCs w:val="32"/>
        </w:rPr>
      </w:pPr>
      <w:r>
        <w:rPr>
          <w:rFonts w:hint="eastAsia"/>
          <w:color w:val="333333"/>
          <w:sz w:val="28"/>
          <w:szCs w:val="28"/>
        </w:rPr>
        <w:t>十二、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 </w:t>
      </w:r>
      <w:r>
        <w:rPr>
          <w:rFonts w:asciiTheme="minorEastAsia" w:hAnsiTheme="minorEastAsia"/>
          <w:i/>
          <w:color w:val="FF0000"/>
          <w:sz w:val="32"/>
          <w:szCs w:val="32"/>
        </w:rPr>
        <w:br w:type="page"/>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rFonts w:asciiTheme="minorHAnsi" w:eastAsiaTheme="minorEastAsia" w:cstheme="minorBidi"/>
          <w:color w:val="auto"/>
          <w:kern w:val="2"/>
          <w:sz w:val="72"/>
          <w:szCs w:val="72"/>
        </w:rPr>
      </w:pPr>
      <w:r>
        <w:rPr>
          <w:rFonts w:hint="eastAsia" w:asciiTheme="minorHAnsi" w:eastAsiaTheme="minorEastAsia" w:cstheme="minorBidi"/>
          <w:color w:val="auto"/>
          <w:kern w:val="2"/>
          <w:sz w:val="72"/>
          <w:szCs w:val="72"/>
        </w:rPr>
        <w:t>第五部分</w:t>
      </w:r>
    </w:p>
    <w:p>
      <w:pPr>
        <w:pStyle w:val="10"/>
        <w:jc w:val="center"/>
        <w:rPr>
          <w:rFonts w:asciiTheme="minorHAnsi" w:eastAsiaTheme="minorEastAsia" w:cstheme="minorBidi"/>
          <w:color w:val="auto"/>
          <w:kern w:val="2"/>
          <w:sz w:val="72"/>
          <w:szCs w:val="72"/>
        </w:rPr>
      </w:pPr>
    </w:p>
    <w:p>
      <w:pPr>
        <w:pStyle w:val="10"/>
        <w:jc w:val="center"/>
        <w:rPr>
          <w:rFonts w:asciiTheme="minorHAnsi" w:eastAsiaTheme="minorEastAsia" w:cstheme="minorBidi"/>
          <w:color w:val="auto"/>
          <w:kern w:val="2"/>
          <w:sz w:val="72"/>
          <w:szCs w:val="72"/>
        </w:rPr>
      </w:pPr>
      <w:r>
        <w:rPr>
          <w:rFonts w:hint="eastAsia" w:asciiTheme="minorHAnsi" w:eastAsiaTheme="minorEastAsia" w:cstheme="minorBidi"/>
          <w:color w:val="auto"/>
          <w:kern w:val="2"/>
          <w:sz w:val="72"/>
          <w:szCs w:val="72"/>
        </w:rPr>
        <w:t>附件</w:t>
      </w: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spacing w:line="315" w:lineRule="atLeast"/>
        <w:rPr>
          <w:rFonts w:ascii="宋体" w:cs="宋体"/>
        </w:rPr>
      </w:pPr>
    </w:p>
    <w:p>
      <w:pPr>
        <w:widowControl/>
        <w:spacing w:line="540" w:lineRule="atLeast"/>
        <w:jc w:val="center"/>
        <w:rPr>
          <w:rFonts w:ascii="宋体" w:cs="宋体"/>
          <w:b/>
          <w:bCs/>
          <w:color w:val="000000"/>
          <w:kern w:val="0"/>
          <w:sz w:val="36"/>
          <w:szCs w:val="36"/>
        </w:rPr>
      </w:pPr>
      <w:r>
        <w:rPr>
          <w:rFonts w:hint="eastAsia" w:ascii="宋体" w:hAnsi="宋体" w:cs="宋体"/>
          <w:b/>
          <w:bCs/>
          <w:color w:val="000000"/>
          <w:kern w:val="0"/>
          <w:sz w:val="36"/>
          <w:szCs w:val="36"/>
        </w:rPr>
        <w:t>衡南县政协2020年部门整体支出绩效自评报告</w:t>
      </w:r>
    </w:p>
    <w:p>
      <w:pPr>
        <w:widowControl/>
        <w:spacing w:line="540" w:lineRule="atLeast"/>
        <w:jc w:val="center"/>
        <w:rPr>
          <w:rFonts w:ascii="宋体" w:cs="宋体"/>
          <w:b/>
          <w:bCs/>
          <w:color w:val="000000"/>
          <w:kern w:val="0"/>
          <w:sz w:val="36"/>
          <w:szCs w:val="36"/>
        </w:rPr>
      </w:pPr>
    </w:p>
    <w:p>
      <w:pPr>
        <w:widowControl/>
        <w:spacing w:line="540" w:lineRule="atLeast"/>
        <w:ind w:firstLine="640" w:firstLineChars="200"/>
        <w:jc w:val="left"/>
        <w:rPr>
          <w:rFonts w:ascii="仿宋" w:hAnsi="仿宋" w:eastAsia="仿宋"/>
          <w:color w:val="000000" w:themeColor="text1"/>
          <w:sz w:val="32"/>
          <w:szCs w:val="32"/>
        </w:rPr>
      </w:pPr>
      <w:r>
        <w:rPr>
          <w:rFonts w:hint="eastAsia" w:ascii="仿宋" w:hAnsi="仿宋" w:eastAsia="仿宋"/>
          <w:color w:val="000000" w:themeColor="text1"/>
          <w:sz w:val="32"/>
          <w:szCs w:val="32"/>
        </w:rPr>
        <w:t>为加强预算资金管理，进一步规范预算资金使用，提高财政资金使用效益，根据《衡南县财政局关于开展2020年度县级财政资金绩效自评工作的通知》要求，我单位积极组织，对2020年度本单位整体支出进行了绩效自评，现将具体绩效评价情况报告如下：</w:t>
      </w:r>
    </w:p>
    <w:p>
      <w:pPr>
        <w:pStyle w:val="5"/>
        <w:ind w:left="241" w:firstLine="560" w:firstLineChars="200"/>
        <w:rPr>
          <w:b/>
          <w:color w:val="000000"/>
          <w:sz w:val="28"/>
          <w:szCs w:val="28"/>
        </w:rPr>
      </w:pPr>
      <w:r>
        <w:rPr>
          <w:rFonts w:hint="eastAsia"/>
          <w:b/>
          <w:color w:val="000000"/>
          <w:sz w:val="28"/>
          <w:szCs w:val="28"/>
        </w:rPr>
        <w:t>一、部门基本情况</w:t>
      </w:r>
    </w:p>
    <w:p>
      <w:pPr>
        <w:widowControl/>
        <w:spacing w:line="540" w:lineRule="atLeast"/>
        <w:ind w:firstLine="640" w:firstLineChars="200"/>
        <w:jc w:val="left"/>
        <w:rPr>
          <w:rFonts w:ascii="仿宋" w:hAnsi="仿宋" w:eastAsia="仿宋"/>
          <w:color w:val="000000" w:themeColor="text1"/>
          <w:sz w:val="32"/>
          <w:szCs w:val="32"/>
        </w:rPr>
      </w:pPr>
      <w:r>
        <w:rPr>
          <w:rFonts w:hint="eastAsia" w:ascii="仿宋" w:hAnsi="仿宋" w:eastAsia="仿宋"/>
          <w:color w:val="000000" w:themeColor="text1"/>
          <w:sz w:val="32"/>
          <w:szCs w:val="32"/>
        </w:rPr>
        <w:t>（一）部门职责。</w:t>
      </w:r>
    </w:p>
    <w:p>
      <w:pPr>
        <w:widowControl/>
        <w:spacing w:line="540" w:lineRule="atLeast"/>
        <w:ind w:firstLine="640" w:firstLineChars="200"/>
        <w:jc w:val="left"/>
        <w:rPr>
          <w:rFonts w:ascii="仿宋" w:hAnsi="仿宋" w:eastAsia="仿宋"/>
          <w:color w:val="000000" w:themeColor="text1"/>
          <w:sz w:val="32"/>
          <w:szCs w:val="32"/>
        </w:rPr>
      </w:pPr>
      <w:r>
        <w:rPr>
          <w:rFonts w:hint="eastAsia" w:ascii="仿宋" w:hAnsi="仿宋" w:eastAsia="仿宋"/>
          <w:color w:val="000000" w:themeColor="text1"/>
          <w:sz w:val="32"/>
          <w:szCs w:val="32"/>
        </w:rPr>
        <w:t>中国人民政治协商会议湖南省衡南县委员系正处级级单位，办公地址为衡南县云集镇黄金路，组织机构代码：1143042200627415XM。主要职能如下：</w:t>
      </w:r>
    </w:p>
    <w:p>
      <w:pPr>
        <w:widowControl/>
        <w:spacing w:line="540" w:lineRule="atLeast"/>
        <w:ind w:firstLine="640" w:firstLineChars="200"/>
        <w:jc w:val="left"/>
        <w:rPr>
          <w:rFonts w:ascii="仿宋" w:hAnsi="仿宋" w:eastAsia="仿宋"/>
          <w:color w:val="000000" w:themeColor="text1"/>
          <w:sz w:val="32"/>
          <w:szCs w:val="32"/>
        </w:rPr>
      </w:pPr>
      <w:r>
        <w:rPr>
          <w:rFonts w:hint="eastAsia" w:ascii="仿宋" w:hAnsi="仿宋" w:eastAsia="仿宋"/>
          <w:color w:val="000000" w:themeColor="text1"/>
          <w:sz w:val="32"/>
          <w:szCs w:val="32"/>
        </w:rPr>
        <w:t>中国人民政治协商会议湖南省衡南县委员的主要职能是政治协商、民主监督、参政议政。</w:t>
      </w:r>
    </w:p>
    <w:p>
      <w:pPr>
        <w:widowControl/>
        <w:spacing w:line="540" w:lineRule="atLeast"/>
        <w:ind w:firstLine="640" w:firstLineChars="200"/>
        <w:jc w:val="left"/>
        <w:rPr>
          <w:rFonts w:ascii="仿宋" w:hAnsi="仿宋" w:eastAsia="仿宋"/>
          <w:color w:val="000000" w:themeColor="text1"/>
          <w:sz w:val="32"/>
          <w:szCs w:val="32"/>
        </w:rPr>
      </w:pPr>
      <w:r>
        <w:rPr>
          <w:rFonts w:hint="eastAsia" w:ascii="仿宋" w:hAnsi="仿宋" w:eastAsia="仿宋"/>
          <w:color w:val="000000" w:themeColor="text1"/>
          <w:sz w:val="32"/>
          <w:szCs w:val="32"/>
        </w:rPr>
        <w:t>政治协商是对国家和地方的大政方针以及政治、经济、文化和社会生活中的重要问题在决策之前进行协商和就决策执行过程中的重要问题进行协商。政协衡南县委员会可根据中共衡南县委、县人大常委会、县政府、县民主党派、县人民团体的提议，举行有各党派、团体的负责人和各族各界人士的代表参加的会议，进行协商，亦可建议上列单位将有关重要问题提交协商。</w:t>
      </w:r>
    </w:p>
    <w:p>
      <w:pPr>
        <w:widowControl/>
        <w:spacing w:line="540" w:lineRule="atLeast"/>
        <w:ind w:firstLine="640" w:firstLineChars="200"/>
        <w:jc w:val="left"/>
        <w:rPr>
          <w:rFonts w:ascii="仿宋" w:hAnsi="仿宋" w:eastAsia="仿宋"/>
          <w:color w:val="000000" w:themeColor="text1"/>
          <w:sz w:val="32"/>
          <w:szCs w:val="32"/>
        </w:rPr>
      </w:pPr>
      <w:r>
        <w:rPr>
          <w:rFonts w:hint="eastAsia" w:ascii="仿宋" w:hAnsi="仿宋" w:eastAsia="仿宋"/>
          <w:color w:val="000000" w:themeColor="text1"/>
          <w:sz w:val="32"/>
          <w:szCs w:val="32"/>
        </w:rPr>
        <w:t>民主监督是对国家宪法、法律和法规的实施，重大方针政策的贯彻执行、国家机关及其工作人员的工作，通过建议和批评进行监督。</w:t>
      </w:r>
    </w:p>
    <w:p>
      <w:pPr>
        <w:widowControl/>
        <w:spacing w:line="540" w:lineRule="atLeast"/>
        <w:ind w:firstLine="640" w:firstLineChars="200"/>
        <w:jc w:val="left"/>
        <w:rPr>
          <w:rFonts w:ascii="仿宋" w:hAnsi="仿宋" w:eastAsia="仿宋"/>
          <w:color w:val="000000" w:themeColor="text1"/>
          <w:sz w:val="32"/>
          <w:szCs w:val="32"/>
        </w:rPr>
      </w:pPr>
      <w:r>
        <w:rPr>
          <w:rFonts w:hint="eastAsia" w:ascii="仿宋" w:hAnsi="仿宋" w:eastAsia="仿宋"/>
          <w:color w:val="000000" w:themeColor="text1"/>
          <w:sz w:val="32"/>
          <w:szCs w:val="32"/>
        </w:rPr>
        <w:t>参政议政是对政治、经济、文化和社会生活中的重要问题以及人民群众普遍关心的问题，开展调查研究，反映社情民意，进行协商讨论。通过调研报告、提案、建议案或其他形式，向中共和国家机关提出意见和建议。</w:t>
      </w:r>
    </w:p>
    <w:p>
      <w:pPr>
        <w:widowControl/>
        <w:spacing w:line="540" w:lineRule="atLeast"/>
        <w:ind w:firstLine="640" w:firstLineChars="200"/>
        <w:jc w:val="left"/>
        <w:rPr>
          <w:rFonts w:ascii="仿宋" w:hAnsi="仿宋" w:eastAsia="仿宋"/>
          <w:color w:val="000000" w:themeColor="text1"/>
          <w:sz w:val="32"/>
          <w:szCs w:val="32"/>
        </w:rPr>
      </w:pPr>
      <w:r>
        <w:rPr>
          <w:rFonts w:hint="eastAsia" w:ascii="仿宋" w:hAnsi="仿宋" w:eastAsia="仿宋"/>
          <w:color w:val="000000" w:themeColor="text1"/>
          <w:sz w:val="32"/>
          <w:szCs w:val="32"/>
        </w:rPr>
        <w:t>（二）机构设置情况。2020年本单位下设7个工作机构办公室、委员学习联络委员会、提案委员会、经济科技和外事委员会、农业农村和人口资源环境委员会、文教卫体和文史委员会、社会法制和民族宗教委员会。</w:t>
      </w:r>
    </w:p>
    <w:p>
      <w:pPr>
        <w:widowControl/>
        <w:spacing w:line="540" w:lineRule="atLeast"/>
        <w:ind w:firstLine="640" w:firstLineChars="200"/>
        <w:jc w:val="left"/>
        <w:rPr>
          <w:rFonts w:ascii="仿宋" w:hAnsi="仿宋" w:eastAsia="仿宋"/>
          <w:color w:val="000000" w:themeColor="text1"/>
          <w:sz w:val="32"/>
          <w:szCs w:val="32"/>
        </w:rPr>
      </w:pPr>
      <w:r>
        <w:rPr>
          <w:rFonts w:hint="eastAsia" w:ascii="仿宋" w:hAnsi="仿宋" w:eastAsia="仿宋"/>
          <w:color w:val="000000" w:themeColor="text1"/>
          <w:sz w:val="32"/>
          <w:szCs w:val="32"/>
        </w:rPr>
        <w:t>（三）人员编制情况。2020年底，我单位现有在职干部职工32人，其中行政编制27名、全额事业单位编制4名。</w:t>
      </w:r>
    </w:p>
    <w:p>
      <w:pPr>
        <w:spacing w:line="520" w:lineRule="exact"/>
        <w:ind w:firstLine="640" w:firstLineChars="200"/>
        <w:rPr>
          <w:rFonts w:ascii="黑体" w:hAnsi="黑体" w:eastAsia="黑体"/>
          <w:color w:val="000000" w:themeColor="text1"/>
          <w:sz w:val="32"/>
          <w:szCs w:val="32"/>
        </w:rPr>
      </w:pPr>
      <w:r>
        <w:rPr>
          <w:rFonts w:hint="eastAsia" w:ascii="黑体" w:hAnsi="黑体" w:eastAsia="黑体"/>
          <w:color w:val="000000" w:themeColor="text1"/>
          <w:sz w:val="32"/>
          <w:szCs w:val="32"/>
        </w:rPr>
        <w:t>二、部门整体支出管理及使用情况</w:t>
      </w:r>
    </w:p>
    <w:p>
      <w:pPr>
        <w:spacing w:line="520" w:lineRule="exact"/>
        <w:ind w:firstLine="640" w:firstLineChars="200"/>
        <w:rPr>
          <w:rFonts w:ascii="黑体" w:hAnsi="黑体" w:eastAsia="黑体"/>
          <w:color w:val="000000" w:themeColor="text1"/>
          <w:sz w:val="32"/>
          <w:szCs w:val="32"/>
        </w:rPr>
      </w:pPr>
      <w:r>
        <w:rPr>
          <w:rFonts w:hint="eastAsia" w:ascii="楷体" w:hAnsi="楷体" w:eastAsia="楷体" w:cs="楷体"/>
          <w:b/>
          <w:color w:val="000000" w:themeColor="text1"/>
          <w:sz w:val="32"/>
          <w:szCs w:val="32"/>
        </w:rPr>
        <w:t>（一）部门预算收支情况</w:t>
      </w:r>
    </w:p>
    <w:p>
      <w:pPr>
        <w:widowControl/>
        <w:spacing w:line="540" w:lineRule="atLeast"/>
        <w:ind w:firstLine="640" w:firstLineChars="200"/>
        <w:jc w:val="left"/>
        <w:rPr>
          <w:rFonts w:ascii="仿宋" w:hAnsi="仿宋" w:eastAsia="仿宋"/>
          <w:color w:val="000000" w:themeColor="text1"/>
          <w:sz w:val="32"/>
          <w:szCs w:val="32"/>
        </w:rPr>
      </w:pPr>
      <w:r>
        <w:rPr>
          <w:rFonts w:hint="eastAsia" w:ascii="仿宋" w:hAnsi="仿宋" w:eastAsia="仿宋"/>
          <w:color w:val="000000" w:themeColor="text1"/>
          <w:sz w:val="32"/>
          <w:szCs w:val="32"/>
        </w:rPr>
        <w:t>我单位2020年年初各项支出预算批复经费包干数为593.47万元，其中工资福利支出295.27万元，一般商品服务支出23.2万元，专项经费275万元。全年预算指标合计为593.47万元。</w:t>
      </w:r>
    </w:p>
    <w:p>
      <w:pPr>
        <w:widowControl/>
        <w:spacing w:line="540" w:lineRule="atLeast"/>
        <w:ind w:firstLine="640" w:firstLineChars="200"/>
        <w:jc w:val="left"/>
        <w:rPr>
          <w:rFonts w:ascii="仿宋" w:hAnsi="仿宋" w:eastAsia="仿宋"/>
          <w:color w:val="000000" w:themeColor="text1"/>
          <w:sz w:val="32"/>
          <w:szCs w:val="32"/>
        </w:rPr>
      </w:pPr>
      <w:r>
        <w:rPr>
          <w:rFonts w:hint="eastAsia" w:ascii="仿宋" w:hAnsi="仿宋" w:eastAsia="仿宋"/>
          <w:color w:val="000000" w:themeColor="text1"/>
          <w:sz w:val="32"/>
          <w:szCs w:val="32"/>
        </w:rPr>
        <w:t>上年结转结余资金0万元，全年决算收入总计为675.48万元；2020年支出决算数为675.48万元，年末结转和结余数为0万元。</w:t>
      </w:r>
    </w:p>
    <w:p>
      <w:pPr>
        <w:spacing w:line="520" w:lineRule="exact"/>
        <w:ind w:firstLine="640" w:firstLineChars="200"/>
        <w:rPr>
          <w:rFonts w:ascii="楷体" w:hAnsi="楷体" w:eastAsia="楷体" w:cs="楷体"/>
          <w:b/>
          <w:color w:val="000000" w:themeColor="text1"/>
          <w:sz w:val="32"/>
          <w:szCs w:val="32"/>
        </w:rPr>
      </w:pPr>
      <w:r>
        <w:rPr>
          <w:rFonts w:hint="eastAsia" w:ascii="楷体" w:hAnsi="楷体" w:eastAsia="楷体" w:cs="楷体"/>
          <w:b/>
          <w:color w:val="000000" w:themeColor="text1"/>
          <w:sz w:val="32"/>
          <w:szCs w:val="32"/>
        </w:rPr>
        <w:t>（二）支出分类情况</w:t>
      </w:r>
    </w:p>
    <w:p>
      <w:pPr>
        <w:spacing w:line="520" w:lineRule="exact"/>
        <w:ind w:firstLine="640" w:firstLineChars="200"/>
        <w:rPr>
          <w:rFonts w:ascii="仿宋" w:hAnsi="仿宋" w:eastAsia="仿宋"/>
          <w:b/>
          <w:color w:val="000000" w:themeColor="text1"/>
          <w:sz w:val="32"/>
          <w:szCs w:val="32"/>
        </w:rPr>
      </w:pPr>
      <w:r>
        <w:rPr>
          <w:rFonts w:hint="eastAsia" w:ascii="仿宋" w:hAnsi="仿宋" w:eastAsia="仿宋"/>
          <w:b/>
          <w:color w:val="000000" w:themeColor="text1"/>
          <w:sz w:val="32"/>
          <w:szCs w:val="32"/>
        </w:rPr>
        <w:t>1、基本支出情况</w:t>
      </w:r>
    </w:p>
    <w:p>
      <w:pPr>
        <w:spacing w:line="52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我单位基本支出范围和主要用途包括人员经费和日常公用经费，具体包括：工资福利支出、一般商品和服务支出、资本性支出等。2020年度基本支出的管理和使用情况如下：本级基本支出总额318.47万元，其中工资福利支出295.27万元，日常公用经费23.2万元。</w:t>
      </w:r>
    </w:p>
    <w:p>
      <w:pPr>
        <w:spacing w:line="520" w:lineRule="exact"/>
        <w:ind w:firstLine="640" w:firstLineChars="200"/>
        <w:rPr>
          <w:rFonts w:ascii="仿宋" w:hAnsi="仿宋" w:eastAsia="仿宋"/>
          <w:b/>
          <w:color w:val="000000" w:themeColor="text1"/>
          <w:sz w:val="32"/>
          <w:szCs w:val="32"/>
        </w:rPr>
      </w:pPr>
      <w:r>
        <w:rPr>
          <w:rFonts w:hint="eastAsia" w:ascii="仿宋" w:hAnsi="仿宋" w:eastAsia="仿宋"/>
          <w:b/>
          <w:color w:val="000000" w:themeColor="text1"/>
          <w:sz w:val="32"/>
          <w:szCs w:val="32"/>
        </w:rPr>
        <w:t>2、专项支出情况</w:t>
      </w:r>
    </w:p>
    <w:p>
      <w:pPr>
        <w:spacing w:line="52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2020年我单位专项资金支出275万元，用于政协专项工作相关工作支出48万元，用于政协会议相关工作支出80万元，用于政协委员活动相关工作支出75万元，用于文史资料相关工作支出12万元，用于政协文史编纂相关工作支出20万元，用于参政、议政、民主监督相关工作支出35万元，用于政协常委会议经费5万元。</w:t>
      </w:r>
    </w:p>
    <w:p>
      <w:pPr>
        <w:spacing w:line="520" w:lineRule="exact"/>
        <w:ind w:firstLine="640" w:firstLineChars="200"/>
        <w:rPr>
          <w:rFonts w:ascii="楷体" w:hAnsi="楷体" w:eastAsia="楷体" w:cs="楷体"/>
          <w:b/>
          <w:color w:val="000000" w:themeColor="text1"/>
          <w:sz w:val="32"/>
          <w:szCs w:val="32"/>
        </w:rPr>
      </w:pPr>
      <w:r>
        <w:rPr>
          <w:rFonts w:hint="eastAsia" w:ascii="楷体" w:hAnsi="楷体" w:eastAsia="楷体" w:cs="楷体"/>
          <w:b/>
          <w:color w:val="000000" w:themeColor="text1"/>
          <w:sz w:val="32"/>
          <w:szCs w:val="32"/>
        </w:rPr>
        <w:t>（三）“三公”经费情况</w:t>
      </w:r>
    </w:p>
    <w:p>
      <w:pPr>
        <w:spacing w:line="52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2020年我单位“三公”经费预算控制数为2万元，其中“因公出国（境）费”和“公务用车购置及运行维护费”均为0元，“公务接待费”预算为2万元。2020年实际支出均控制在预算范围内，其中：因公出国（境）费”和“公务用车购置及运行维护费”实际支出为0元，“公务接待费”实际支出1.74万元，较上年度减少0.35万元。</w:t>
      </w:r>
    </w:p>
    <w:p>
      <w:pPr>
        <w:spacing w:line="520" w:lineRule="exact"/>
        <w:ind w:firstLine="640" w:firstLineChars="200"/>
        <w:rPr>
          <w:rFonts w:ascii="宋体" w:hAnsi="宋体" w:cs="宋体"/>
          <w:b/>
          <w:color w:val="000000"/>
          <w:sz w:val="28"/>
          <w:szCs w:val="28"/>
        </w:rPr>
      </w:pPr>
      <w:r>
        <w:rPr>
          <w:rFonts w:hint="eastAsia" w:ascii="黑体" w:hAnsi="黑体" w:eastAsia="黑体" w:cs="Times New Roman"/>
          <w:color w:val="000000" w:themeColor="text1"/>
          <w:sz w:val="32"/>
          <w:szCs w:val="32"/>
        </w:rPr>
        <w:t>三、部门整体支出绩效评价情况</w:t>
      </w:r>
    </w:p>
    <w:p>
      <w:pPr>
        <w:spacing w:line="52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2020年衡南县政协整体支出资金资金使用基本上符合政策要求，合理合法，使用有效，管理较规范， 根据《整体支出资金项目绩效评价指标体系》评分，得分96.98分（详见附件1），财政支出绩效为“优”。</w:t>
      </w:r>
    </w:p>
    <w:p>
      <w:pPr>
        <w:pStyle w:val="5"/>
        <w:ind w:left="241" w:firstLine="560" w:firstLineChars="200"/>
        <w:rPr>
          <w:b/>
          <w:color w:val="000000"/>
          <w:sz w:val="28"/>
          <w:szCs w:val="28"/>
        </w:rPr>
      </w:pPr>
      <w:r>
        <w:rPr>
          <w:rFonts w:hint="eastAsia"/>
          <w:b/>
          <w:color w:val="000000"/>
          <w:sz w:val="28"/>
          <w:szCs w:val="28"/>
        </w:rPr>
        <w:t>四、存在问题</w:t>
      </w:r>
    </w:p>
    <w:p>
      <w:pPr>
        <w:spacing w:line="52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(1)年初编制的预算不够精确，预算控制率较低，影响单位评分及评价等次。</w:t>
      </w:r>
    </w:p>
    <w:p>
      <w:pPr>
        <w:spacing w:line="52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(2)预算执行情况还有待加强。</w:t>
      </w:r>
    </w:p>
    <w:p>
      <w:pPr>
        <w:pStyle w:val="5"/>
        <w:ind w:left="241" w:firstLine="560" w:firstLineChars="200"/>
        <w:rPr>
          <w:b/>
          <w:color w:val="000000"/>
          <w:sz w:val="28"/>
          <w:szCs w:val="28"/>
        </w:rPr>
      </w:pPr>
      <w:r>
        <w:rPr>
          <w:rFonts w:hint="eastAsia"/>
          <w:b/>
          <w:color w:val="000000"/>
          <w:sz w:val="28"/>
          <w:szCs w:val="28"/>
        </w:rPr>
        <w:t>五、改进措施建议。</w:t>
      </w:r>
    </w:p>
    <w:p>
      <w:pPr>
        <w:spacing w:line="52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1、细化预算编制工作，认真做好预算的编制。进一步加强内部机构的预算管理意识，严格按照预算编制的相关制度和要求，本着“勤俭节约、保障运转”的原则进行预算的编制；编制范围尽可能的全面、不漏项，进一步提高预算编制的科学性、合理性、严谨性和可控性。</w:t>
      </w:r>
    </w:p>
    <w:p>
      <w:pPr>
        <w:spacing w:line="52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2、在日常预算管理过程中，进一步加强预算支出的审核、跟踪及预算执行情况分析。</w:t>
      </w:r>
    </w:p>
    <w:p>
      <w:pPr>
        <w:spacing w:line="520" w:lineRule="exact"/>
        <w:ind w:firstLine="640" w:firstLineChars="200"/>
        <w:rPr>
          <w:rFonts w:ascii="仿宋" w:hAnsi="仿宋" w:eastAsia="仿宋"/>
          <w:color w:val="000000" w:themeColor="text1"/>
          <w:sz w:val="32"/>
          <w:szCs w:val="32"/>
        </w:rPr>
      </w:pPr>
    </w:p>
    <w:p>
      <w:pPr>
        <w:widowControl/>
        <w:spacing w:line="540" w:lineRule="atLeast"/>
        <w:ind w:firstLine="560" w:firstLineChars="200"/>
        <w:jc w:val="left"/>
        <w:rPr>
          <w:rFonts w:ascii="宋体" w:eastAsia="宋体" w:cs="宋体"/>
          <w:sz w:val="28"/>
          <w:szCs w:val="28"/>
        </w:rPr>
      </w:pPr>
      <w:r>
        <w:rPr>
          <w:rFonts w:ascii="宋体" w:cs="宋体"/>
          <w:color w:val="000000"/>
          <w:kern w:val="0"/>
          <w:sz w:val="28"/>
          <w:szCs w:val="28"/>
        </w:rPr>
        <w:t> </w:t>
      </w:r>
    </w:p>
    <w:p>
      <w:pPr>
        <w:ind w:firstLine="640" w:firstLineChars="200"/>
        <w:jc w:val="left"/>
        <w:rPr>
          <w:rFonts w:cs="黑体" w:asciiTheme="minorEastAsia" w:hAnsiTheme="minorEastAsia"/>
          <w:color w:val="000000"/>
          <w:kern w:val="0"/>
          <w:sz w:val="32"/>
          <w:szCs w:val="32"/>
        </w:rPr>
      </w:pPr>
    </w:p>
    <w:sectPr>
      <w:pgSz w:w="11906" w:h="16838"/>
      <w:pgMar w:top="720" w:right="1306" w:bottom="720" w:left="136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23E89B2"/>
    <w:multiLevelType w:val="singleLevel"/>
    <w:tmpl w:val="E23E89B2"/>
    <w:lvl w:ilvl="0" w:tentative="0">
      <w:start w:val="1"/>
      <w:numFmt w:val="chineseCounting"/>
      <w:suff w:val="nothing"/>
      <w:lvlText w:val="%1、"/>
      <w:lvlJc w:val="left"/>
      <w:rPr>
        <w:rFonts w:hint="eastAsia"/>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4506F9"/>
    <w:rsid w:val="000040DA"/>
    <w:rsid w:val="0002229B"/>
    <w:rsid w:val="000273BD"/>
    <w:rsid w:val="00035368"/>
    <w:rsid w:val="000415B7"/>
    <w:rsid w:val="000658A3"/>
    <w:rsid w:val="00074155"/>
    <w:rsid w:val="000A3F69"/>
    <w:rsid w:val="000B1A5F"/>
    <w:rsid w:val="000E79FC"/>
    <w:rsid w:val="00141F70"/>
    <w:rsid w:val="001456C6"/>
    <w:rsid w:val="00150616"/>
    <w:rsid w:val="00152C6D"/>
    <w:rsid w:val="00162D39"/>
    <w:rsid w:val="001766A8"/>
    <w:rsid w:val="0019502C"/>
    <w:rsid w:val="001A67DB"/>
    <w:rsid w:val="001D51E5"/>
    <w:rsid w:val="001D7DBF"/>
    <w:rsid w:val="001F0C3B"/>
    <w:rsid w:val="00214427"/>
    <w:rsid w:val="00220194"/>
    <w:rsid w:val="00236503"/>
    <w:rsid w:val="00240573"/>
    <w:rsid w:val="00265724"/>
    <w:rsid w:val="0027426B"/>
    <w:rsid w:val="00275391"/>
    <w:rsid w:val="002E2553"/>
    <w:rsid w:val="00310E54"/>
    <w:rsid w:val="003479BD"/>
    <w:rsid w:val="003768D5"/>
    <w:rsid w:val="004506F9"/>
    <w:rsid w:val="004717A2"/>
    <w:rsid w:val="0048147C"/>
    <w:rsid w:val="00491741"/>
    <w:rsid w:val="004D72CA"/>
    <w:rsid w:val="00500E5F"/>
    <w:rsid w:val="00504E20"/>
    <w:rsid w:val="005122EF"/>
    <w:rsid w:val="00517C33"/>
    <w:rsid w:val="00523644"/>
    <w:rsid w:val="0054069E"/>
    <w:rsid w:val="005767CC"/>
    <w:rsid w:val="00590D9F"/>
    <w:rsid w:val="00595D26"/>
    <w:rsid w:val="005A74E6"/>
    <w:rsid w:val="005D0B6D"/>
    <w:rsid w:val="005D2996"/>
    <w:rsid w:val="005D4D55"/>
    <w:rsid w:val="005E2CFB"/>
    <w:rsid w:val="0062378F"/>
    <w:rsid w:val="00651EEC"/>
    <w:rsid w:val="00652FEE"/>
    <w:rsid w:val="006A351B"/>
    <w:rsid w:val="006B0422"/>
    <w:rsid w:val="006C1B53"/>
    <w:rsid w:val="006D7730"/>
    <w:rsid w:val="006E33E6"/>
    <w:rsid w:val="006E5284"/>
    <w:rsid w:val="006F3EB5"/>
    <w:rsid w:val="00702E34"/>
    <w:rsid w:val="00704395"/>
    <w:rsid w:val="00720FF1"/>
    <w:rsid w:val="0079646A"/>
    <w:rsid w:val="007A19B3"/>
    <w:rsid w:val="007E4F18"/>
    <w:rsid w:val="00800CF2"/>
    <w:rsid w:val="00801C2C"/>
    <w:rsid w:val="00812ED5"/>
    <w:rsid w:val="008277D9"/>
    <w:rsid w:val="008A3E8D"/>
    <w:rsid w:val="009016AF"/>
    <w:rsid w:val="009237C4"/>
    <w:rsid w:val="00942649"/>
    <w:rsid w:val="00950252"/>
    <w:rsid w:val="00967F5D"/>
    <w:rsid w:val="009A0F95"/>
    <w:rsid w:val="009B3ADF"/>
    <w:rsid w:val="009C3B52"/>
    <w:rsid w:val="00A42218"/>
    <w:rsid w:val="00A574ED"/>
    <w:rsid w:val="00A70249"/>
    <w:rsid w:val="00A947E0"/>
    <w:rsid w:val="00B128B0"/>
    <w:rsid w:val="00B33BEA"/>
    <w:rsid w:val="00B37021"/>
    <w:rsid w:val="00B57C9F"/>
    <w:rsid w:val="00B845B3"/>
    <w:rsid w:val="00B85D8B"/>
    <w:rsid w:val="00BE3674"/>
    <w:rsid w:val="00C0697D"/>
    <w:rsid w:val="00C22F7A"/>
    <w:rsid w:val="00C3049A"/>
    <w:rsid w:val="00C31B1E"/>
    <w:rsid w:val="00C67010"/>
    <w:rsid w:val="00C77645"/>
    <w:rsid w:val="00C87328"/>
    <w:rsid w:val="00CA2069"/>
    <w:rsid w:val="00CE04C3"/>
    <w:rsid w:val="00CE76A0"/>
    <w:rsid w:val="00D148C6"/>
    <w:rsid w:val="00D17642"/>
    <w:rsid w:val="00D94744"/>
    <w:rsid w:val="00DD06FF"/>
    <w:rsid w:val="00DD5FE9"/>
    <w:rsid w:val="00E00C7A"/>
    <w:rsid w:val="00E01863"/>
    <w:rsid w:val="00E55B68"/>
    <w:rsid w:val="00EF29EE"/>
    <w:rsid w:val="00F74360"/>
    <w:rsid w:val="00FB3E68"/>
    <w:rsid w:val="00FB462F"/>
    <w:rsid w:val="00FE0C89"/>
    <w:rsid w:val="00FE16FA"/>
    <w:rsid w:val="00FE328A"/>
    <w:rsid w:val="01A15481"/>
    <w:rsid w:val="01CC3ABE"/>
    <w:rsid w:val="02457A34"/>
    <w:rsid w:val="05C0754B"/>
    <w:rsid w:val="06E96BA0"/>
    <w:rsid w:val="0A733E75"/>
    <w:rsid w:val="0A9D5880"/>
    <w:rsid w:val="0C697503"/>
    <w:rsid w:val="1575462F"/>
    <w:rsid w:val="18F31DD8"/>
    <w:rsid w:val="1B776439"/>
    <w:rsid w:val="1C8C19E4"/>
    <w:rsid w:val="1D55766A"/>
    <w:rsid w:val="206456D9"/>
    <w:rsid w:val="20C332C3"/>
    <w:rsid w:val="26955EA5"/>
    <w:rsid w:val="27084BCE"/>
    <w:rsid w:val="2A2C24F5"/>
    <w:rsid w:val="2C2D7B92"/>
    <w:rsid w:val="39FA17E5"/>
    <w:rsid w:val="3DBD6389"/>
    <w:rsid w:val="4086613A"/>
    <w:rsid w:val="424E6F24"/>
    <w:rsid w:val="442D0332"/>
    <w:rsid w:val="49C661FF"/>
    <w:rsid w:val="4A57301D"/>
    <w:rsid w:val="4E8A1B27"/>
    <w:rsid w:val="54544DBE"/>
    <w:rsid w:val="5DA14CA4"/>
    <w:rsid w:val="5E6504E0"/>
    <w:rsid w:val="616E017D"/>
    <w:rsid w:val="628E4E74"/>
    <w:rsid w:val="67666E50"/>
    <w:rsid w:val="6A6F56DB"/>
    <w:rsid w:val="7186216A"/>
    <w:rsid w:val="78DA69F4"/>
    <w:rsid w:val="795C4A84"/>
    <w:rsid w:val="796E28C6"/>
    <w:rsid w:val="79B850D5"/>
    <w:rsid w:val="7C4C66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Balloon Text"/>
    <w:basedOn w:val="1"/>
    <w:link w:val="12"/>
    <w:semiHidden/>
    <w:unhideWhenUsed/>
    <w:qFormat/>
    <w:uiPriority w:val="99"/>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sz w:val="18"/>
      <w:szCs w:val="18"/>
    </w:rPr>
  </w:style>
  <w:style w:type="character" w:customStyle="1" w:styleId="9">
    <w:name w:val="页脚 Char"/>
    <w:basedOn w:val="7"/>
    <w:link w:val="2"/>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4334FE-0C61-4768-B13C-9B0CF84FBAF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20</Pages>
  <Words>942</Words>
  <Characters>5372</Characters>
  <Lines>44</Lines>
  <Paragraphs>12</Paragraphs>
  <TotalTime>12</TotalTime>
  <ScaleCrop>false</ScaleCrop>
  <LinksUpToDate>false</LinksUpToDate>
  <CharactersWithSpaces>6302</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2020-09-24T01:10:00Z</dcterms:created>
  <dc:creator>李航 null</dc:creator>
  <cp:lastModifiedBy>茜茜</cp:lastModifiedBy>
  <cp:lastPrinted>2020-09-24T07:08:00Z</cp:lastPrinted>
  <dcterms:modified xsi:type="dcterms:W3CDTF">2023-11-08T05:49:29Z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y fmtid="{D5CDD505-2E9C-101B-9397-08002B2CF9AE}" pid="3" name="ICV">
    <vt:lpwstr>BBDDD598BE864B57A4DE608308D36AC6</vt:lpwstr>
  </property>
</Properties>
</file>