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黑体" w:hAnsi="黑体" w:eastAsia="黑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衡南县工商业联合会整体支出绩效评价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报  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00" w:firstLineChars="200"/>
        <w:textAlignment w:val="auto"/>
        <w:rPr>
          <w:rFonts w:hint="eastAsia" w:ascii="仿宋" w:hAnsi="仿宋" w:eastAsia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32" w:firstLineChars="200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 w:cs="仿宋"/>
          <w:spacing w:val="-2"/>
          <w:sz w:val="32"/>
          <w:szCs w:val="32"/>
        </w:rPr>
        <w:t>加强财政预算资金管理，进一步规范预算资金使用，提高财政资金使用效益，</w:t>
      </w:r>
      <w:r>
        <w:rPr>
          <w:rFonts w:hint="eastAsia" w:ascii="仿宋" w:hAnsi="仿宋" w:eastAsia="仿宋"/>
          <w:sz w:val="30"/>
          <w:szCs w:val="30"/>
        </w:rPr>
        <w:t>我联（总商会）对202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/>
          <w:sz w:val="30"/>
          <w:szCs w:val="30"/>
        </w:rPr>
        <w:t>年度本单位整体支出进行了绩效自评，现将具体绩效评价情况报告如下：</w:t>
      </w:r>
      <w:r>
        <w:rPr>
          <w:rFonts w:hint="eastAsia" w:ascii="华文仿宋" w:hAnsi="华文仿宋" w:eastAsia="仿宋"/>
          <w:sz w:val="30"/>
          <w:szCs w:val="30"/>
        </w:rPr>
        <w:t>          </w:t>
      </w:r>
      <w:r>
        <w:rPr>
          <w:rFonts w:hint="eastAsia" w:ascii="仿宋" w:hAnsi="仿宋" w:eastAsia="仿宋"/>
          <w:sz w:val="30"/>
          <w:szCs w:val="30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00" w:firstLineChars="200"/>
        <w:textAlignment w:val="auto"/>
        <w:rPr>
          <w:rFonts w:hint="eastAsia" w:ascii="仿宋" w:hAnsi="仿宋" w:eastAsia="仿宋" w:cs="迷你简黑体"/>
          <w:sz w:val="30"/>
          <w:szCs w:val="30"/>
        </w:rPr>
      </w:pPr>
      <w:r>
        <w:rPr>
          <w:rFonts w:hint="eastAsia" w:ascii="仿宋" w:hAnsi="仿宋" w:eastAsia="仿宋" w:cs="迷你简黑体"/>
          <w:sz w:val="30"/>
          <w:szCs w:val="30"/>
        </w:rPr>
        <w:t>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5"/>
        <w:textAlignment w:val="auto"/>
        <w:rPr>
          <w:rFonts w:hint="eastAsia"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机构设置及人员编制情况：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5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衡南县工商业联合会属财政全额拨款的单位，纳入财政会计集中核算和国库集中支付体系，财务执行《行政单位会计制度》。现有在职干部职工12人（其中行政编制4人，全额事业编8人），退休人员6人。单位内设办公室、</w:t>
      </w:r>
      <w:r>
        <w:rPr>
          <w:rFonts w:hint="eastAsia" w:ascii="仿宋" w:hAnsi="仿宋" w:eastAsia="仿宋" w:cs="宋体"/>
          <w:sz w:val="30"/>
          <w:szCs w:val="30"/>
        </w:rPr>
        <w:t>会员部、经济联络部、宣教部</w:t>
      </w:r>
      <w:r>
        <w:rPr>
          <w:rFonts w:hint="eastAsia" w:ascii="仿宋" w:hAnsi="仿宋" w:eastAsia="仿宋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02" w:firstLineChars="200"/>
        <w:textAlignment w:val="auto"/>
        <w:rPr>
          <w:rFonts w:hint="eastAsia"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主要工作职责：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31" w:firstLineChars="177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1、团结、服务、引导、教育非公有制经济人士爱国、敬业、诚信、守法、贡献，培养拥护党的领导、走中国特色社会主义道路的非公有制经济人士队伍。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31" w:firstLineChars="177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2、做好非公有制经济代表人士政治安排的推荐工作。参与</w:t>
      </w:r>
      <w:r>
        <w:fldChar w:fldCharType="begin"/>
      </w:r>
      <w:r>
        <w:instrText xml:space="preserve"> HYPERLINK "https://www.baidu.com/s?wd=%E6%94%BF%E6%B2%BB%E5%8D%8F%E5%95%86&amp;tn=SE_PcZhidaonwhc_ngpagmjz&amp;rsv_dl=gh_pc_zhidao" \t "_blank" </w:instrText>
      </w:r>
      <w:r>
        <w:fldChar w:fldCharType="separate"/>
      </w:r>
      <w:r>
        <w:rPr>
          <w:rFonts w:hint="eastAsia" w:ascii="仿宋" w:hAnsi="仿宋" w:eastAsia="仿宋"/>
          <w:sz w:val="30"/>
          <w:szCs w:val="30"/>
        </w:rPr>
        <w:t>政治协商</w:t>
      </w:r>
      <w:r>
        <w:rPr>
          <w:rFonts w:hint="eastAsia" w:ascii="仿宋" w:hAnsi="仿宋" w:eastAsia="仿宋"/>
          <w:sz w:val="30"/>
          <w:szCs w:val="30"/>
        </w:rPr>
        <w:fldChar w:fldCharType="end"/>
      </w:r>
      <w:r>
        <w:rPr>
          <w:rFonts w:hint="eastAsia" w:ascii="仿宋" w:hAnsi="仿宋" w:eastAsia="仿宋"/>
          <w:sz w:val="30"/>
          <w:szCs w:val="30"/>
        </w:rPr>
        <w:t>，发挥民主监督作用，积极</w:t>
      </w:r>
      <w:r>
        <w:fldChar w:fldCharType="begin"/>
      </w:r>
      <w:r>
        <w:instrText xml:space="preserve"> HYPERLINK "https://www.baidu.com/s?wd=%E5%8F%82%E6%94%BF%E8%AE%AE%E6%94%BF&amp;tn=SE_PcZhidaonwhc_ngpagmjz&amp;rsv_dl=gh_pc_zhidao" \t "_blank" </w:instrText>
      </w:r>
      <w:r>
        <w:fldChar w:fldCharType="separate"/>
      </w:r>
      <w:r>
        <w:rPr>
          <w:rFonts w:hint="eastAsia" w:ascii="仿宋" w:hAnsi="仿宋" w:eastAsia="仿宋"/>
          <w:sz w:val="30"/>
          <w:szCs w:val="30"/>
        </w:rPr>
        <w:t>参政议政</w:t>
      </w:r>
      <w:r>
        <w:rPr>
          <w:rFonts w:hint="eastAsia" w:ascii="仿宋" w:hAnsi="仿宋" w:eastAsia="仿宋"/>
          <w:sz w:val="30"/>
          <w:szCs w:val="30"/>
        </w:rPr>
        <w:fldChar w:fldCharType="end"/>
      </w:r>
      <w:r>
        <w:rPr>
          <w:rFonts w:hint="eastAsia" w:ascii="仿宋" w:hAnsi="仿宋" w:eastAsia="仿宋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31" w:firstLineChars="177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3、参与政府相关的经济活动，广泛联系各地工商界人士，开展民间外交，推动经贸交流和协作，促进经济社会发展。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31" w:firstLineChars="177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4、参与协调劳动关系，促进和谐社会建设。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31" w:firstLineChars="177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5、指导本会直属商会工作，积极参与社会组织建设工作，促进行业协会商会改革发展。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31" w:firstLineChars="177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6、反映非公有制企业和非公有制经济人士利益诉求，维护其合法权益。</w:t>
      </w:r>
      <w:r>
        <w:rPr>
          <w:rFonts w:hint="eastAsia" w:ascii="华文仿宋" w:hAnsi="华文仿宋" w:eastAsia="仿宋"/>
          <w:sz w:val="30"/>
          <w:szCs w:val="30"/>
        </w:rPr>
        <w:t>             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31" w:firstLineChars="177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7、为会员提供政策信息、人才交流培训等服务。组织会员企业参加各类经贸活动，外出参观考察，帮助会员企业拓展市场。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31" w:firstLineChars="177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8、配合有关部门开展非公有制会员企业党建工作。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31" w:firstLineChars="177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9、积极引导非公有制企业及其非公有制经济人士承担社会责任，大力支持慈善公益事业发展，积极投身</w:t>
      </w:r>
      <w:r>
        <w:fldChar w:fldCharType="begin"/>
      </w:r>
      <w:r>
        <w:instrText xml:space="preserve"> HYPERLINK "https://www.baidu.com/s?wd=%E5%85%89%E5%BD%A9%E4%BA%8B%E4%B8%9A&amp;tn=SE_PcZhidaonwhc_ngpagmjz&amp;rsv_dl=gh_pc_zhidao" \t "_blank" </w:instrText>
      </w:r>
      <w:r>
        <w:fldChar w:fldCharType="separate"/>
      </w:r>
      <w:r>
        <w:rPr>
          <w:rFonts w:hint="eastAsia" w:ascii="仿宋" w:hAnsi="仿宋" w:eastAsia="仿宋"/>
          <w:sz w:val="30"/>
          <w:szCs w:val="30"/>
        </w:rPr>
        <w:t>光彩事业</w:t>
      </w:r>
      <w:r>
        <w:rPr>
          <w:rFonts w:hint="eastAsia" w:ascii="仿宋" w:hAnsi="仿宋" w:eastAsia="仿宋"/>
          <w:sz w:val="30"/>
          <w:szCs w:val="30"/>
        </w:rPr>
        <w:fldChar w:fldCharType="end"/>
      </w:r>
      <w:r>
        <w:rPr>
          <w:rFonts w:hint="eastAsia" w:ascii="仿宋" w:hAnsi="仿宋" w:eastAsia="仿宋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31" w:firstLineChars="177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10、承办县委、县政府和上级工商联交办的其它任务。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5"/>
        <w:textAlignment w:val="auto"/>
        <w:rPr>
          <w:rFonts w:hint="eastAsia" w:ascii="仿宋" w:hAnsi="仿宋" w:eastAsia="仿宋" w:cs="迷你简黑体"/>
          <w:b/>
          <w:bCs/>
          <w:sz w:val="30"/>
          <w:szCs w:val="30"/>
        </w:rPr>
      </w:pPr>
      <w:r>
        <w:rPr>
          <w:rFonts w:hint="eastAsia" w:ascii="仿宋" w:hAnsi="仿宋" w:eastAsia="仿宋" w:cs="迷你简黑体"/>
          <w:b/>
          <w:bCs/>
          <w:sz w:val="30"/>
          <w:szCs w:val="30"/>
        </w:rPr>
        <w:t>二、部门整体支出管理及使用情况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5"/>
        <w:textAlignment w:val="auto"/>
        <w:rPr>
          <w:rFonts w:ascii="仿宋" w:hAnsi="仿宋" w:eastAsia="仿宋" w:cs="迷你简黑体"/>
          <w:bCs/>
          <w:sz w:val="30"/>
          <w:szCs w:val="30"/>
        </w:rPr>
      </w:pPr>
      <w:r>
        <w:rPr>
          <w:rFonts w:hint="eastAsia" w:ascii="仿宋" w:hAnsi="仿宋" w:eastAsia="仿宋" w:cs="迷你简黑体"/>
          <w:bCs/>
          <w:sz w:val="30"/>
          <w:szCs w:val="30"/>
        </w:rPr>
        <w:t>我单位202</w:t>
      </w:r>
      <w:r>
        <w:rPr>
          <w:rFonts w:hint="eastAsia" w:ascii="仿宋" w:hAnsi="仿宋" w:eastAsia="仿宋" w:cs="迷你简黑体"/>
          <w:bCs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迷你简黑体"/>
          <w:bCs/>
          <w:sz w:val="30"/>
          <w:szCs w:val="30"/>
        </w:rPr>
        <w:t>年年初各项支出预算批复经费包干数为</w:t>
      </w:r>
      <w:r>
        <w:rPr>
          <w:rFonts w:hint="eastAsia" w:ascii="仿宋" w:hAnsi="仿宋" w:eastAsia="仿宋" w:cs="迷你简黑体"/>
          <w:bCs/>
          <w:sz w:val="30"/>
          <w:szCs w:val="30"/>
          <w:lang w:val="en-US" w:eastAsia="zh-CN"/>
        </w:rPr>
        <w:t>266.84</w:t>
      </w:r>
      <w:r>
        <w:rPr>
          <w:rFonts w:hint="eastAsia" w:ascii="仿宋" w:hAnsi="仿宋" w:eastAsia="仿宋" w:cs="迷你简黑体"/>
          <w:bCs/>
          <w:sz w:val="30"/>
          <w:szCs w:val="30"/>
        </w:rPr>
        <w:t>万元（均为公共财政拨款），其中:基本支出</w:t>
      </w:r>
      <w:r>
        <w:rPr>
          <w:rFonts w:hint="eastAsia" w:ascii="仿宋" w:hAnsi="仿宋" w:eastAsia="仿宋" w:cs="迷你简黑体"/>
          <w:bCs/>
          <w:sz w:val="30"/>
          <w:szCs w:val="30"/>
          <w:lang w:val="en-US" w:eastAsia="zh-CN"/>
        </w:rPr>
        <w:t>184.72</w:t>
      </w:r>
      <w:r>
        <w:rPr>
          <w:rFonts w:hint="eastAsia" w:ascii="仿宋" w:hAnsi="仿宋" w:eastAsia="仿宋" w:cs="迷你简黑体"/>
          <w:bCs/>
          <w:sz w:val="30"/>
          <w:szCs w:val="30"/>
        </w:rPr>
        <w:t>万元，包括人员经费</w:t>
      </w:r>
      <w:r>
        <w:rPr>
          <w:rFonts w:hint="eastAsia" w:ascii="仿宋" w:hAnsi="仿宋" w:eastAsia="仿宋" w:cs="迷你简黑体"/>
          <w:bCs/>
          <w:sz w:val="30"/>
          <w:szCs w:val="30"/>
          <w:lang w:val="en-US" w:eastAsia="zh-CN"/>
        </w:rPr>
        <w:t>168.66</w:t>
      </w:r>
      <w:r>
        <w:rPr>
          <w:rFonts w:hint="eastAsia" w:ascii="仿宋" w:hAnsi="仿宋" w:eastAsia="仿宋" w:cs="迷你简黑体"/>
          <w:bCs/>
          <w:sz w:val="30"/>
          <w:szCs w:val="30"/>
        </w:rPr>
        <w:t>万元，公用经费</w:t>
      </w:r>
      <w:r>
        <w:rPr>
          <w:rFonts w:hint="eastAsia" w:ascii="仿宋" w:hAnsi="仿宋" w:eastAsia="仿宋" w:cs="迷你简黑体"/>
          <w:bCs/>
          <w:sz w:val="30"/>
          <w:szCs w:val="30"/>
          <w:lang w:val="en-US" w:eastAsia="zh-CN"/>
        </w:rPr>
        <w:t>16.86</w:t>
      </w:r>
      <w:r>
        <w:rPr>
          <w:rFonts w:hint="eastAsia" w:ascii="仿宋" w:hAnsi="仿宋" w:eastAsia="仿宋" w:cs="迷你简黑体"/>
          <w:bCs/>
          <w:sz w:val="30"/>
          <w:szCs w:val="30"/>
        </w:rPr>
        <w:t>万元。年度执行中调整预算后，当年预算收入</w:t>
      </w:r>
      <w:r>
        <w:rPr>
          <w:rFonts w:hint="eastAsia" w:ascii="仿宋" w:hAnsi="仿宋" w:eastAsia="仿宋" w:cs="迷你简黑体"/>
          <w:bCs/>
          <w:sz w:val="30"/>
          <w:szCs w:val="30"/>
          <w:lang w:val="en-US" w:eastAsia="zh-CN"/>
        </w:rPr>
        <w:t>308.94</w:t>
      </w:r>
      <w:r>
        <w:rPr>
          <w:rFonts w:hint="eastAsia" w:ascii="仿宋" w:hAnsi="仿宋" w:eastAsia="仿宋" w:cs="迷你简黑体"/>
          <w:bCs/>
          <w:sz w:val="30"/>
          <w:szCs w:val="30"/>
        </w:rPr>
        <w:t>万元，上年结转</w:t>
      </w:r>
      <w:r>
        <w:rPr>
          <w:rFonts w:hint="eastAsia" w:ascii="仿宋" w:hAnsi="仿宋" w:eastAsia="仿宋" w:cs="迷你简黑体"/>
          <w:bCs/>
          <w:sz w:val="30"/>
          <w:szCs w:val="30"/>
          <w:lang w:val="en-US" w:eastAsia="zh-CN"/>
        </w:rPr>
        <w:t>6.83</w:t>
      </w:r>
      <w:r>
        <w:rPr>
          <w:rFonts w:hint="eastAsia" w:ascii="仿宋" w:hAnsi="仿宋" w:eastAsia="仿宋" w:cs="迷你简黑体"/>
          <w:bCs/>
          <w:sz w:val="30"/>
          <w:szCs w:val="30"/>
        </w:rPr>
        <w:t>万元，全年预算收入</w:t>
      </w:r>
      <w:r>
        <w:rPr>
          <w:rFonts w:hint="eastAsia" w:ascii="仿宋" w:hAnsi="仿宋" w:eastAsia="仿宋" w:cs="迷你简黑体"/>
          <w:bCs/>
          <w:sz w:val="30"/>
          <w:szCs w:val="30"/>
          <w:lang w:val="en-US" w:eastAsia="zh-CN"/>
        </w:rPr>
        <w:t>308.94</w:t>
      </w:r>
      <w:r>
        <w:rPr>
          <w:rFonts w:hint="eastAsia" w:ascii="仿宋" w:hAnsi="仿宋" w:eastAsia="仿宋" w:cs="迷你简黑体"/>
          <w:bCs/>
          <w:sz w:val="30"/>
          <w:szCs w:val="30"/>
        </w:rPr>
        <w:t>万元。202</w:t>
      </w:r>
      <w:r>
        <w:rPr>
          <w:rFonts w:hint="eastAsia" w:ascii="仿宋" w:hAnsi="仿宋" w:eastAsia="仿宋" w:cs="迷你简黑体"/>
          <w:bCs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迷你简黑体"/>
          <w:bCs/>
          <w:sz w:val="30"/>
          <w:szCs w:val="30"/>
        </w:rPr>
        <w:t>年支出决算数为</w:t>
      </w:r>
      <w:r>
        <w:rPr>
          <w:rFonts w:hint="eastAsia" w:ascii="仿宋" w:hAnsi="仿宋" w:eastAsia="仿宋" w:cs="迷你简黑体"/>
          <w:bCs/>
          <w:sz w:val="30"/>
          <w:szCs w:val="30"/>
          <w:lang w:val="en-US" w:eastAsia="zh-CN"/>
        </w:rPr>
        <w:t>315.77</w:t>
      </w:r>
      <w:r>
        <w:rPr>
          <w:rFonts w:hint="eastAsia" w:ascii="仿宋" w:hAnsi="仿宋" w:eastAsia="仿宋" w:cs="迷你简黑体"/>
          <w:bCs/>
          <w:sz w:val="30"/>
          <w:szCs w:val="30"/>
        </w:rPr>
        <w:t>万元，其中基本支出完成</w:t>
      </w:r>
      <w:r>
        <w:rPr>
          <w:rFonts w:hint="eastAsia" w:ascii="仿宋" w:hAnsi="仿宋" w:eastAsia="仿宋" w:cs="迷你简黑体"/>
          <w:bCs/>
          <w:sz w:val="30"/>
          <w:szCs w:val="30"/>
          <w:lang w:val="en-US" w:eastAsia="zh-CN"/>
        </w:rPr>
        <w:t>184.72</w:t>
      </w:r>
      <w:r>
        <w:rPr>
          <w:rFonts w:hint="eastAsia" w:ascii="仿宋" w:hAnsi="仿宋" w:eastAsia="仿宋" w:cs="迷你简黑体"/>
          <w:bCs/>
          <w:sz w:val="30"/>
          <w:szCs w:val="30"/>
        </w:rPr>
        <w:t>万元，项目支出</w:t>
      </w:r>
      <w:r>
        <w:rPr>
          <w:rFonts w:hint="eastAsia" w:ascii="仿宋" w:hAnsi="仿宋" w:eastAsia="仿宋" w:cs="迷你简黑体"/>
          <w:bCs/>
          <w:sz w:val="30"/>
          <w:szCs w:val="30"/>
          <w:lang w:val="en-US" w:eastAsia="zh-CN"/>
        </w:rPr>
        <w:t>131.05</w:t>
      </w:r>
      <w:r>
        <w:rPr>
          <w:rFonts w:hint="eastAsia" w:ascii="仿宋" w:hAnsi="仿宋" w:eastAsia="仿宋" w:cs="迷你简黑体"/>
          <w:bCs/>
          <w:sz w:val="30"/>
          <w:szCs w:val="30"/>
        </w:rPr>
        <w:t>万元。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基本支出管理情况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00" w:firstLineChars="200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基本支出总额</w:t>
      </w:r>
      <w:r>
        <w:rPr>
          <w:rFonts w:hint="eastAsia" w:ascii="仿宋" w:hAnsi="仿宋" w:eastAsia="仿宋" w:cs="迷你简黑体"/>
          <w:bCs/>
          <w:sz w:val="30"/>
          <w:szCs w:val="30"/>
          <w:lang w:val="en-US" w:eastAsia="zh-CN"/>
        </w:rPr>
        <w:t>308.94</w:t>
      </w:r>
      <w:r>
        <w:rPr>
          <w:rFonts w:hint="eastAsia" w:ascii="仿宋" w:hAnsi="仿宋" w:eastAsia="仿宋"/>
          <w:sz w:val="30"/>
          <w:szCs w:val="30"/>
        </w:rPr>
        <w:t>万元，其中：工资福利支出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209.92</w:t>
      </w:r>
      <w:r>
        <w:rPr>
          <w:rFonts w:hint="eastAsia" w:ascii="仿宋" w:hAnsi="仿宋" w:eastAsia="仿宋"/>
          <w:sz w:val="30"/>
          <w:szCs w:val="30"/>
        </w:rPr>
        <w:t>万元；对个人和家庭的补助支出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45.125</w:t>
      </w:r>
      <w:r>
        <w:rPr>
          <w:rFonts w:hint="eastAsia" w:ascii="仿宋" w:hAnsi="仿宋" w:eastAsia="仿宋"/>
          <w:sz w:val="30"/>
          <w:szCs w:val="30"/>
        </w:rPr>
        <w:t>万元；一般商品和服务支出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50.65</w:t>
      </w:r>
      <w:r>
        <w:rPr>
          <w:rFonts w:hint="eastAsia" w:ascii="仿宋" w:hAnsi="仿宋" w:eastAsia="仿宋"/>
          <w:sz w:val="30"/>
          <w:szCs w:val="30"/>
        </w:rPr>
        <w:t>万元；资本性支出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3.22</w:t>
      </w:r>
      <w:r>
        <w:rPr>
          <w:rFonts w:hint="eastAsia" w:ascii="仿宋" w:hAnsi="仿宋" w:eastAsia="仿宋"/>
          <w:sz w:val="30"/>
          <w:szCs w:val="30"/>
        </w:rPr>
        <w:t>万元；主要用途包括：保障我联机构正常运转，完成日常工作任务发生的各项支出包括：在职人员基本工资、津补贴、公积金、社保等人员经费和办公费、印刷费、办公设备购置等日常公用经费。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00" w:firstLineChars="200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（二）“三公”经费支出使用和管理情况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00" w:firstLineChars="200"/>
        <w:textAlignment w:val="auto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202</w:t>
      </w:r>
      <w: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/>
          <w:color w:val="auto"/>
          <w:sz w:val="30"/>
          <w:szCs w:val="30"/>
        </w:rPr>
        <w:t>年“三公”经费财政预算</w:t>
      </w:r>
      <w: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  <w:t>7.2</w:t>
      </w:r>
      <w:r>
        <w:rPr>
          <w:rFonts w:hint="eastAsia" w:ascii="仿宋" w:hAnsi="仿宋" w:eastAsia="仿宋"/>
          <w:color w:val="auto"/>
          <w:sz w:val="30"/>
          <w:szCs w:val="30"/>
        </w:rPr>
        <w:t>万元， 实际支出为</w:t>
      </w:r>
      <w: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/>
          <w:color w:val="auto"/>
          <w:sz w:val="30"/>
          <w:szCs w:val="30"/>
        </w:rPr>
        <w:t>万元，其中公出国（境）费用0元、公务用车运行维护费0元、公务接待费</w:t>
      </w:r>
      <w: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/>
          <w:color w:val="auto"/>
          <w:sz w:val="30"/>
          <w:szCs w:val="30"/>
        </w:rPr>
        <w:t>万元。公务接待费较预算</w:t>
      </w:r>
      <w:r>
        <w:rPr>
          <w:rFonts w:hint="eastAsia" w:ascii="仿宋" w:hAnsi="仿宋" w:eastAsia="仿宋"/>
          <w:color w:val="auto"/>
          <w:sz w:val="30"/>
          <w:szCs w:val="30"/>
          <w:lang w:eastAsia="zh-CN"/>
        </w:rPr>
        <w:t>减少</w:t>
      </w:r>
      <w:r>
        <w:rPr>
          <w:rFonts w:hint="eastAsia" w:ascii="仿宋" w:hAnsi="仿宋" w:eastAsia="仿宋"/>
          <w:color w:val="auto"/>
          <w:sz w:val="30"/>
          <w:szCs w:val="30"/>
        </w:rPr>
        <w:t>，主要原因，</w:t>
      </w:r>
      <w:r>
        <w:rPr>
          <w:rFonts w:hint="eastAsia" w:ascii="仿宋" w:hAnsi="仿宋" w:eastAsia="仿宋" w:cs="仿宋"/>
          <w:kern w:val="0"/>
          <w:sz w:val="30"/>
          <w:szCs w:val="30"/>
        </w:rPr>
        <w:t>认真贯彻落实中央八项规定</w:t>
      </w:r>
      <w:bookmarkStart w:id="0" w:name="_GoBack"/>
      <w:bookmarkEnd w:id="0"/>
      <w:r>
        <w:rPr>
          <w:rFonts w:hint="eastAsia" w:ascii="仿宋" w:hAnsi="仿宋" w:eastAsia="仿宋" w:cs="仿宋"/>
          <w:kern w:val="0"/>
          <w:sz w:val="30"/>
          <w:szCs w:val="30"/>
        </w:rPr>
        <w:t>精神和厉行节约要求，进一步从严控制“三公”经费开支。再由于疫情原因，来访人员减小。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00" w:firstLineChars="200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（三）专项支出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00" w:firstLineChars="200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/>
          <w:sz w:val="30"/>
          <w:szCs w:val="30"/>
        </w:rPr>
        <w:t>年我联专项项目资金为</w:t>
      </w:r>
      <w:r>
        <w:rPr>
          <w:rFonts w:hint="eastAsia" w:ascii="仿宋" w:hAnsi="仿宋" w:eastAsia="仿宋" w:cs="迷你简黑体"/>
          <w:bCs/>
          <w:sz w:val="30"/>
          <w:szCs w:val="30"/>
          <w:lang w:val="en-US" w:eastAsia="zh-CN"/>
        </w:rPr>
        <w:t>131.05</w:t>
      </w:r>
      <w:r>
        <w:rPr>
          <w:rFonts w:hint="eastAsia" w:ascii="仿宋" w:hAnsi="仿宋" w:eastAsia="仿宋"/>
          <w:sz w:val="30"/>
          <w:szCs w:val="30"/>
        </w:rPr>
        <w:t>万元，系保障我联分会遗留问题处理、商协会建立管理沟通、非公有制代表培训、民企工委等项目支出。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02" w:firstLineChars="200"/>
        <w:textAlignment w:val="auto"/>
        <w:rPr>
          <w:rFonts w:hint="eastAsia"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三、部门整体支出绩效情况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00" w:firstLineChars="200"/>
        <w:textAlignment w:val="auto"/>
        <w:rPr>
          <w:rFonts w:hint="eastAsia"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/>
          <w:sz w:val="30"/>
          <w:szCs w:val="30"/>
        </w:rPr>
        <w:t>年，我联整体支出情况较好，预算编制比较合理，财务制度健全且执行情况良好。</w:t>
      </w:r>
      <w:r>
        <w:rPr>
          <w:rFonts w:hint="eastAsia" w:ascii="仿宋" w:hAnsi="仿宋" w:eastAsia="仿宋" w:cs="宋体"/>
          <w:kern w:val="0"/>
          <w:sz w:val="30"/>
          <w:szCs w:val="30"/>
        </w:rPr>
        <w:t>（一）</w:t>
      </w:r>
      <w:r>
        <w:rPr>
          <w:rFonts w:hint="eastAsia" w:ascii="仿宋" w:hAnsi="仿宋" w:eastAsia="仿宋" w:cs="宋体"/>
          <w:sz w:val="30"/>
          <w:szCs w:val="30"/>
        </w:rPr>
        <w:t>在确保人员工资、日常公用经费的正常开支基础上，保证重点支出，压缩一般消费性支出。</w:t>
      </w:r>
      <w:r>
        <w:rPr>
          <w:rFonts w:hint="eastAsia" w:ascii="仿宋" w:hAnsi="仿宋" w:eastAsia="仿宋" w:cs="宋体"/>
          <w:kern w:val="0"/>
          <w:sz w:val="30"/>
          <w:szCs w:val="30"/>
        </w:rPr>
        <w:t>（二）预算执行方面，支出总额控制在预算总额以内；本年不存在截留或滞留专项资金情况。（三）严格执行了国库集中支付、政府采购等有关规定，按政府采购目录内的货物与服务全部按要求实施了政府采购，确保了支出管理流程、审批手续的完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300" w:firstLineChars="100"/>
        <w:textAlignment w:val="auto"/>
        <w:rPr>
          <w:rFonts w:hint="eastAsia" w:ascii="仿宋" w:hAnsi="仿宋" w:eastAsia="仿宋" w:cs="宋体"/>
          <w:b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 xml:space="preserve"> </w:t>
      </w:r>
      <w:r>
        <w:rPr>
          <w:rFonts w:hint="eastAsia" w:ascii="仿宋" w:hAnsi="仿宋" w:eastAsia="仿宋" w:cs="宋体"/>
          <w:b/>
          <w:kern w:val="0"/>
          <w:sz w:val="30"/>
          <w:szCs w:val="30"/>
        </w:rPr>
        <w:t xml:space="preserve"> 四、存在的主要问题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00" w:firstLineChars="200"/>
        <w:textAlignment w:val="auto"/>
        <w:rPr>
          <w:rFonts w:hint="eastAsia"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年初预算的编制较为精细，且金额较少，而年内活动不确定因素又多，致使资金有交叉使用并严重不足现象。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02" w:firstLineChars="200"/>
        <w:textAlignment w:val="auto"/>
        <w:rPr>
          <w:rFonts w:hint="eastAsia" w:ascii="仿宋" w:hAnsi="仿宋" w:eastAsia="仿宋" w:cs="宋体"/>
          <w:b/>
          <w:kern w:val="0"/>
          <w:sz w:val="30"/>
          <w:szCs w:val="30"/>
        </w:rPr>
      </w:pPr>
      <w:r>
        <w:rPr>
          <w:rFonts w:hint="eastAsia" w:ascii="仿宋" w:hAnsi="仿宋" w:eastAsia="仿宋" w:cs="宋体"/>
          <w:b/>
          <w:kern w:val="0"/>
          <w:sz w:val="30"/>
          <w:szCs w:val="30"/>
        </w:rPr>
        <w:t>五、改进措施和建议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00" w:firstLineChars="200"/>
        <w:textAlignment w:val="auto"/>
        <w:rPr>
          <w:rFonts w:hint="eastAsia"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加强内部机构的预算管理意识，严格按照预算编制的相关制度和要求，进一步提高预算编制的科学性、合理性、严谨性和可控性，在日常预算管理过程中，进一步加强预算支出的审核、跟踪及预算执行情况分析，在资金管理上制定一系列完善的财务管理制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00" w:firstLineChars="200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00" w:firstLineChars="200"/>
        <w:textAlignment w:val="auto"/>
        <w:rPr>
          <w:rFonts w:hint="eastAsia" w:ascii="仿宋" w:hAnsi="仿宋" w:eastAsia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00" w:firstLineChars="200"/>
        <w:jc w:val="right"/>
        <w:textAlignment w:val="auto"/>
        <w:rPr>
          <w:rFonts w:hint="eastAsia" w:ascii="仿宋" w:hAnsi="仿宋" w:eastAsia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640" w:firstLine="600" w:firstLineChars="200"/>
        <w:jc w:val="right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衡南县工商业联合会（总商会）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1120" w:firstLine="4200" w:firstLineChars="1400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/>
          <w:sz w:val="30"/>
          <w:szCs w:val="30"/>
        </w:rPr>
        <w:t>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25</w:t>
      </w:r>
      <w:r>
        <w:rPr>
          <w:rFonts w:hint="eastAsia" w:ascii="仿宋" w:hAnsi="仿宋" w:eastAsia="仿宋"/>
          <w:sz w:val="30"/>
          <w:szCs w:val="30"/>
        </w:rPr>
        <w:t>日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</w:p>
    <w:sectPr>
      <w:headerReference r:id="rId3" w:type="default"/>
      <w:pgSz w:w="11906" w:h="16838"/>
      <w:pgMar w:top="1440" w:right="1587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迷你简黑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4F0EAE"/>
    <w:multiLevelType w:val="multilevel"/>
    <w:tmpl w:val="494F0EAE"/>
    <w:lvl w:ilvl="0" w:tentative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857928D"/>
    <w:multiLevelType w:val="singleLevel"/>
    <w:tmpl w:val="5857928D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g1NDExYjJiZDA3YTRkYmZiZmRhZGJmNjdhYzFiMjcifQ=="/>
  </w:docVars>
  <w:rsids>
    <w:rsidRoot w:val="00C17386"/>
    <w:rsid w:val="00020D46"/>
    <w:rsid w:val="00024319"/>
    <w:rsid w:val="00072DE5"/>
    <w:rsid w:val="00075956"/>
    <w:rsid w:val="000809B3"/>
    <w:rsid w:val="00082392"/>
    <w:rsid w:val="00091697"/>
    <w:rsid w:val="000B2878"/>
    <w:rsid w:val="000B60FF"/>
    <w:rsid w:val="000E2EC4"/>
    <w:rsid w:val="000F4EEA"/>
    <w:rsid w:val="00105D72"/>
    <w:rsid w:val="00162781"/>
    <w:rsid w:val="001670D2"/>
    <w:rsid w:val="00173919"/>
    <w:rsid w:val="00195564"/>
    <w:rsid w:val="001C12A5"/>
    <w:rsid w:val="001F3C09"/>
    <w:rsid w:val="001F5025"/>
    <w:rsid w:val="00241CA4"/>
    <w:rsid w:val="00247BE3"/>
    <w:rsid w:val="00281645"/>
    <w:rsid w:val="002A745B"/>
    <w:rsid w:val="002B108F"/>
    <w:rsid w:val="002C6B0D"/>
    <w:rsid w:val="00323175"/>
    <w:rsid w:val="00325845"/>
    <w:rsid w:val="003845AA"/>
    <w:rsid w:val="0039199D"/>
    <w:rsid w:val="003C390A"/>
    <w:rsid w:val="003D57B3"/>
    <w:rsid w:val="00412FCC"/>
    <w:rsid w:val="00444ABC"/>
    <w:rsid w:val="004A4DCB"/>
    <w:rsid w:val="004E3B56"/>
    <w:rsid w:val="004F0CB6"/>
    <w:rsid w:val="00500ED2"/>
    <w:rsid w:val="00522E99"/>
    <w:rsid w:val="0053523B"/>
    <w:rsid w:val="00587A1F"/>
    <w:rsid w:val="005A5BCD"/>
    <w:rsid w:val="005C6292"/>
    <w:rsid w:val="005E2CDA"/>
    <w:rsid w:val="005E39B1"/>
    <w:rsid w:val="00615D11"/>
    <w:rsid w:val="0063353D"/>
    <w:rsid w:val="00672029"/>
    <w:rsid w:val="00673F66"/>
    <w:rsid w:val="00682F19"/>
    <w:rsid w:val="0069250C"/>
    <w:rsid w:val="006A57C9"/>
    <w:rsid w:val="006B0905"/>
    <w:rsid w:val="006C3D19"/>
    <w:rsid w:val="006C57FA"/>
    <w:rsid w:val="006D5888"/>
    <w:rsid w:val="006E5DEF"/>
    <w:rsid w:val="006F5365"/>
    <w:rsid w:val="006F698C"/>
    <w:rsid w:val="00707E25"/>
    <w:rsid w:val="007C1229"/>
    <w:rsid w:val="007E4A81"/>
    <w:rsid w:val="007F3B61"/>
    <w:rsid w:val="0082531E"/>
    <w:rsid w:val="008711D1"/>
    <w:rsid w:val="008F7537"/>
    <w:rsid w:val="00905932"/>
    <w:rsid w:val="00925ADC"/>
    <w:rsid w:val="00946106"/>
    <w:rsid w:val="009E152F"/>
    <w:rsid w:val="009E7894"/>
    <w:rsid w:val="009F7B96"/>
    <w:rsid w:val="00A34714"/>
    <w:rsid w:val="00A46FA5"/>
    <w:rsid w:val="00A746D5"/>
    <w:rsid w:val="00A85293"/>
    <w:rsid w:val="00A8750A"/>
    <w:rsid w:val="00AA2F21"/>
    <w:rsid w:val="00AC3556"/>
    <w:rsid w:val="00AC520B"/>
    <w:rsid w:val="00AC5D20"/>
    <w:rsid w:val="00AC6CAD"/>
    <w:rsid w:val="00AD254B"/>
    <w:rsid w:val="00AD316E"/>
    <w:rsid w:val="00AD3DAB"/>
    <w:rsid w:val="00B20A18"/>
    <w:rsid w:val="00B30CBD"/>
    <w:rsid w:val="00BA194D"/>
    <w:rsid w:val="00BA30E4"/>
    <w:rsid w:val="00BB41DA"/>
    <w:rsid w:val="00BB7D90"/>
    <w:rsid w:val="00BC2BAB"/>
    <w:rsid w:val="00BE1B3E"/>
    <w:rsid w:val="00BF0696"/>
    <w:rsid w:val="00C040D3"/>
    <w:rsid w:val="00C13F3D"/>
    <w:rsid w:val="00C17386"/>
    <w:rsid w:val="00C42338"/>
    <w:rsid w:val="00C75816"/>
    <w:rsid w:val="00C76AD5"/>
    <w:rsid w:val="00C852CD"/>
    <w:rsid w:val="00CB0160"/>
    <w:rsid w:val="00CD491D"/>
    <w:rsid w:val="00CF78EB"/>
    <w:rsid w:val="00D1333A"/>
    <w:rsid w:val="00D15AA1"/>
    <w:rsid w:val="00D27FAE"/>
    <w:rsid w:val="00D31171"/>
    <w:rsid w:val="00D3292F"/>
    <w:rsid w:val="00D50ECD"/>
    <w:rsid w:val="00D81E40"/>
    <w:rsid w:val="00DF5954"/>
    <w:rsid w:val="00E0398F"/>
    <w:rsid w:val="00E37B79"/>
    <w:rsid w:val="00E42621"/>
    <w:rsid w:val="00E7099F"/>
    <w:rsid w:val="00ED3E65"/>
    <w:rsid w:val="00EE113D"/>
    <w:rsid w:val="00F069B9"/>
    <w:rsid w:val="00F211C1"/>
    <w:rsid w:val="00F8234E"/>
    <w:rsid w:val="00F84573"/>
    <w:rsid w:val="00FD05AF"/>
    <w:rsid w:val="11C049F7"/>
    <w:rsid w:val="14121AC6"/>
    <w:rsid w:val="14193016"/>
    <w:rsid w:val="2DB22961"/>
    <w:rsid w:val="36356EAC"/>
    <w:rsid w:val="415E1341"/>
    <w:rsid w:val="45A614C7"/>
    <w:rsid w:val="4BDC1937"/>
    <w:rsid w:val="53955AC7"/>
    <w:rsid w:val="5A4B74AC"/>
    <w:rsid w:val="5D933ACF"/>
    <w:rsid w:val="65D91AE9"/>
    <w:rsid w:val="73E91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0">
    <w:name w:val="Strong"/>
    <w:qFormat/>
    <w:uiPriority w:val="0"/>
    <w:rPr>
      <w:b/>
      <w:bCs/>
    </w:rPr>
  </w:style>
  <w:style w:type="character" w:styleId="11">
    <w:name w:val="FollowedHyperlink"/>
    <w:qFormat/>
    <w:uiPriority w:val="0"/>
    <w:rPr>
      <w:color w:val="454545"/>
      <w:u w:val="none"/>
    </w:rPr>
  </w:style>
  <w:style w:type="character" w:styleId="12">
    <w:name w:val="Emphasis"/>
    <w:qFormat/>
    <w:uiPriority w:val="0"/>
    <w:rPr>
      <w:sz w:val="21"/>
      <w:szCs w:val="21"/>
    </w:rPr>
  </w:style>
  <w:style w:type="character" w:styleId="13">
    <w:name w:val="Hyperlink"/>
    <w:qFormat/>
    <w:uiPriority w:val="0"/>
    <w:rPr>
      <w:color w:val="454545"/>
      <w:u w:val="none"/>
    </w:rPr>
  </w:style>
  <w:style w:type="character" w:styleId="14">
    <w:name w:val="HTML Code"/>
    <w:qFormat/>
    <w:uiPriority w:val="0"/>
    <w:rPr>
      <w:rFonts w:ascii="Courier New" w:hAnsi="Courier New"/>
      <w:sz w:val="21"/>
      <w:szCs w:val="21"/>
      <w:bdr w:val="single" w:color="E3E3E3" w:sz="6" w:space="0"/>
    </w:rPr>
  </w:style>
  <w:style w:type="character" w:styleId="15">
    <w:name w:val="HTML Cite"/>
    <w:qFormat/>
    <w:uiPriority w:val="0"/>
    <w:rPr>
      <w:sz w:val="21"/>
      <w:szCs w:val="21"/>
    </w:rPr>
  </w:style>
  <w:style w:type="character" w:customStyle="1" w:styleId="16">
    <w:name w:val="页脚 字符"/>
    <w:link w:val="4"/>
    <w:qFormat/>
    <w:uiPriority w:val="0"/>
    <w:rPr>
      <w:kern w:val="2"/>
      <w:sz w:val="18"/>
      <w:szCs w:val="18"/>
    </w:rPr>
  </w:style>
  <w:style w:type="character" w:customStyle="1" w:styleId="17">
    <w:name w:val="页眉 字符"/>
    <w:link w:val="5"/>
    <w:qFormat/>
    <w:uiPriority w:val="0"/>
    <w:rPr>
      <w:kern w:val="2"/>
      <w:sz w:val="18"/>
      <w:szCs w:val="18"/>
    </w:rPr>
  </w:style>
  <w:style w:type="character" w:customStyle="1" w:styleId="18">
    <w:name w:val="bsharetext"/>
    <w:qFormat/>
    <w:uiPriority w:val="0"/>
  </w:style>
  <w:style w:type="character" w:customStyle="1" w:styleId="19">
    <w:name w:val="editor_quote_active"/>
    <w:qFormat/>
    <w:uiPriority w:val="0"/>
  </w:style>
  <w:style w:type="character" w:customStyle="1" w:styleId="20">
    <w:name w:val="editor_createlink"/>
    <w:qFormat/>
    <w:uiPriority w:val="0"/>
  </w:style>
  <w:style w:type="character" w:customStyle="1" w:styleId="21">
    <w:name w:val="hover40"/>
    <w:qFormat/>
    <w:uiPriority w:val="0"/>
    <w:rPr>
      <w:shd w:val="clear" w:color="auto" w:fill="E9EDFF"/>
    </w:rPr>
  </w:style>
  <w:style w:type="character" w:customStyle="1" w:styleId="22">
    <w:name w:val="editor_createlink_mousedown"/>
    <w:qFormat/>
    <w:uiPriority w:val="0"/>
  </w:style>
  <w:style w:type="character" w:customStyle="1" w:styleId="23">
    <w:name w:val="editor_quote_disabled"/>
    <w:qFormat/>
    <w:uiPriority w:val="0"/>
  </w:style>
  <w:style w:type="character" w:customStyle="1" w:styleId="24">
    <w:name w:val="editor_quote_mouseover"/>
    <w:qFormat/>
    <w:uiPriority w:val="0"/>
  </w:style>
  <w:style w:type="character" w:customStyle="1" w:styleId="25">
    <w:name w:val="editor_createlink_mouseover"/>
    <w:qFormat/>
    <w:uiPriority w:val="0"/>
  </w:style>
  <w:style w:type="character" w:customStyle="1" w:styleId="26">
    <w:name w:val="editor_createlink_disabled"/>
    <w:qFormat/>
    <w:uiPriority w:val="0"/>
  </w:style>
  <w:style w:type="character" w:customStyle="1" w:styleId="27">
    <w:name w:val="editor_createlink_active"/>
    <w:qFormat/>
    <w:uiPriority w:val="0"/>
  </w:style>
  <w:style w:type="character" w:customStyle="1" w:styleId="28">
    <w:name w:val="editor_quote_mousedown"/>
    <w:qFormat/>
    <w:uiPriority w:val="0"/>
  </w:style>
  <w:style w:type="character" w:customStyle="1" w:styleId="29">
    <w:name w:val="editor_quote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4</Pages>
  <Words>1589</Words>
  <Characters>1692</Characters>
  <Lines>16</Lines>
  <Paragraphs>4</Paragraphs>
  <TotalTime>1</TotalTime>
  <ScaleCrop>false</ScaleCrop>
  <LinksUpToDate>false</LinksUpToDate>
  <CharactersWithSpaces>1755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2022-04-26T03:10:00Z</dcterms:created>
  <dc:creator>Administrator</dc:creator>
  <cp:lastModifiedBy>茜茜</cp:lastModifiedBy>
  <cp:lastPrinted>2022-05-11T01:15:00Z</cp:lastPrinted>
  <dcterms:modified xsi:type="dcterms:W3CDTF">2023-11-08T06:02:47Z</dcterms:modified>
  <dc:title>衡南县人民检察院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  <property fmtid="{D5CDD505-2E9C-101B-9397-08002B2CF9AE}" pid="3" name="ICV">
    <vt:lpwstr>A44F128F3F6D4DDCBDBA09693540F903_13</vt:lpwstr>
  </property>
</Properties>
</file>