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sz w:val="44"/>
          <w:szCs w:val="44"/>
        </w:rPr>
      </w:pPr>
      <w:r>
        <w:rPr>
          <w:rFonts w:hint="eastAsia" w:ascii="黑体" w:hAnsi="黑体" w:eastAsia="黑体" w:cs="黑体"/>
          <w:sz w:val="44"/>
          <w:szCs w:val="44"/>
        </w:rPr>
        <w:t>衡南县</w:t>
      </w:r>
      <w:r>
        <w:rPr>
          <w:rFonts w:hint="eastAsia" w:ascii="黑体" w:hAnsi="黑体" w:eastAsia="黑体" w:cs="黑体"/>
          <w:sz w:val="44"/>
          <w:szCs w:val="44"/>
          <w:lang w:eastAsia="zh-CN"/>
        </w:rPr>
        <w:t>委党史研究室（县地方志编纂室）</w:t>
      </w:r>
      <w:r>
        <w:rPr>
          <w:rFonts w:hint="eastAsia" w:ascii="黑体" w:hAnsi="黑体" w:eastAsia="黑体" w:cs="黑体"/>
          <w:sz w:val="44"/>
          <w:szCs w:val="44"/>
        </w:rPr>
        <w:t>20</w:t>
      </w:r>
      <w:r>
        <w:rPr>
          <w:rFonts w:hint="eastAsia" w:ascii="黑体" w:hAnsi="黑体" w:eastAsia="黑体" w:cs="黑体"/>
          <w:sz w:val="44"/>
          <w:szCs w:val="44"/>
          <w:lang w:val="en-US" w:eastAsia="zh-CN"/>
        </w:rPr>
        <w:t>21</w:t>
      </w:r>
      <w:r>
        <w:rPr>
          <w:rFonts w:hint="eastAsia" w:ascii="黑体" w:hAnsi="黑体" w:eastAsia="黑体" w:cs="黑体"/>
          <w:sz w:val="44"/>
          <w:szCs w:val="44"/>
        </w:rPr>
        <w:t>年</w:t>
      </w:r>
      <w:r>
        <w:rPr>
          <w:rFonts w:hint="eastAsia" w:ascii="黑体" w:hAnsi="黑体" w:eastAsia="黑体" w:cs="黑体"/>
          <w:sz w:val="44"/>
          <w:szCs w:val="44"/>
          <w:lang w:eastAsia="zh-CN"/>
        </w:rPr>
        <w:t>度</w:t>
      </w:r>
      <w:r>
        <w:rPr>
          <w:rFonts w:hint="eastAsia" w:ascii="黑体" w:hAnsi="黑体" w:eastAsia="黑体" w:cs="黑体"/>
          <w:sz w:val="44"/>
          <w:szCs w:val="44"/>
        </w:rPr>
        <w:t>整体支出绩效评价报告</w:t>
      </w:r>
    </w:p>
    <w:p>
      <w:pPr>
        <w:spacing w:line="560" w:lineRule="exact"/>
        <w:ind w:firstLine="640" w:firstLineChars="200"/>
        <w:rPr>
          <w:rFonts w:hint="eastAsia" w:ascii="仿宋" w:hAnsi="仿宋" w:eastAsia="仿宋" w:cs="仿宋"/>
          <w:sz w:val="32"/>
          <w:szCs w:val="32"/>
        </w:rPr>
      </w:pPr>
    </w:p>
    <w:p>
      <w:pPr>
        <w:spacing w:line="600" w:lineRule="exact"/>
        <w:ind w:firstLine="632" w:firstLineChars="200"/>
        <w:rPr>
          <w:rFonts w:hint="eastAsia" w:ascii="仿宋" w:hAnsi="仿宋" w:eastAsia="仿宋" w:cs="仿宋"/>
          <w:spacing w:val="-2"/>
          <w:sz w:val="32"/>
          <w:szCs w:val="32"/>
        </w:rPr>
      </w:pPr>
      <w:r>
        <w:rPr>
          <w:rFonts w:hint="eastAsia" w:ascii="仿宋" w:hAnsi="仿宋" w:eastAsia="仿宋" w:cs="仿宋"/>
          <w:spacing w:val="-2"/>
          <w:sz w:val="32"/>
          <w:szCs w:val="32"/>
        </w:rPr>
        <w:t xml:space="preserve">     </w:t>
      </w:r>
    </w:p>
    <w:p>
      <w:pPr>
        <w:spacing w:line="56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rPr>
        <w:t>一、部门基本情况</w:t>
      </w:r>
    </w:p>
    <w:p>
      <w:pPr>
        <w:spacing w:line="560" w:lineRule="exact"/>
        <w:ind w:firstLine="720" w:firstLineChars="200"/>
        <w:rPr>
          <w:rFonts w:hint="eastAsia" w:ascii="仿宋" w:hAnsi="仿宋" w:eastAsia="仿宋" w:cs="仿宋"/>
          <w:kern w:val="0"/>
          <w:sz w:val="28"/>
          <w:szCs w:val="28"/>
        </w:rPr>
      </w:pPr>
      <w:r>
        <w:rPr>
          <w:rFonts w:hint="eastAsia" w:ascii="黑体" w:hAnsi="黑体" w:eastAsia="黑体" w:cs="黑体"/>
          <w:kern w:val="0"/>
          <w:sz w:val="36"/>
          <w:szCs w:val="36"/>
          <w:lang w:eastAsia="zh-CN"/>
        </w:rPr>
        <w:t>（</w:t>
      </w:r>
      <w:r>
        <w:rPr>
          <w:rFonts w:hint="eastAsia" w:ascii="黑体" w:hAnsi="黑体" w:eastAsia="黑体" w:cs="黑体"/>
          <w:kern w:val="0"/>
          <w:sz w:val="28"/>
          <w:szCs w:val="28"/>
          <w:lang w:eastAsia="zh-CN"/>
        </w:rPr>
        <w:t>一）</w:t>
      </w:r>
      <w:r>
        <w:rPr>
          <w:rFonts w:hint="eastAsia" w:ascii="黑体" w:hAnsi="黑体" w:eastAsia="黑体" w:cs="黑体"/>
          <w:kern w:val="0"/>
          <w:sz w:val="28"/>
          <w:szCs w:val="28"/>
        </w:rPr>
        <w:t>部门职责</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1</w:t>
      </w:r>
      <w:r>
        <w:rPr>
          <w:rFonts w:hint="eastAsia" w:ascii="仿宋" w:hAnsi="仿宋" w:eastAsia="仿宋" w:cs="仿宋"/>
          <w:sz w:val="28"/>
          <w:szCs w:val="28"/>
          <w:lang w:eastAsia="zh-CN"/>
        </w:rPr>
        <w:t>、贯彻落实中央、省委、市委、县委有关党史、地方志编纂工作的方针政策；规划和组织全县党史和地方志工作；负责对全县的党史和地方志相关业务指导、培训工作；负责对乡镇志县直专业志的指导工作。</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2、负责征集全县各个时期的党史及地方志、人物志、年鉴资料；负责编辑出版发行衡南地方志、人物志、年鉴、地方党史书籍和党史普及读物工作。</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3、运用党史县志资料，开展各种相关宣传教育；参与组织重大历史事件、重要历史人物的重要活动；会同有关部门做好全县党史资料审查工作。</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4、负责全县史志联络工作的组织、协调；负责老干部回忆录的征集、整理、出版；动员和组织广大老干部参与史志工作；承担县委党史联络组考察调研等活动的具体组织和日常服务工作。</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5、负责县直各部门和乡镇党史书稿、县志书稿的审查评议工作。</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6、负责全县史志工作队伍的业务培训。</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7、负责全县革命遗址的普查，参与革命遗址的保护、管理、利用；负责革命遗址、红色旅游纪念地认证的史料审查。</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8、承办中央、省、市党史研究机构、地方志编纂机构等有关部门交办的其他事项。</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w:t>
      </w:r>
      <w:r>
        <w:rPr>
          <w:rFonts w:hint="eastAsia" w:ascii="仿宋" w:hAnsi="仿宋" w:eastAsia="仿宋" w:cs="仿宋"/>
          <w:sz w:val="28"/>
          <w:szCs w:val="28"/>
        </w:rPr>
        <w:t>完成县委、县人民政府交办的其他事项。</w:t>
      </w:r>
    </w:p>
    <w:p>
      <w:pPr>
        <w:spacing w:line="560" w:lineRule="exact"/>
        <w:ind w:firstLine="560" w:firstLineChars="200"/>
        <w:rPr>
          <w:rFonts w:hint="eastAsia" w:ascii="黑体" w:hAnsi="黑体" w:eastAsia="黑体" w:cs="黑体"/>
          <w:kern w:val="0"/>
          <w:sz w:val="28"/>
          <w:szCs w:val="28"/>
        </w:rPr>
      </w:pPr>
      <w:r>
        <w:rPr>
          <w:rFonts w:hint="eastAsia" w:ascii="黑体" w:hAnsi="黑体" w:eastAsia="黑体" w:cs="黑体"/>
          <w:kern w:val="0"/>
          <w:sz w:val="28"/>
          <w:szCs w:val="28"/>
          <w:lang w:eastAsia="zh-CN"/>
        </w:rPr>
        <w:t>（二）</w:t>
      </w:r>
      <w:r>
        <w:rPr>
          <w:rFonts w:hint="eastAsia" w:ascii="黑体" w:hAnsi="黑体" w:eastAsia="黑体" w:cs="黑体"/>
          <w:kern w:val="0"/>
          <w:sz w:val="28"/>
          <w:szCs w:val="28"/>
        </w:rPr>
        <w:t>机构设置情况</w:t>
      </w:r>
    </w:p>
    <w:p>
      <w:pPr>
        <w:ind w:firstLine="660"/>
        <w:rPr>
          <w:rFonts w:hint="eastAsia" w:ascii="黑体" w:hAnsi="黑体" w:eastAsia="黑体" w:cs="黑体"/>
          <w:sz w:val="28"/>
          <w:szCs w:val="28"/>
        </w:rPr>
      </w:pPr>
      <w:r>
        <w:rPr>
          <w:rFonts w:hint="eastAsia" w:ascii="黑体" w:hAnsi="黑体" w:eastAsia="黑体" w:cs="黑体"/>
          <w:sz w:val="28"/>
          <w:szCs w:val="28"/>
          <w:lang w:val="en-US" w:eastAsia="zh-CN"/>
        </w:rPr>
        <w:t>1、综合股</w:t>
      </w:r>
    </w:p>
    <w:p>
      <w:pPr>
        <w:ind w:firstLine="660"/>
        <w:rPr>
          <w:rFonts w:hint="eastAsia" w:ascii="仿宋" w:hAnsi="仿宋" w:eastAsia="仿宋" w:cs="仿宋"/>
          <w:sz w:val="28"/>
          <w:szCs w:val="28"/>
          <w:lang w:eastAsia="zh-CN"/>
        </w:rPr>
      </w:pPr>
      <w:r>
        <w:rPr>
          <w:rFonts w:hint="eastAsia" w:ascii="仿宋" w:hAnsi="仿宋" w:eastAsia="仿宋" w:cs="仿宋"/>
          <w:sz w:val="28"/>
          <w:szCs w:val="28"/>
        </w:rPr>
        <w:t>协助</w:t>
      </w:r>
      <w:r>
        <w:rPr>
          <w:rFonts w:hint="eastAsia" w:ascii="仿宋" w:hAnsi="仿宋" w:eastAsia="仿宋" w:cs="仿宋"/>
          <w:sz w:val="28"/>
          <w:szCs w:val="28"/>
          <w:lang w:eastAsia="zh-CN"/>
        </w:rPr>
        <w:t>领导处理机关政务工作；负责工作规划的制定和史志工作的协调；负责机关文电、文书档案、会务安排、综治维稳、应急管理、机要保密、政务信息、政务公开、信访、党群纪检、后勤服务等工作；负责女工、安全生产、文明创建等工作；负责办理人大代表建议与政协委员提案；负责资料整理、保管及信息工作和对外宣传工作；负责组织本室各项活动；负责室务会及班子成员会决定的重大事项的落实；负责同其他县市区及有关单位的通讯联络；负责史志队伍的培训及史志系统的评比、表彰工作；负责制定室内部管理规章制度并督促落实；负责机关党建、思想政治、统战工作。</w:t>
      </w:r>
    </w:p>
    <w:p>
      <w:pPr>
        <w:numPr>
          <w:ilvl w:val="0"/>
          <w:numId w:val="1"/>
        </w:numPr>
        <w:ind w:left="180" w:leftChars="0" w:firstLine="660" w:firstLineChars="0"/>
        <w:rPr>
          <w:rFonts w:hint="eastAsia" w:ascii="仿宋" w:hAnsi="仿宋" w:eastAsia="仿宋" w:cs="仿宋"/>
          <w:sz w:val="28"/>
          <w:szCs w:val="28"/>
          <w:lang w:val="en-US" w:eastAsia="zh-CN"/>
        </w:rPr>
      </w:pPr>
      <w:r>
        <w:rPr>
          <w:rFonts w:hint="eastAsia" w:ascii="黑体" w:hAnsi="黑体" w:eastAsia="黑体" w:cs="黑体"/>
          <w:sz w:val="28"/>
          <w:szCs w:val="28"/>
          <w:lang w:val="en-US" w:eastAsia="zh-CN"/>
        </w:rPr>
        <w:t>人财资料股</w:t>
      </w:r>
    </w:p>
    <w:p>
      <w:pPr>
        <w:numPr>
          <w:ilvl w:val="0"/>
          <w:numId w:val="0"/>
        </w:numPr>
        <w:ind w:firstLine="64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负责机关机构编制、人事、劳资、福利、财务、统计和离退休人员管理工作；负责各类资料的搜集、整理、保管和使用工作；做好图书报刊的订阅和管理工作；协助有关股室做好组稿、编辑、校稿、发行等工作。</w:t>
      </w:r>
    </w:p>
    <w:p>
      <w:pPr>
        <w:numPr>
          <w:ilvl w:val="0"/>
          <w:numId w:val="1"/>
        </w:numPr>
        <w:ind w:left="180" w:leftChars="0" w:firstLine="660" w:firstLineChars="0"/>
        <w:rPr>
          <w:rFonts w:hint="eastAsia" w:ascii="仿宋" w:hAnsi="仿宋" w:eastAsia="仿宋" w:cs="仿宋"/>
          <w:sz w:val="28"/>
          <w:szCs w:val="28"/>
          <w:lang w:val="en-US" w:eastAsia="zh-CN"/>
        </w:rPr>
      </w:pPr>
      <w:r>
        <w:rPr>
          <w:rFonts w:hint="eastAsia" w:ascii="黑体" w:hAnsi="黑体" w:eastAsia="黑体" w:cs="黑体"/>
          <w:sz w:val="28"/>
          <w:szCs w:val="28"/>
          <w:lang w:val="en-US" w:eastAsia="zh-CN"/>
        </w:rPr>
        <w:t>征研股</w:t>
      </w:r>
    </w:p>
    <w:p>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认真贯彻执行中央、省、市、县关于党史工作和地方志编纂工作的政策和指示，负责全县的党史和地方志资料征研工作；完成中央和省、市相关部门下达的专题党史和地方志资料征研工作；对全县性重大党史事件和重要党史人物开展征研工作；负责编辑出版地方党史书籍和党史普及读物工作；负责全县党史业务的指导、培训工作；负责组织开发利用地方党史资源。</w:t>
      </w:r>
    </w:p>
    <w:p>
      <w:pPr>
        <w:numPr>
          <w:ilvl w:val="0"/>
          <w:numId w:val="1"/>
        </w:numPr>
        <w:ind w:left="180" w:leftChars="0" w:firstLine="660" w:firstLineChars="0"/>
        <w:rPr>
          <w:rFonts w:hint="eastAsia" w:ascii="仿宋" w:hAnsi="仿宋" w:eastAsia="仿宋" w:cs="仿宋"/>
          <w:sz w:val="28"/>
          <w:szCs w:val="28"/>
          <w:lang w:val="en-US" w:eastAsia="zh-CN"/>
        </w:rPr>
      </w:pPr>
      <w:r>
        <w:rPr>
          <w:rFonts w:hint="eastAsia" w:ascii="黑体" w:hAnsi="黑体" w:eastAsia="黑体" w:cs="黑体"/>
          <w:sz w:val="28"/>
          <w:szCs w:val="28"/>
          <w:lang w:val="en-US" w:eastAsia="zh-CN"/>
        </w:rPr>
        <w:t>方志年鉴股</w:t>
      </w:r>
    </w:p>
    <w:p>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负责县志、年鉴修编工作的规划和组织实施，指导乡镇志和县直专业志的编纂出版发行；负责组织方志和年鉴理论学习、业务培训和学术交流；负责对衡南县地方志、人物志及年鉴历年资料进行搜集、整理、分类、汇总、编辑、配合相关股室做好出版发行工作；负责组织开发利用地方志资源。</w:t>
      </w:r>
    </w:p>
    <w:p>
      <w:pPr>
        <w:numPr>
          <w:ilvl w:val="0"/>
          <w:numId w:val="1"/>
        </w:numPr>
        <w:ind w:left="180" w:leftChars="0" w:firstLine="66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宣传教育股</w:t>
      </w:r>
    </w:p>
    <w:p>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组织和督促县直各单位、各乡镇（片区服务中心）、办事处、企事业单位开展党史和国史的学习宣传教育工作；负责对全县范围内涉及党史和地方志的学习宣传教育相关活动进行协调和管理。</w:t>
      </w:r>
    </w:p>
    <w:p>
      <w:pPr>
        <w:numPr>
          <w:ilvl w:val="0"/>
          <w:numId w:val="1"/>
        </w:numPr>
        <w:ind w:left="180" w:leftChars="0" w:firstLine="66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党史联络股</w:t>
      </w:r>
    </w:p>
    <w:p>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县委党史联络指导组的指导下开展工作，负责征集、审核、编纂党史资料，参加省、市党史联络组组织的一些重大活动；负责动员和组织广大老干部参与党史编纂工作以及撰写个人回忆录；负责县委党史联络组考察调研等相关活动的组织实施。</w:t>
      </w:r>
    </w:p>
    <w:p>
      <w:pPr>
        <w:spacing w:line="560" w:lineRule="exact"/>
        <w:ind w:firstLine="840" w:firstLineChars="300"/>
        <w:rPr>
          <w:rFonts w:hint="eastAsia" w:ascii="黑体" w:hAnsi="黑体" w:eastAsia="黑体" w:cs="黑体"/>
          <w:kern w:val="0"/>
          <w:sz w:val="28"/>
          <w:szCs w:val="28"/>
        </w:rPr>
      </w:pPr>
      <w:r>
        <w:rPr>
          <w:rFonts w:hint="eastAsia" w:ascii="黑体" w:hAnsi="黑体" w:eastAsia="黑体" w:cs="黑体"/>
          <w:kern w:val="0"/>
          <w:sz w:val="28"/>
          <w:szCs w:val="28"/>
          <w:lang w:eastAsia="zh-CN"/>
        </w:rPr>
        <w:t>（三）</w:t>
      </w:r>
      <w:r>
        <w:rPr>
          <w:rFonts w:hint="eastAsia" w:ascii="黑体" w:hAnsi="黑体" w:eastAsia="黑体" w:cs="黑体"/>
          <w:kern w:val="0"/>
          <w:sz w:val="28"/>
          <w:szCs w:val="28"/>
        </w:rPr>
        <w:t>人员编制情况</w:t>
      </w:r>
    </w:p>
    <w:p>
      <w:pPr>
        <w:spacing w:line="560" w:lineRule="exact"/>
        <w:ind w:firstLine="560" w:firstLineChars="200"/>
        <w:rPr>
          <w:rFonts w:hint="eastAsia" w:ascii="仿宋" w:hAnsi="仿宋" w:eastAsia="仿宋" w:cs="仿宋"/>
          <w:b/>
          <w:bCs/>
          <w:color w:val="auto"/>
          <w:kern w:val="0"/>
          <w:sz w:val="28"/>
          <w:szCs w:val="28"/>
          <w:lang w:val="en-US" w:eastAsia="zh-CN"/>
        </w:rPr>
      </w:pPr>
      <w:r>
        <w:rPr>
          <w:rFonts w:hint="eastAsia" w:ascii="仿宋" w:hAnsi="仿宋" w:eastAsia="仿宋" w:cs="仿宋"/>
          <w:color w:val="auto"/>
          <w:kern w:val="0"/>
          <w:sz w:val="28"/>
          <w:szCs w:val="28"/>
        </w:rPr>
        <w:t>全额</w:t>
      </w:r>
      <w:r>
        <w:rPr>
          <w:rFonts w:hint="eastAsia" w:ascii="仿宋" w:hAnsi="仿宋" w:eastAsia="仿宋" w:cs="仿宋"/>
          <w:color w:val="auto"/>
          <w:kern w:val="0"/>
          <w:sz w:val="28"/>
          <w:szCs w:val="28"/>
          <w:lang w:eastAsia="zh-CN"/>
        </w:rPr>
        <w:t>拨款</w:t>
      </w:r>
      <w:r>
        <w:rPr>
          <w:rFonts w:hint="eastAsia" w:ascii="仿宋" w:hAnsi="仿宋" w:eastAsia="仿宋" w:cs="仿宋"/>
          <w:color w:val="auto"/>
          <w:kern w:val="0"/>
          <w:sz w:val="28"/>
          <w:szCs w:val="28"/>
        </w:rPr>
        <w:t>事业编制</w:t>
      </w:r>
      <w:r>
        <w:rPr>
          <w:rFonts w:hint="eastAsia" w:ascii="仿宋" w:hAnsi="仿宋" w:eastAsia="仿宋" w:cs="仿宋"/>
          <w:color w:val="auto"/>
          <w:kern w:val="0"/>
          <w:sz w:val="28"/>
          <w:szCs w:val="28"/>
          <w:lang w:eastAsia="zh-CN"/>
        </w:rPr>
        <w:t>为</w:t>
      </w:r>
      <w:r>
        <w:rPr>
          <w:rFonts w:hint="eastAsia" w:ascii="仿宋" w:hAnsi="仿宋" w:eastAsia="仿宋" w:cs="仿宋"/>
          <w:color w:val="auto"/>
          <w:kern w:val="0"/>
          <w:sz w:val="28"/>
          <w:szCs w:val="28"/>
          <w:lang w:val="en-US" w:eastAsia="zh-CN"/>
        </w:rPr>
        <w:t>11名。设主任1名，副主任2名，股级负责人职数6名。</w:t>
      </w:r>
    </w:p>
    <w:p>
      <w:pPr>
        <w:spacing w:line="600" w:lineRule="exact"/>
        <w:rPr>
          <w:rFonts w:hint="eastAsia" w:ascii="仿宋" w:hAnsi="仿宋" w:eastAsia="仿宋" w:cs="仿宋"/>
          <w:bCs/>
          <w:sz w:val="28"/>
          <w:szCs w:val="28"/>
        </w:rPr>
      </w:pPr>
      <w:r>
        <w:rPr>
          <w:rFonts w:hint="eastAsia" w:ascii="仿宋" w:hAnsi="仿宋" w:eastAsia="仿宋" w:cs="仿宋"/>
          <w:b/>
          <w:bCs/>
          <w:sz w:val="28"/>
          <w:szCs w:val="28"/>
        </w:rPr>
        <w:t xml:space="preserve">  </w:t>
      </w:r>
      <w:r>
        <w:rPr>
          <w:rFonts w:hint="eastAsia" w:ascii="仿宋" w:hAnsi="仿宋" w:eastAsia="仿宋" w:cs="仿宋"/>
          <w:bCs/>
          <w:sz w:val="28"/>
          <w:szCs w:val="28"/>
        </w:rPr>
        <w:t xml:space="preserve">  </w:t>
      </w:r>
      <w:r>
        <w:rPr>
          <w:rFonts w:hint="eastAsia" w:ascii="黑体" w:hAnsi="黑体" w:eastAsia="黑体" w:cs="黑体"/>
          <w:bCs/>
          <w:sz w:val="28"/>
          <w:szCs w:val="28"/>
        </w:rPr>
        <w:t>二、部门整体支出管理及使用情况</w:t>
      </w:r>
    </w:p>
    <w:p>
      <w:pPr>
        <w:spacing w:line="6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（一）20</w:t>
      </w:r>
      <w:r>
        <w:rPr>
          <w:rFonts w:hint="eastAsia" w:ascii="仿宋" w:hAnsi="仿宋" w:eastAsia="仿宋" w:cs="仿宋"/>
          <w:b/>
          <w:sz w:val="28"/>
          <w:szCs w:val="28"/>
          <w:lang w:val="en-US" w:eastAsia="zh-CN"/>
        </w:rPr>
        <w:t>21</w:t>
      </w:r>
      <w:r>
        <w:rPr>
          <w:rFonts w:hint="eastAsia" w:ascii="仿宋" w:hAnsi="仿宋" w:eastAsia="仿宋" w:cs="仿宋"/>
          <w:b/>
          <w:sz w:val="28"/>
          <w:szCs w:val="28"/>
        </w:rPr>
        <w:t>年部门预算情况</w:t>
      </w:r>
    </w:p>
    <w:p>
      <w:pPr>
        <w:spacing w:line="6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color w:val="333333"/>
          <w:sz w:val="28"/>
          <w:szCs w:val="28"/>
        </w:rPr>
        <w:t>20</w:t>
      </w:r>
      <w:r>
        <w:rPr>
          <w:rFonts w:hint="eastAsia" w:ascii="仿宋" w:hAnsi="仿宋" w:eastAsia="仿宋" w:cs="仿宋"/>
          <w:color w:val="333333"/>
          <w:sz w:val="28"/>
          <w:szCs w:val="28"/>
          <w:lang w:val="en-US" w:eastAsia="zh-CN"/>
        </w:rPr>
        <w:t>21</w:t>
      </w:r>
      <w:r>
        <w:rPr>
          <w:rFonts w:hint="eastAsia" w:ascii="仿宋" w:hAnsi="仿宋" w:eastAsia="仿宋" w:cs="仿宋"/>
          <w:color w:val="333333"/>
          <w:sz w:val="28"/>
          <w:szCs w:val="28"/>
        </w:rPr>
        <w:t>年单位预算</w:t>
      </w:r>
      <w:r>
        <w:rPr>
          <w:rFonts w:hint="eastAsia" w:ascii="仿宋" w:hAnsi="仿宋" w:eastAsia="仿宋" w:cs="仿宋"/>
          <w:color w:val="333333"/>
          <w:sz w:val="28"/>
          <w:szCs w:val="28"/>
          <w:lang w:eastAsia="zh-CN"/>
        </w:rPr>
        <w:t>批复安排数：</w:t>
      </w:r>
      <w:r>
        <w:rPr>
          <w:rFonts w:hint="eastAsia" w:ascii="仿宋" w:hAnsi="仿宋" w:eastAsia="仿宋" w:cs="仿宋"/>
          <w:color w:val="333333"/>
          <w:sz w:val="28"/>
          <w:szCs w:val="28"/>
          <w:lang w:val="en-US" w:eastAsia="zh-CN"/>
        </w:rPr>
        <w:t>280.18</w:t>
      </w:r>
      <w:r>
        <w:rPr>
          <w:rFonts w:hint="eastAsia" w:ascii="仿宋" w:hAnsi="仿宋" w:eastAsia="仿宋" w:cs="仿宋"/>
          <w:color w:val="333333"/>
          <w:sz w:val="28"/>
          <w:szCs w:val="28"/>
        </w:rPr>
        <w:t>万元，其中：</w:t>
      </w:r>
      <w:r>
        <w:rPr>
          <w:rFonts w:hint="eastAsia" w:ascii="仿宋" w:hAnsi="仿宋" w:eastAsia="仿宋" w:cs="仿宋"/>
          <w:color w:val="333333"/>
          <w:sz w:val="28"/>
          <w:szCs w:val="28"/>
          <w:lang w:eastAsia="zh-CN"/>
        </w:rPr>
        <w:t>工资福利支出</w:t>
      </w:r>
      <w:r>
        <w:rPr>
          <w:rFonts w:hint="eastAsia" w:ascii="仿宋" w:hAnsi="仿宋" w:eastAsia="仿宋" w:cs="仿宋"/>
          <w:color w:val="333333"/>
          <w:sz w:val="28"/>
          <w:szCs w:val="28"/>
          <w:lang w:val="en-US" w:eastAsia="zh-CN"/>
        </w:rPr>
        <w:t>205.95万元，一般商品和服务支出13.20万元，对个人和家庭补助2.03万元，专项经费59.00万元。</w:t>
      </w:r>
    </w:p>
    <w:p>
      <w:pPr>
        <w:spacing w:line="6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（二）20</w:t>
      </w:r>
      <w:r>
        <w:rPr>
          <w:rFonts w:hint="eastAsia" w:ascii="仿宋" w:hAnsi="仿宋" w:eastAsia="仿宋" w:cs="仿宋"/>
          <w:b/>
          <w:sz w:val="28"/>
          <w:szCs w:val="28"/>
          <w:lang w:val="en-US" w:eastAsia="zh-CN"/>
        </w:rPr>
        <w:t>21</w:t>
      </w:r>
      <w:r>
        <w:rPr>
          <w:rFonts w:hint="eastAsia" w:ascii="仿宋" w:hAnsi="仿宋" w:eastAsia="仿宋" w:cs="仿宋"/>
          <w:b/>
          <w:sz w:val="28"/>
          <w:szCs w:val="28"/>
        </w:rPr>
        <w:t>年部门决算情况</w:t>
      </w:r>
    </w:p>
    <w:p>
      <w:pPr>
        <w:spacing w:line="600" w:lineRule="exact"/>
        <w:ind w:firstLine="560" w:firstLineChars="200"/>
        <w:rPr>
          <w:rFonts w:hint="eastAsia" w:ascii="仿宋" w:hAnsi="仿宋" w:eastAsia="仿宋" w:cs="仿宋"/>
          <w:color w:val="333333"/>
          <w:sz w:val="28"/>
          <w:szCs w:val="28"/>
        </w:rPr>
      </w:pPr>
      <w:r>
        <w:rPr>
          <w:rFonts w:hint="eastAsia" w:ascii="仿宋" w:hAnsi="仿宋" w:eastAsia="仿宋" w:cs="仿宋"/>
          <w:color w:val="333333"/>
          <w:sz w:val="28"/>
          <w:szCs w:val="28"/>
        </w:rPr>
        <w:t>本年总收入</w:t>
      </w:r>
      <w:r>
        <w:rPr>
          <w:rFonts w:hint="eastAsia" w:ascii="仿宋" w:hAnsi="仿宋" w:eastAsia="仿宋" w:cs="仿宋"/>
          <w:color w:val="333333"/>
          <w:sz w:val="28"/>
          <w:szCs w:val="28"/>
          <w:lang w:val="en-US" w:eastAsia="zh-CN"/>
        </w:rPr>
        <w:t>349.94</w:t>
      </w:r>
      <w:r>
        <w:rPr>
          <w:rFonts w:hint="eastAsia" w:ascii="仿宋" w:hAnsi="仿宋" w:eastAsia="仿宋" w:cs="仿宋"/>
          <w:color w:val="333333"/>
          <w:sz w:val="28"/>
          <w:szCs w:val="28"/>
        </w:rPr>
        <w:t>万元，其中：</w:t>
      </w:r>
      <w:bookmarkStart w:id="0" w:name="_GoBack"/>
      <w:bookmarkEnd w:id="0"/>
      <w:r>
        <w:rPr>
          <w:rFonts w:hint="eastAsia" w:ascii="仿宋" w:hAnsi="仿宋" w:eastAsia="仿宋" w:cs="仿宋"/>
          <w:color w:val="333333"/>
          <w:sz w:val="28"/>
          <w:szCs w:val="28"/>
          <w:lang w:eastAsia="zh-CN"/>
        </w:rPr>
        <w:t>财政拨款</w:t>
      </w:r>
      <w:r>
        <w:rPr>
          <w:rFonts w:hint="eastAsia" w:ascii="仿宋" w:hAnsi="仿宋" w:eastAsia="仿宋" w:cs="仿宋"/>
          <w:color w:val="333333"/>
          <w:sz w:val="28"/>
          <w:szCs w:val="28"/>
        </w:rPr>
        <w:t>收入</w:t>
      </w:r>
      <w:r>
        <w:rPr>
          <w:rFonts w:hint="eastAsia" w:ascii="仿宋" w:hAnsi="仿宋" w:eastAsia="仿宋" w:cs="仿宋"/>
          <w:color w:val="333333"/>
          <w:sz w:val="28"/>
          <w:szCs w:val="28"/>
          <w:lang w:val="en-US" w:eastAsia="zh-CN"/>
        </w:rPr>
        <w:t>349.24</w:t>
      </w:r>
      <w:r>
        <w:rPr>
          <w:rFonts w:hint="eastAsia" w:ascii="仿宋" w:hAnsi="仿宋" w:eastAsia="仿宋" w:cs="仿宋"/>
          <w:color w:val="333333"/>
          <w:sz w:val="28"/>
          <w:szCs w:val="28"/>
        </w:rPr>
        <w:t>万元，年初结转和结余</w:t>
      </w:r>
      <w:r>
        <w:rPr>
          <w:rFonts w:hint="eastAsia" w:ascii="仿宋" w:hAnsi="仿宋" w:eastAsia="仿宋" w:cs="仿宋"/>
          <w:color w:val="333333"/>
          <w:sz w:val="28"/>
          <w:szCs w:val="28"/>
          <w:lang w:val="en-US" w:eastAsia="zh-CN"/>
        </w:rPr>
        <w:t>0.70</w:t>
      </w:r>
      <w:r>
        <w:rPr>
          <w:rFonts w:hint="eastAsia" w:ascii="仿宋" w:hAnsi="仿宋" w:eastAsia="仿宋" w:cs="仿宋"/>
          <w:color w:val="333333"/>
          <w:sz w:val="28"/>
          <w:szCs w:val="28"/>
        </w:rPr>
        <w:t>万元。</w:t>
      </w:r>
    </w:p>
    <w:p>
      <w:pPr>
        <w:spacing w:line="600" w:lineRule="exact"/>
        <w:ind w:firstLine="560" w:firstLineChars="200"/>
        <w:rPr>
          <w:rFonts w:hint="eastAsia" w:ascii="仿宋" w:hAnsi="仿宋" w:eastAsia="仿宋" w:cs="仿宋"/>
          <w:color w:val="333333"/>
          <w:sz w:val="28"/>
          <w:szCs w:val="28"/>
        </w:rPr>
      </w:pPr>
      <w:r>
        <w:rPr>
          <w:rFonts w:hint="eastAsia" w:ascii="仿宋" w:hAnsi="仿宋" w:eastAsia="仿宋" w:cs="仿宋"/>
          <w:color w:val="333333"/>
          <w:sz w:val="28"/>
          <w:szCs w:val="28"/>
        </w:rPr>
        <w:t>本年总支出</w:t>
      </w:r>
      <w:r>
        <w:rPr>
          <w:rFonts w:hint="eastAsia" w:ascii="仿宋" w:hAnsi="仿宋" w:eastAsia="仿宋" w:cs="仿宋"/>
          <w:color w:val="333333"/>
          <w:sz w:val="28"/>
          <w:szCs w:val="28"/>
          <w:lang w:val="en-US" w:eastAsia="zh-CN"/>
        </w:rPr>
        <w:t>349.94</w:t>
      </w:r>
      <w:r>
        <w:rPr>
          <w:rFonts w:hint="eastAsia" w:ascii="仿宋" w:hAnsi="仿宋" w:eastAsia="仿宋" w:cs="仿宋"/>
          <w:color w:val="333333"/>
          <w:sz w:val="28"/>
          <w:szCs w:val="28"/>
        </w:rPr>
        <w:t>万元，其中：</w:t>
      </w:r>
      <w:r>
        <w:rPr>
          <w:rFonts w:hint="eastAsia" w:ascii="仿宋" w:hAnsi="仿宋" w:eastAsia="仿宋" w:cs="仿宋"/>
          <w:color w:val="333333"/>
          <w:sz w:val="28"/>
          <w:szCs w:val="28"/>
          <w:lang w:eastAsia="zh-CN"/>
        </w:rPr>
        <w:t>基本支出</w:t>
      </w:r>
      <w:r>
        <w:rPr>
          <w:rFonts w:hint="eastAsia" w:ascii="仿宋" w:hAnsi="仿宋" w:eastAsia="仿宋" w:cs="仿宋"/>
          <w:color w:val="333333"/>
          <w:sz w:val="28"/>
          <w:szCs w:val="28"/>
          <w:lang w:val="en-US" w:eastAsia="zh-CN"/>
        </w:rPr>
        <w:t>225.30万元，项目支出124.64万元，</w:t>
      </w:r>
      <w:r>
        <w:rPr>
          <w:rFonts w:hint="eastAsia" w:ascii="仿宋" w:hAnsi="仿宋" w:eastAsia="仿宋" w:cs="仿宋"/>
          <w:color w:val="333333"/>
          <w:sz w:val="28"/>
          <w:szCs w:val="28"/>
        </w:rPr>
        <w:t>本年结转和结余</w:t>
      </w:r>
      <w:r>
        <w:rPr>
          <w:rFonts w:hint="eastAsia" w:ascii="仿宋" w:hAnsi="仿宋" w:eastAsia="仿宋" w:cs="仿宋"/>
          <w:color w:val="333333"/>
          <w:sz w:val="28"/>
          <w:szCs w:val="28"/>
          <w:lang w:val="en-US" w:eastAsia="zh-CN"/>
        </w:rPr>
        <w:t>0</w:t>
      </w:r>
      <w:r>
        <w:rPr>
          <w:rFonts w:hint="eastAsia" w:ascii="仿宋" w:hAnsi="仿宋" w:eastAsia="仿宋" w:cs="仿宋"/>
          <w:color w:val="333333"/>
          <w:sz w:val="28"/>
          <w:szCs w:val="28"/>
        </w:rPr>
        <w:t>万元。</w:t>
      </w:r>
    </w:p>
    <w:p>
      <w:pPr>
        <w:spacing w:line="6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（三）20</w:t>
      </w:r>
      <w:r>
        <w:rPr>
          <w:rFonts w:hint="eastAsia" w:ascii="仿宋" w:hAnsi="仿宋" w:eastAsia="仿宋" w:cs="仿宋"/>
          <w:b/>
          <w:sz w:val="28"/>
          <w:szCs w:val="28"/>
          <w:lang w:val="en-US" w:eastAsia="zh-CN"/>
        </w:rPr>
        <w:t>21</w:t>
      </w:r>
      <w:r>
        <w:rPr>
          <w:rFonts w:hint="eastAsia" w:ascii="仿宋" w:hAnsi="仿宋" w:eastAsia="仿宋" w:cs="仿宋"/>
          <w:b/>
          <w:sz w:val="28"/>
          <w:szCs w:val="28"/>
        </w:rPr>
        <w:t>年支出分类情况</w:t>
      </w:r>
    </w:p>
    <w:p>
      <w:p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基本保障我</w:t>
      </w:r>
      <w:r>
        <w:rPr>
          <w:rFonts w:hint="eastAsia" w:ascii="仿宋" w:hAnsi="仿宋" w:eastAsia="仿宋" w:cs="仿宋"/>
          <w:sz w:val="28"/>
          <w:szCs w:val="28"/>
          <w:lang w:eastAsia="zh-CN"/>
        </w:rPr>
        <w:t>室</w:t>
      </w:r>
      <w:r>
        <w:rPr>
          <w:rFonts w:hint="eastAsia" w:ascii="仿宋" w:hAnsi="仿宋" w:eastAsia="仿宋" w:cs="仿宋"/>
          <w:sz w:val="28"/>
          <w:szCs w:val="28"/>
        </w:rPr>
        <w:t>正常运转，完成日常工作任务而发生的各项支出，包括用于在职人员的基本工资、津贴补贴等人员经费、办公费等日常公用经费。</w:t>
      </w:r>
      <w:r>
        <w:rPr>
          <w:rFonts w:hint="eastAsia" w:ascii="仿宋" w:hAnsi="仿宋" w:eastAsia="仿宋" w:cs="仿宋"/>
          <w:sz w:val="28"/>
          <w:szCs w:val="28"/>
          <w:lang w:val="en-US" w:eastAsia="zh-CN"/>
        </w:rPr>
        <w:t>1、</w:t>
      </w:r>
      <w:r>
        <w:rPr>
          <w:rFonts w:hint="eastAsia" w:ascii="仿宋" w:hAnsi="仿宋" w:eastAsia="仿宋" w:cs="仿宋"/>
          <w:sz w:val="28"/>
          <w:szCs w:val="28"/>
        </w:rPr>
        <w:t>基本支出</w:t>
      </w:r>
      <w:r>
        <w:rPr>
          <w:rFonts w:hint="eastAsia" w:ascii="仿宋" w:hAnsi="仿宋" w:eastAsia="仿宋" w:cs="仿宋"/>
          <w:sz w:val="28"/>
          <w:szCs w:val="28"/>
          <w:lang w:val="en-US" w:eastAsia="zh-CN"/>
        </w:rPr>
        <w:t>225.30</w:t>
      </w:r>
      <w:r>
        <w:rPr>
          <w:rFonts w:hint="eastAsia" w:ascii="仿宋" w:hAnsi="仿宋" w:eastAsia="仿宋" w:cs="仿宋"/>
          <w:sz w:val="28"/>
          <w:szCs w:val="28"/>
        </w:rPr>
        <w:t>万元，其中</w:t>
      </w:r>
      <w:r>
        <w:rPr>
          <w:rFonts w:hint="eastAsia" w:ascii="仿宋" w:hAnsi="仿宋" w:eastAsia="仿宋" w:cs="仿宋"/>
          <w:sz w:val="28"/>
          <w:szCs w:val="28"/>
          <w:lang w:eastAsia="zh-CN"/>
        </w:rPr>
        <w:t>工资福利支出</w:t>
      </w:r>
      <w:r>
        <w:rPr>
          <w:rFonts w:hint="eastAsia" w:ascii="仿宋" w:hAnsi="仿宋" w:eastAsia="仿宋" w:cs="仿宋"/>
          <w:sz w:val="28"/>
          <w:szCs w:val="28"/>
          <w:lang w:val="en-US" w:eastAsia="zh-CN"/>
        </w:rPr>
        <w:t>210.60万元、一般商品和服务支出12.75万元、对个人和家庭补助1.5万元、资本性支出0.45万元。2、</w:t>
      </w:r>
      <w:r>
        <w:rPr>
          <w:rFonts w:hint="eastAsia" w:ascii="仿宋" w:hAnsi="仿宋" w:eastAsia="仿宋" w:cs="仿宋"/>
          <w:sz w:val="28"/>
          <w:szCs w:val="28"/>
        </w:rPr>
        <w:t>项目支出</w:t>
      </w:r>
      <w:r>
        <w:rPr>
          <w:rFonts w:hint="eastAsia" w:ascii="仿宋" w:hAnsi="仿宋" w:eastAsia="仿宋" w:cs="仿宋"/>
          <w:sz w:val="28"/>
          <w:szCs w:val="28"/>
          <w:lang w:val="en-US" w:eastAsia="zh-CN"/>
        </w:rPr>
        <w:t>124.64</w:t>
      </w:r>
      <w:r>
        <w:rPr>
          <w:rFonts w:hint="eastAsia" w:ascii="仿宋" w:hAnsi="仿宋" w:eastAsia="仿宋" w:cs="仿宋"/>
          <w:sz w:val="28"/>
          <w:szCs w:val="28"/>
        </w:rPr>
        <w:t>万元，</w:t>
      </w:r>
      <w:r>
        <w:rPr>
          <w:rFonts w:hint="eastAsia" w:ascii="仿宋" w:hAnsi="仿宋" w:eastAsia="仿宋" w:cs="仿宋"/>
          <w:sz w:val="28"/>
          <w:szCs w:val="28"/>
          <w:lang w:eastAsia="zh-CN"/>
        </w:rPr>
        <w:t>其中办公费</w:t>
      </w:r>
      <w:r>
        <w:rPr>
          <w:rFonts w:hint="eastAsia" w:ascii="仿宋" w:hAnsi="仿宋" w:eastAsia="仿宋" w:cs="仿宋"/>
          <w:sz w:val="28"/>
          <w:szCs w:val="28"/>
          <w:lang w:val="en-US" w:eastAsia="zh-CN"/>
        </w:rPr>
        <w:t>15.68万元、印刷费51.18万元、差旅费13.19万元、会议费9.8万元、培训费4.58万元、劳务费24万元、其他交通费3.5万元、其他商品和服务支出2.71万元。</w:t>
      </w:r>
    </w:p>
    <w:p>
      <w:pPr>
        <w:spacing w:line="600" w:lineRule="exact"/>
        <w:rPr>
          <w:rFonts w:hint="eastAsia" w:ascii="仿宋" w:hAnsi="仿宋" w:eastAsia="仿宋" w:cs="仿宋"/>
          <w:b/>
          <w:sz w:val="28"/>
          <w:szCs w:val="28"/>
        </w:rPr>
      </w:pPr>
      <w:r>
        <w:rPr>
          <w:rFonts w:hint="eastAsia" w:ascii="仿宋" w:hAnsi="仿宋" w:eastAsia="仿宋" w:cs="仿宋"/>
          <w:sz w:val="28"/>
          <w:szCs w:val="28"/>
        </w:rPr>
        <w:t xml:space="preserve">    </w:t>
      </w:r>
      <w:r>
        <w:rPr>
          <w:rFonts w:hint="eastAsia" w:ascii="仿宋" w:hAnsi="仿宋" w:eastAsia="仿宋" w:cs="仿宋"/>
          <w:b/>
          <w:sz w:val="28"/>
          <w:szCs w:val="28"/>
        </w:rPr>
        <w:t>（四）“三公”经费情况</w:t>
      </w:r>
    </w:p>
    <w:p>
      <w:p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1</w:t>
      </w:r>
      <w:r>
        <w:rPr>
          <w:rFonts w:hint="eastAsia" w:ascii="仿宋" w:hAnsi="仿宋" w:eastAsia="仿宋" w:cs="仿宋"/>
          <w:sz w:val="28"/>
          <w:szCs w:val="28"/>
        </w:rPr>
        <w:t>年“三公”经费实际支出</w:t>
      </w:r>
      <w:r>
        <w:rPr>
          <w:rFonts w:hint="eastAsia" w:ascii="仿宋" w:hAnsi="仿宋" w:eastAsia="仿宋" w:cs="仿宋"/>
          <w:sz w:val="28"/>
          <w:szCs w:val="28"/>
          <w:lang w:val="en-US" w:eastAsia="zh-CN"/>
        </w:rPr>
        <w:t>0.30</w:t>
      </w:r>
      <w:r>
        <w:rPr>
          <w:rFonts w:hint="eastAsia" w:ascii="仿宋" w:hAnsi="仿宋" w:eastAsia="仿宋" w:cs="仿宋"/>
          <w:sz w:val="28"/>
          <w:szCs w:val="28"/>
        </w:rPr>
        <w:t>万元，其中公务接待</w:t>
      </w:r>
      <w:r>
        <w:rPr>
          <w:rFonts w:hint="eastAsia" w:ascii="仿宋" w:hAnsi="仿宋" w:eastAsia="仿宋" w:cs="仿宋"/>
          <w:sz w:val="28"/>
          <w:szCs w:val="28"/>
          <w:lang w:val="en-US" w:eastAsia="zh-CN"/>
        </w:rPr>
        <w:t>0.30</w:t>
      </w:r>
      <w:r>
        <w:rPr>
          <w:rFonts w:hint="eastAsia" w:ascii="仿宋" w:hAnsi="仿宋" w:eastAsia="仿宋" w:cs="仿宋"/>
          <w:sz w:val="28"/>
          <w:szCs w:val="28"/>
        </w:rPr>
        <w:t>万元，202</w:t>
      </w:r>
      <w:r>
        <w:rPr>
          <w:rFonts w:hint="eastAsia" w:ascii="仿宋" w:hAnsi="仿宋" w:eastAsia="仿宋" w:cs="仿宋"/>
          <w:sz w:val="28"/>
          <w:szCs w:val="28"/>
          <w:lang w:val="en-US" w:eastAsia="zh-CN"/>
        </w:rPr>
        <w:t>1</w:t>
      </w:r>
      <w:r>
        <w:rPr>
          <w:rFonts w:hint="eastAsia" w:ascii="仿宋" w:hAnsi="仿宋" w:eastAsia="仿宋" w:cs="仿宋"/>
          <w:sz w:val="28"/>
          <w:szCs w:val="28"/>
        </w:rPr>
        <w:t>年公务接待费比上</w:t>
      </w:r>
      <w:r>
        <w:rPr>
          <w:rFonts w:hint="eastAsia" w:ascii="仿宋" w:hAnsi="仿宋" w:eastAsia="仿宋" w:cs="仿宋"/>
          <w:sz w:val="28"/>
          <w:szCs w:val="28"/>
          <w:lang w:eastAsia="zh-CN"/>
        </w:rPr>
        <w:t>年度减少</w:t>
      </w:r>
      <w:r>
        <w:rPr>
          <w:rFonts w:hint="eastAsia" w:ascii="仿宋" w:hAnsi="仿宋" w:eastAsia="仿宋" w:cs="仿宋"/>
          <w:sz w:val="28"/>
          <w:szCs w:val="28"/>
          <w:lang w:val="en-US" w:eastAsia="zh-CN"/>
        </w:rPr>
        <w:t>0.14万元，增减率-3.2%</w:t>
      </w:r>
      <w:r>
        <w:rPr>
          <w:rFonts w:hint="eastAsia" w:ascii="仿宋" w:hAnsi="仿宋" w:eastAsia="仿宋" w:cs="仿宋"/>
          <w:sz w:val="28"/>
          <w:szCs w:val="28"/>
        </w:rPr>
        <w:t>。</w:t>
      </w:r>
    </w:p>
    <w:p>
      <w:pPr>
        <w:spacing w:line="600" w:lineRule="exact"/>
        <w:ind w:firstLine="560" w:firstLineChars="200"/>
        <w:rPr>
          <w:rFonts w:hint="eastAsia" w:ascii="黑体" w:hAnsi="黑体" w:eastAsia="黑体" w:cs="黑体"/>
          <w:color w:val="333333"/>
          <w:kern w:val="0"/>
          <w:sz w:val="28"/>
          <w:szCs w:val="28"/>
        </w:rPr>
      </w:pPr>
      <w:r>
        <w:rPr>
          <w:rFonts w:hint="eastAsia" w:ascii="黑体" w:hAnsi="黑体" w:eastAsia="黑体" w:cs="黑体"/>
          <w:color w:val="333333"/>
          <w:kern w:val="0"/>
          <w:sz w:val="28"/>
          <w:szCs w:val="28"/>
        </w:rPr>
        <w:t>三、部门整体支出绩效指标评价情况</w:t>
      </w:r>
    </w:p>
    <w:p>
      <w:pPr>
        <w:spacing w:line="360" w:lineRule="auto"/>
        <w:ind w:firstLine="560" w:firstLineChars="200"/>
        <w:rPr>
          <w:rFonts w:hint="eastAsia" w:ascii="仿宋" w:hAnsi="仿宋" w:eastAsia="仿宋" w:cs="仿宋"/>
          <w:color w:val="010101"/>
          <w:kern w:val="0"/>
          <w:sz w:val="28"/>
          <w:szCs w:val="28"/>
          <w:lang w:val="en-US" w:eastAsia="zh-CN"/>
        </w:rPr>
      </w:pPr>
      <w:r>
        <w:rPr>
          <w:rFonts w:hint="eastAsia" w:ascii="仿宋" w:hAnsi="仿宋" w:eastAsia="仿宋" w:cs="仿宋"/>
          <w:color w:val="333333"/>
          <w:kern w:val="0"/>
          <w:sz w:val="28"/>
          <w:szCs w:val="28"/>
        </w:rPr>
        <w:t>202</w:t>
      </w:r>
      <w:r>
        <w:rPr>
          <w:rFonts w:hint="eastAsia" w:ascii="仿宋" w:hAnsi="仿宋" w:eastAsia="仿宋" w:cs="仿宋"/>
          <w:color w:val="333333"/>
          <w:kern w:val="0"/>
          <w:sz w:val="28"/>
          <w:szCs w:val="28"/>
          <w:lang w:val="en-US" w:eastAsia="zh-CN"/>
        </w:rPr>
        <w:t>1</w:t>
      </w:r>
      <w:r>
        <w:rPr>
          <w:rFonts w:hint="eastAsia" w:ascii="仿宋" w:hAnsi="仿宋" w:eastAsia="仿宋" w:cs="仿宋"/>
          <w:color w:val="333333"/>
          <w:kern w:val="0"/>
          <w:sz w:val="28"/>
          <w:szCs w:val="28"/>
        </w:rPr>
        <w:t>年</w:t>
      </w:r>
      <w:r>
        <w:rPr>
          <w:rFonts w:hint="eastAsia" w:ascii="仿宋" w:hAnsi="仿宋" w:eastAsia="仿宋" w:cs="仿宋"/>
          <w:color w:val="333333"/>
          <w:kern w:val="0"/>
          <w:sz w:val="28"/>
          <w:szCs w:val="28"/>
          <w:lang w:eastAsia="zh-CN"/>
        </w:rPr>
        <w:t>，在省委党史研究院、省地方志编纂委员会、市委党史研究室、市地方志编纂委员会的帮助指导下，在县委县政府的正确领导下，衡南县委党史研究室（衡南县地方志编纂室）坚持以习近平新时代中国特色社会主义思想为指导，不断挖掘史志文化资源，充分利用史志文化优势，直笔著信史，彰善引风气，团结协作、勤勉奋进，</w:t>
      </w:r>
      <w:r>
        <w:rPr>
          <w:rFonts w:hint="eastAsia" w:ascii="仿宋" w:hAnsi="仿宋" w:eastAsia="仿宋" w:cs="仿宋"/>
          <w:sz w:val="28"/>
          <w:szCs w:val="28"/>
        </w:rPr>
        <w:t>加强预算收支的管理，</w:t>
      </w:r>
      <w:r>
        <w:rPr>
          <w:rFonts w:hint="eastAsia" w:ascii="仿宋" w:hAnsi="仿宋" w:eastAsia="仿宋" w:cs="仿宋"/>
          <w:sz w:val="28"/>
          <w:szCs w:val="28"/>
          <w:lang w:eastAsia="zh-CN"/>
        </w:rPr>
        <w:t>加强资产管理，</w:t>
      </w:r>
      <w:r>
        <w:rPr>
          <w:rFonts w:hint="eastAsia" w:ascii="仿宋" w:hAnsi="仿宋" w:eastAsia="仿宋" w:cs="仿宋"/>
          <w:sz w:val="28"/>
          <w:szCs w:val="28"/>
        </w:rPr>
        <w:t>不断建立健全内部管理制度，</w:t>
      </w:r>
      <w:r>
        <w:rPr>
          <w:rFonts w:hint="eastAsia" w:ascii="仿宋" w:hAnsi="仿宋" w:eastAsia="仿宋" w:cs="仿宋"/>
          <w:sz w:val="28"/>
          <w:szCs w:val="28"/>
          <w:lang w:eastAsia="zh-CN"/>
        </w:rPr>
        <w:t>使</w:t>
      </w:r>
      <w:r>
        <w:rPr>
          <w:rFonts w:hint="eastAsia" w:ascii="仿宋" w:hAnsi="仿宋" w:eastAsia="仿宋" w:cs="仿宋"/>
          <w:sz w:val="28"/>
          <w:szCs w:val="28"/>
        </w:rPr>
        <w:t>部门整体支出管理情况得到了提升，</w:t>
      </w:r>
      <w:r>
        <w:rPr>
          <w:rFonts w:hint="eastAsia" w:ascii="仿宋" w:hAnsi="仿宋" w:eastAsia="仿宋" w:cs="仿宋"/>
          <w:sz w:val="28"/>
          <w:szCs w:val="28"/>
          <w:lang w:eastAsia="zh-CN"/>
        </w:rPr>
        <w:t>各项工作有序推进、成效良好，</w:t>
      </w:r>
      <w:r>
        <w:rPr>
          <w:rFonts w:hint="eastAsia" w:ascii="仿宋" w:hAnsi="仿宋" w:eastAsia="仿宋" w:cs="仿宋"/>
          <w:sz w:val="28"/>
          <w:szCs w:val="28"/>
        </w:rPr>
        <w:t>较好</w:t>
      </w:r>
      <w:r>
        <w:rPr>
          <w:rFonts w:hint="eastAsia" w:ascii="仿宋" w:hAnsi="仿宋" w:eastAsia="仿宋" w:cs="仿宋"/>
          <w:sz w:val="28"/>
          <w:szCs w:val="28"/>
          <w:lang w:eastAsia="zh-CN"/>
        </w:rPr>
        <w:t>地</w:t>
      </w:r>
      <w:r>
        <w:rPr>
          <w:rFonts w:hint="eastAsia" w:ascii="仿宋" w:hAnsi="仿宋" w:eastAsia="仿宋" w:cs="仿宋"/>
          <w:sz w:val="28"/>
          <w:szCs w:val="28"/>
        </w:rPr>
        <w:t>完成了各项目标任务。</w:t>
      </w:r>
      <w:r>
        <w:rPr>
          <w:rFonts w:hint="eastAsia" w:ascii="仿宋" w:hAnsi="仿宋" w:eastAsia="仿宋" w:cs="仿宋"/>
          <w:sz w:val="28"/>
          <w:szCs w:val="28"/>
          <w:lang w:eastAsia="zh-CN"/>
        </w:rPr>
        <w:t>得到了领导的充分肯定</w:t>
      </w:r>
      <w:r>
        <w:rPr>
          <w:rFonts w:hint="eastAsia" w:ascii="仿宋" w:hAnsi="仿宋" w:eastAsia="仿宋" w:cs="仿宋"/>
          <w:sz w:val="28"/>
          <w:szCs w:val="28"/>
          <w:lang w:val="en-US" w:eastAsia="zh-CN"/>
        </w:rPr>
        <w:t>。</w:t>
      </w:r>
    </w:p>
    <w:p>
      <w:pPr>
        <w:spacing w:line="360" w:lineRule="auto"/>
        <w:ind w:firstLine="638" w:firstLineChars="228"/>
        <w:rPr>
          <w:rFonts w:hint="eastAsia" w:ascii="仿宋" w:hAnsi="仿宋" w:eastAsia="仿宋" w:cs="仿宋"/>
          <w:color w:val="010101"/>
          <w:kern w:val="0"/>
          <w:sz w:val="28"/>
          <w:szCs w:val="28"/>
        </w:rPr>
      </w:pPr>
      <w:r>
        <w:rPr>
          <w:rFonts w:hint="eastAsia" w:ascii="仿宋" w:hAnsi="仿宋" w:eastAsia="仿宋" w:cs="仿宋"/>
          <w:color w:val="333333"/>
          <w:kern w:val="0"/>
          <w:sz w:val="28"/>
          <w:szCs w:val="28"/>
        </w:rPr>
        <w:t>一是</w:t>
      </w:r>
      <w:r>
        <w:rPr>
          <w:rFonts w:hint="eastAsia" w:ascii="仿宋" w:hAnsi="仿宋" w:eastAsia="仿宋" w:cs="仿宋"/>
          <w:color w:val="010101"/>
          <w:kern w:val="0"/>
          <w:sz w:val="28"/>
          <w:szCs w:val="28"/>
        </w:rPr>
        <w:t>支出总额控制在预算总额以内</w:t>
      </w:r>
      <w:r>
        <w:rPr>
          <w:rFonts w:hint="eastAsia" w:ascii="仿宋" w:hAnsi="仿宋" w:eastAsia="仿宋" w:cs="仿宋"/>
          <w:color w:val="010101"/>
          <w:kern w:val="0"/>
          <w:sz w:val="28"/>
          <w:szCs w:val="28"/>
          <w:lang w:eastAsia="zh-CN"/>
        </w:rPr>
        <w:t>，</w:t>
      </w:r>
      <w:r>
        <w:rPr>
          <w:rFonts w:hint="eastAsia" w:ascii="仿宋" w:hAnsi="仿宋" w:eastAsia="仿宋" w:cs="仿宋"/>
          <w:color w:val="010101"/>
          <w:kern w:val="0"/>
          <w:sz w:val="28"/>
          <w:szCs w:val="28"/>
        </w:rPr>
        <w:t>严格执行了国库集中支付、政府采购等有关规定，确保了支出管理流程、审批手续的完整。</w:t>
      </w:r>
    </w:p>
    <w:p>
      <w:pPr>
        <w:spacing w:line="360" w:lineRule="auto"/>
        <w:ind w:firstLine="638" w:firstLineChars="228"/>
        <w:rPr>
          <w:rFonts w:hint="eastAsia" w:ascii="仿宋" w:hAnsi="仿宋" w:eastAsia="仿宋" w:cs="仿宋"/>
          <w:sz w:val="28"/>
          <w:szCs w:val="28"/>
          <w:lang w:eastAsia="zh-CN"/>
        </w:rPr>
      </w:pPr>
      <w:r>
        <w:rPr>
          <w:rFonts w:hint="eastAsia" w:ascii="仿宋" w:hAnsi="仿宋" w:eastAsia="仿宋" w:cs="仿宋"/>
          <w:color w:val="010101"/>
          <w:kern w:val="0"/>
          <w:sz w:val="28"/>
          <w:szCs w:val="28"/>
          <w:lang w:val="en-US" w:eastAsia="zh-CN"/>
        </w:rPr>
        <w:t>二是</w:t>
      </w:r>
      <w:r>
        <w:rPr>
          <w:rFonts w:hint="eastAsia" w:ascii="仿宋" w:hAnsi="仿宋" w:eastAsia="仿宋" w:cs="仿宋"/>
          <w:color w:val="000000"/>
          <w:sz w:val="28"/>
          <w:szCs w:val="28"/>
        </w:rPr>
        <w:t>在确保人员</w:t>
      </w:r>
      <w:r>
        <w:rPr>
          <w:rFonts w:hint="eastAsia" w:ascii="仿宋" w:hAnsi="仿宋" w:eastAsia="仿宋" w:cs="仿宋"/>
          <w:color w:val="000000"/>
          <w:sz w:val="28"/>
          <w:szCs w:val="28"/>
          <w:lang w:eastAsia="zh-CN"/>
        </w:rPr>
        <w:t>经费</w:t>
      </w:r>
      <w:r>
        <w:rPr>
          <w:rFonts w:hint="eastAsia" w:ascii="仿宋" w:hAnsi="仿宋" w:eastAsia="仿宋" w:cs="仿宋"/>
          <w:color w:val="000000"/>
          <w:sz w:val="28"/>
          <w:szCs w:val="28"/>
        </w:rPr>
        <w:t>、日常公用经费的正常开支基础上，保证重点</w:t>
      </w:r>
      <w:r>
        <w:rPr>
          <w:rFonts w:hint="eastAsia" w:ascii="仿宋" w:hAnsi="仿宋" w:eastAsia="仿宋" w:cs="仿宋"/>
          <w:color w:val="000000"/>
          <w:sz w:val="28"/>
          <w:szCs w:val="28"/>
          <w:lang w:eastAsia="zh-CN"/>
        </w:rPr>
        <w:t>工作</w:t>
      </w:r>
      <w:r>
        <w:rPr>
          <w:rFonts w:hint="eastAsia" w:ascii="仿宋" w:hAnsi="仿宋" w:eastAsia="仿宋" w:cs="仿宋"/>
          <w:color w:val="000000"/>
          <w:sz w:val="28"/>
          <w:szCs w:val="28"/>
        </w:rPr>
        <w:t>支出，</w:t>
      </w:r>
      <w:r>
        <w:rPr>
          <w:rFonts w:hint="eastAsia" w:ascii="仿宋" w:hAnsi="仿宋" w:eastAsia="仿宋" w:cs="仿宋"/>
          <w:color w:val="000000"/>
          <w:sz w:val="28"/>
          <w:szCs w:val="28"/>
          <w:lang w:eastAsia="zh-CN"/>
        </w:rPr>
        <w:t>大力</w:t>
      </w:r>
      <w:r>
        <w:rPr>
          <w:rFonts w:hint="eastAsia" w:ascii="仿宋" w:hAnsi="仿宋" w:eastAsia="仿宋" w:cs="仿宋"/>
          <w:color w:val="000000"/>
          <w:sz w:val="28"/>
          <w:szCs w:val="28"/>
        </w:rPr>
        <w:t>压缩一般性支出，严控“三公”经费支出</w:t>
      </w:r>
      <w:r>
        <w:rPr>
          <w:rFonts w:hint="eastAsia" w:ascii="仿宋" w:hAnsi="仿宋" w:eastAsia="仿宋" w:cs="仿宋"/>
          <w:color w:val="000000"/>
          <w:sz w:val="28"/>
          <w:szCs w:val="28"/>
          <w:lang w:eastAsia="zh-CN"/>
        </w:rPr>
        <w:t>，</w:t>
      </w:r>
      <w:r>
        <w:rPr>
          <w:rFonts w:hint="eastAsia" w:ascii="仿宋" w:hAnsi="仿宋" w:eastAsia="仿宋" w:cs="仿宋"/>
          <w:sz w:val="28"/>
          <w:szCs w:val="28"/>
        </w:rPr>
        <w:t>提高财政资金使用效益</w:t>
      </w:r>
      <w:r>
        <w:rPr>
          <w:rFonts w:hint="eastAsia" w:ascii="仿宋" w:hAnsi="仿宋" w:eastAsia="仿宋" w:cs="仿宋"/>
          <w:sz w:val="28"/>
          <w:szCs w:val="28"/>
          <w:lang w:eastAsia="zh-CN"/>
        </w:rPr>
        <w:t>。</w:t>
      </w:r>
    </w:p>
    <w:p>
      <w:pPr>
        <w:spacing w:line="360" w:lineRule="auto"/>
        <w:ind w:firstLine="638" w:firstLineChars="228"/>
        <w:rPr>
          <w:rFonts w:hint="eastAsia" w:ascii="仿宋" w:hAnsi="仿宋" w:eastAsia="仿宋" w:cs="仿宋"/>
          <w:color w:val="auto"/>
          <w:sz w:val="28"/>
          <w:szCs w:val="28"/>
        </w:rPr>
      </w:pPr>
      <w:r>
        <w:rPr>
          <w:rFonts w:hint="eastAsia" w:ascii="仿宋" w:hAnsi="仿宋" w:eastAsia="仿宋" w:cs="仿宋"/>
          <w:sz w:val="28"/>
          <w:szCs w:val="28"/>
          <w:lang w:eastAsia="zh-CN"/>
        </w:rPr>
        <w:t>三是稳步推进《衡南年鉴》《衡南执政纪事》公开出版，不断完善衡南志书体系。深入挖掘衡南红色文化元素，加强精品专题课题研究，推进“史志进单位、进村、进校”工作，充分发挥史志“存史、资政、育人”的作用。深入挖掘衡南史志文化，推进衡南史志工作不断发展，不断提高衡南文化软实力。</w:t>
      </w:r>
    </w:p>
    <w:p>
      <w:pPr>
        <w:spacing w:line="600" w:lineRule="exact"/>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四、存在的主要问题</w:t>
      </w:r>
    </w:p>
    <w:p>
      <w:pPr>
        <w:spacing w:line="6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年初预算的编制较为精细，按照费用支出的使用范围和内容，进行了基本支出、项目支出的严格区分，并按照预算的最末级明细进行预算支出管理，专款专用。</w:t>
      </w:r>
      <w:r>
        <w:rPr>
          <w:rFonts w:hint="eastAsia" w:ascii="仿宋" w:hAnsi="仿宋" w:eastAsia="仿宋" w:cs="仿宋"/>
          <w:sz w:val="28"/>
          <w:szCs w:val="28"/>
          <w:lang w:eastAsia="zh-CN"/>
        </w:rPr>
        <w:t>因我室属全额拨款单位，无其他经费来源，对于追加的经费不能做到严格区分。预算执行力度还有待加强。</w:t>
      </w:r>
    </w:p>
    <w:p>
      <w:pPr>
        <w:numPr>
          <w:ilvl w:val="0"/>
          <w:numId w:val="0"/>
        </w:numPr>
        <w:spacing w:line="600" w:lineRule="exact"/>
        <w:ind w:firstLine="560" w:firstLineChars="200"/>
        <w:rPr>
          <w:rFonts w:hint="eastAsia" w:ascii="黑体" w:hAnsi="黑体" w:eastAsia="黑体" w:cs="黑体"/>
          <w:sz w:val="28"/>
          <w:szCs w:val="28"/>
          <w:lang w:eastAsia="zh-CN"/>
        </w:rPr>
      </w:pPr>
      <w:r>
        <w:rPr>
          <w:rFonts w:hint="eastAsia" w:ascii="黑体" w:hAnsi="黑体" w:eastAsia="黑体" w:cs="黑体"/>
          <w:sz w:val="28"/>
          <w:szCs w:val="28"/>
          <w:lang w:eastAsia="zh-CN"/>
        </w:rPr>
        <w:t>五、</w:t>
      </w:r>
      <w:r>
        <w:rPr>
          <w:rFonts w:hint="eastAsia" w:ascii="黑体" w:hAnsi="黑体" w:eastAsia="黑体" w:cs="黑体"/>
          <w:sz w:val="28"/>
          <w:szCs w:val="28"/>
        </w:rPr>
        <w:t>改进措施和建</w:t>
      </w:r>
      <w:r>
        <w:rPr>
          <w:rFonts w:hint="eastAsia" w:ascii="黑体" w:hAnsi="黑体" w:eastAsia="黑体" w:cs="黑体"/>
          <w:sz w:val="28"/>
          <w:szCs w:val="28"/>
          <w:lang w:eastAsia="zh-CN"/>
        </w:rPr>
        <w:t>议</w:t>
      </w:r>
    </w:p>
    <w:p>
      <w:pPr>
        <w:numPr>
          <w:ilvl w:val="0"/>
          <w:numId w:val="0"/>
        </w:numPr>
        <w:spacing w:line="600" w:lineRule="exact"/>
        <w:rPr>
          <w:rFonts w:hint="eastAsia" w:ascii="仿宋" w:hAnsi="仿宋" w:eastAsia="仿宋" w:cs="仿宋"/>
          <w:sz w:val="28"/>
          <w:szCs w:val="28"/>
          <w:lang w:eastAsia="zh-CN"/>
        </w:rPr>
      </w:pPr>
      <w:r>
        <w:rPr>
          <w:rFonts w:hint="eastAsia" w:ascii="仿宋" w:hAnsi="仿宋" w:eastAsia="仿宋" w:cs="仿宋"/>
          <w:sz w:val="28"/>
          <w:szCs w:val="28"/>
          <w:lang w:eastAsia="zh-CN"/>
        </w:rPr>
        <w:t>针对上述存在的问题拟实施的改进措施如下：</w:t>
      </w:r>
    </w:p>
    <w:p>
      <w:pPr>
        <w:numPr>
          <w:ilvl w:val="0"/>
          <w:numId w:val="0"/>
        </w:numPr>
        <w:spacing w:line="6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细化预算编制工作，认真做好预算的编制。严格按照预算编制的相关制度和要求进行预算编制，优先保障固定的、相对刚性的费用支出项目，尽量压缩变动性的、有控制空间的费用项目，进一步提高预算编制的科学性、严谨性和可控性。加强内部预算编制的审核和预算指标的下达。</w:t>
      </w:r>
    </w:p>
    <w:p>
      <w:pPr>
        <w:numPr>
          <w:ilvl w:val="0"/>
          <w:numId w:val="0"/>
        </w:numPr>
        <w:spacing w:line="6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2、加强财务管理，严格财务审核。加强单位财务管理，健全单位财务制度管理体系，规范单位财务行为。</w:t>
      </w:r>
    </w:p>
    <w:p>
      <w:pPr>
        <w:numPr>
          <w:ilvl w:val="0"/>
          <w:numId w:val="0"/>
        </w:numPr>
        <w:spacing w:line="6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3、完善资产管理，抓好“三公经费”控制。</w:t>
      </w:r>
    </w:p>
    <w:p>
      <w:pPr>
        <w:numPr>
          <w:ilvl w:val="0"/>
          <w:numId w:val="0"/>
        </w:numPr>
        <w:spacing w:line="6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4、对相关人员加强培训，规范部门预算收支核算，切实提高部门预算收支管理水平。</w:t>
      </w:r>
    </w:p>
    <w:p>
      <w:pPr>
        <w:numPr>
          <w:ilvl w:val="0"/>
          <w:numId w:val="0"/>
        </w:numPr>
        <w:spacing w:line="600" w:lineRule="exact"/>
        <w:rPr>
          <w:rFonts w:hint="eastAsia" w:ascii="仿宋" w:hAnsi="仿宋" w:eastAsia="仿宋" w:cs="仿宋"/>
          <w:sz w:val="28"/>
          <w:szCs w:val="28"/>
          <w:lang w:val="en-US" w:eastAsia="zh-CN"/>
        </w:rPr>
      </w:pPr>
    </w:p>
    <w:p>
      <w:pPr>
        <w:spacing w:line="600" w:lineRule="exact"/>
        <w:ind w:firstLine="560" w:firstLineChars="200"/>
        <w:rPr>
          <w:rFonts w:hint="eastAsia" w:ascii="仿宋" w:hAnsi="仿宋" w:eastAsia="仿宋" w:cs="仿宋"/>
          <w:sz w:val="28"/>
          <w:szCs w:val="28"/>
        </w:rPr>
      </w:pPr>
    </w:p>
    <w:p>
      <w:pPr>
        <w:spacing w:line="600" w:lineRule="exact"/>
        <w:ind w:firstLine="560" w:firstLineChars="200"/>
        <w:rPr>
          <w:rFonts w:hint="eastAsia" w:ascii="仿宋" w:hAnsi="仿宋" w:eastAsia="仿宋" w:cs="仿宋"/>
          <w:sz w:val="28"/>
          <w:szCs w:val="28"/>
        </w:rPr>
      </w:pPr>
    </w:p>
    <w:p>
      <w:pPr>
        <w:spacing w:line="600" w:lineRule="exact"/>
        <w:ind w:right="480" w:firstLine="560" w:firstLineChars="200"/>
        <w:jc w:val="right"/>
        <w:rPr>
          <w:rFonts w:hint="eastAsia" w:ascii="仿宋" w:hAnsi="仿宋" w:eastAsia="仿宋" w:cs="仿宋"/>
          <w:sz w:val="28"/>
          <w:szCs w:val="28"/>
          <w:lang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eastAsia="zh-CN"/>
        </w:rPr>
        <w:t>中共衡南县委党史研究室</w:t>
      </w:r>
    </w:p>
    <w:p>
      <w:pPr>
        <w:spacing w:line="600" w:lineRule="exact"/>
        <w:ind w:right="480" w:firstLine="560" w:firstLineChars="200"/>
        <w:jc w:val="right"/>
        <w:rPr>
          <w:rFonts w:hint="eastAsia" w:ascii="仿宋" w:hAnsi="仿宋" w:eastAsia="仿宋" w:cs="仿宋"/>
          <w:sz w:val="28"/>
          <w:szCs w:val="28"/>
          <w:lang w:eastAsia="zh-CN"/>
        </w:rPr>
      </w:pPr>
      <w:r>
        <w:rPr>
          <w:rFonts w:hint="eastAsia" w:ascii="仿宋" w:hAnsi="仿宋" w:eastAsia="仿宋" w:cs="仿宋"/>
          <w:sz w:val="28"/>
          <w:szCs w:val="28"/>
          <w:lang w:eastAsia="zh-CN"/>
        </w:rPr>
        <w:t>（衡南县地方志编纂室）</w:t>
      </w:r>
    </w:p>
    <w:p>
      <w:pPr>
        <w:spacing w:line="600" w:lineRule="exact"/>
        <w:ind w:right="320" w:firstLine="560" w:firstLineChars="20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202</w:t>
      </w:r>
      <w:r>
        <w:rPr>
          <w:rFonts w:hint="eastAsia" w:ascii="仿宋" w:hAnsi="仿宋" w:eastAsia="仿宋" w:cs="仿宋"/>
          <w:sz w:val="28"/>
          <w:szCs w:val="28"/>
          <w:lang w:val="en-US" w:eastAsia="zh-CN"/>
        </w:rPr>
        <w:t>2</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24</w:t>
      </w:r>
      <w:r>
        <w:rPr>
          <w:rFonts w:hint="eastAsia" w:ascii="仿宋" w:hAnsi="仿宋" w:eastAsia="仿宋" w:cs="仿宋"/>
          <w:sz w:val="28"/>
          <w:szCs w:val="28"/>
        </w:rPr>
        <w:t>日</w:t>
      </w:r>
    </w:p>
    <w:p>
      <w:pPr>
        <w:rPr>
          <w:rFonts w:hint="eastAsia" w:ascii="仿宋" w:hAnsi="仿宋" w:eastAsia="仿宋" w:cs="仿宋"/>
          <w:sz w:val="28"/>
          <w:szCs w:val="28"/>
        </w:rPr>
      </w:pPr>
    </w:p>
    <w:sectPr>
      <w:headerReference r:id="rId3" w:type="default"/>
      <w:footerReference r:id="rId4" w:type="default"/>
      <w:pgSz w:w="11906" w:h="16838"/>
      <w:pgMar w:top="1701" w:right="1474" w:bottom="1588" w:left="1474" w:header="851" w:footer="11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6</w:t>
    </w:r>
    <w:r>
      <w:rPr>
        <w:lang w:val="zh-CN"/>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6F42E2"/>
    <w:multiLevelType w:val="singleLevel"/>
    <w:tmpl w:val="476F42E2"/>
    <w:lvl w:ilvl="0" w:tentative="0">
      <w:start w:val="2"/>
      <w:numFmt w:val="decimal"/>
      <w:suff w:val="nothing"/>
      <w:lvlText w:val="%1、"/>
      <w:lvlJc w:val="left"/>
      <w:pPr>
        <w:ind w:left="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2OTQ0NjBlN2FiNTg5NGYyZWI0YzIyMDUxZmE0OWYifQ=="/>
  </w:docVars>
  <w:rsids>
    <w:rsidRoot w:val="004C7F7C"/>
    <w:rsid w:val="00005152"/>
    <w:rsid w:val="0000670A"/>
    <w:rsid w:val="000E45AE"/>
    <w:rsid w:val="00235D9F"/>
    <w:rsid w:val="00320026"/>
    <w:rsid w:val="0037596D"/>
    <w:rsid w:val="003A414C"/>
    <w:rsid w:val="00403E9B"/>
    <w:rsid w:val="004B52B4"/>
    <w:rsid w:val="004B55C0"/>
    <w:rsid w:val="004C7F7C"/>
    <w:rsid w:val="00502A58"/>
    <w:rsid w:val="00553CAF"/>
    <w:rsid w:val="00593244"/>
    <w:rsid w:val="005C7567"/>
    <w:rsid w:val="006424F9"/>
    <w:rsid w:val="006E7780"/>
    <w:rsid w:val="007145C5"/>
    <w:rsid w:val="007C4285"/>
    <w:rsid w:val="007D084C"/>
    <w:rsid w:val="007E7770"/>
    <w:rsid w:val="00873E11"/>
    <w:rsid w:val="00B44F74"/>
    <w:rsid w:val="00B51CFA"/>
    <w:rsid w:val="00B92828"/>
    <w:rsid w:val="00CC797A"/>
    <w:rsid w:val="00DB0703"/>
    <w:rsid w:val="00E03DF8"/>
    <w:rsid w:val="00F15931"/>
    <w:rsid w:val="00F92CDA"/>
    <w:rsid w:val="00F94C37"/>
    <w:rsid w:val="037711DC"/>
    <w:rsid w:val="044D16B4"/>
    <w:rsid w:val="04807EFA"/>
    <w:rsid w:val="06CE4F79"/>
    <w:rsid w:val="07DE59AD"/>
    <w:rsid w:val="082840AB"/>
    <w:rsid w:val="09DE67CB"/>
    <w:rsid w:val="0BE570E9"/>
    <w:rsid w:val="0C321859"/>
    <w:rsid w:val="0D440B6B"/>
    <w:rsid w:val="0DFB782B"/>
    <w:rsid w:val="0E316E25"/>
    <w:rsid w:val="0E551962"/>
    <w:rsid w:val="12B624F3"/>
    <w:rsid w:val="12EA6608"/>
    <w:rsid w:val="141D7F95"/>
    <w:rsid w:val="141F289D"/>
    <w:rsid w:val="147654F5"/>
    <w:rsid w:val="1534462C"/>
    <w:rsid w:val="17452977"/>
    <w:rsid w:val="17B33699"/>
    <w:rsid w:val="186C7F22"/>
    <w:rsid w:val="1A821FA8"/>
    <w:rsid w:val="1A8B5E4C"/>
    <w:rsid w:val="1CDE482B"/>
    <w:rsid w:val="1F534F13"/>
    <w:rsid w:val="22B34476"/>
    <w:rsid w:val="28835230"/>
    <w:rsid w:val="28B82CFA"/>
    <w:rsid w:val="2C0C30B4"/>
    <w:rsid w:val="2CEE4858"/>
    <w:rsid w:val="30043AB2"/>
    <w:rsid w:val="31214A67"/>
    <w:rsid w:val="39601A89"/>
    <w:rsid w:val="3D91040D"/>
    <w:rsid w:val="3F3B0886"/>
    <w:rsid w:val="3F4D3794"/>
    <w:rsid w:val="41A940E5"/>
    <w:rsid w:val="428B7759"/>
    <w:rsid w:val="42CF70F8"/>
    <w:rsid w:val="43BA6BC7"/>
    <w:rsid w:val="43EA5B03"/>
    <w:rsid w:val="440010FB"/>
    <w:rsid w:val="4427267F"/>
    <w:rsid w:val="46EE73C1"/>
    <w:rsid w:val="47245003"/>
    <w:rsid w:val="47626C04"/>
    <w:rsid w:val="48C93C0C"/>
    <w:rsid w:val="49254072"/>
    <w:rsid w:val="4B58174C"/>
    <w:rsid w:val="4BF47332"/>
    <w:rsid w:val="4C8258ED"/>
    <w:rsid w:val="4CED1C00"/>
    <w:rsid w:val="4D0F7BCF"/>
    <w:rsid w:val="4DE67F04"/>
    <w:rsid w:val="4F281700"/>
    <w:rsid w:val="5104255E"/>
    <w:rsid w:val="515C3C25"/>
    <w:rsid w:val="52C9302C"/>
    <w:rsid w:val="55614CCD"/>
    <w:rsid w:val="56E37C6B"/>
    <w:rsid w:val="580158C3"/>
    <w:rsid w:val="589143F2"/>
    <w:rsid w:val="5A6A2FAC"/>
    <w:rsid w:val="5C497D12"/>
    <w:rsid w:val="5C8B18BF"/>
    <w:rsid w:val="5D5E7A9A"/>
    <w:rsid w:val="5DBD1A29"/>
    <w:rsid w:val="5E1365F9"/>
    <w:rsid w:val="5F1A15D3"/>
    <w:rsid w:val="65DC5BAF"/>
    <w:rsid w:val="69067F2E"/>
    <w:rsid w:val="6F4C6305"/>
    <w:rsid w:val="71544662"/>
    <w:rsid w:val="71C43C88"/>
    <w:rsid w:val="72182F04"/>
    <w:rsid w:val="72A6380D"/>
    <w:rsid w:val="76EC6E59"/>
    <w:rsid w:val="7822644F"/>
    <w:rsid w:val="78A92661"/>
    <w:rsid w:val="78DE1189"/>
    <w:rsid w:val="795164F9"/>
    <w:rsid w:val="7A132960"/>
    <w:rsid w:val="7AA50BF1"/>
    <w:rsid w:val="7F1F3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脚 Char"/>
    <w:basedOn w:val="5"/>
    <w:link w:val="2"/>
    <w:qFormat/>
    <w:uiPriority w:val="99"/>
    <w:rPr>
      <w:sz w:val="18"/>
      <w:szCs w:val="18"/>
    </w:rPr>
  </w:style>
  <w:style w:type="character" w:customStyle="1" w:styleId="7">
    <w:name w:val="页眉 Char"/>
    <w:basedOn w:val="5"/>
    <w:link w:val="3"/>
    <w:qFormat/>
    <w:uiPriority w:val="0"/>
    <w:rPr>
      <w:sz w:val="18"/>
      <w:szCs w:val="18"/>
    </w:rPr>
  </w:style>
  <w:style w:type="character" w:customStyle="1" w:styleId="8">
    <w:name w:val="页眉 Char1"/>
    <w:basedOn w:val="5"/>
    <w:link w:val="3"/>
    <w:semiHidden/>
    <w:qFormat/>
    <w:uiPriority w:val="99"/>
    <w:rPr>
      <w:rFonts w:ascii="Times New Roman" w:hAnsi="Times New Roman" w:eastAsia="宋体" w:cs="Times New Roman"/>
      <w:sz w:val="18"/>
      <w:szCs w:val="18"/>
    </w:rPr>
  </w:style>
  <w:style w:type="character" w:customStyle="1" w:styleId="9">
    <w:name w:val="页脚 Char1"/>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2763</Words>
  <Characters>2900</Characters>
  <Lines>21</Lines>
  <Paragraphs>6</Paragraphs>
  <TotalTime>370</TotalTime>
  <ScaleCrop>false</ScaleCrop>
  <LinksUpToDate>false</LinksUpToDate>
  <CharactersWithSpaces>2975</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2019-05-07T09:27:00Z</dcterms:created>
  <dc:creator>User</dc:creator>
  <cp:lastModifiedBy>系统管理员 null</cp:lastModifiedBy>
  <cp:lastPrinted>2022-11-29T08:28:00Z</cp:lastPrinted>
  <dcterms:modified xsi:type="dcterms:W3CDTF">2023-11-10T13:22:43Z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y fmtid="{D5CDD505-2E9C-101B-9397-08002B2CF9AE}" pid="3" name="ICV">
    <vt:lpwstr>2302946BCDC0460C926D02A356B9572A</vt:lpwstr>
  </property>
</Properties>
</file>