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黑体" w:hAnsi="黑体" w:eastAsia="黑体"/>
          <w:sz w:val="44"/>
          <w:szCs w:val="44"/>
        </w:rPr>
      </w:pPr>
      <w:r>
        <w:rPr>
          <w:rFonts w:hint="eastAsia" w:ascii="黑体" w:hAnsi="黑体" w:eastAsia="黑体"/>
          <w:sz w:val="44"/>
          <w:szCs w:val="44"/>
        </w:rPr>
        <w:t>2021年县委会整体支出绩效评价报告</w:t>
      </w:r>
    </w:p>
    <w:p>
      <w:pPr>
        <w:spacing w:line="560" w:lineRule="exact"/>
        <w:ind w:firstLine="640" w:firstLineChars="200"/>
        <w:rPr>
          <w:rFonts w:ascii="仿宋_GB2312" w:eastAsia="仿宋_GB2312"/>
          <w:sz w:val="32"/>
          <w:szCs w:val="32"/>
        </w:rPr>
      </w:pPr>
    </w:p>
    <w:p>
      <w:pPr>
        <w:spacing w:line="560" w:lineRule="exact"/>
        <w:ind w:firstLine="640" w:firstLineChars="200"/>
        <w:rPr>
          <w:rFonts w:ascii="仿宋" w:hAnsi="仿宋" w:eastAsia="仿宋"/>
          <w:sz w:val="32"/>
          <w:szCs w:val="32"/>
        </w:rPr>
      </w:pPr>
      <w:r>
        <w:rPr>
          <w:rFonts w:hint="eastAsia" w:ascii="仿宋" w:hAnsi="仿宋" w:eastAsia="仿宋"/>
          <w:sz w:val="32"/>
          <w:szCs w:val="32"/>
        </w:rPr>
        <w:t>为加强财政预算资金管理，进一步规范预算资金使用，提高财政资金使用效益，根据《衡南县财政局关于开展2021年度县级财政资金绩效自评工作的通知》要求，我办对2021年度本单位整体支出进行了绩效自评，现将具体绩效评价情况报告如下：</w:t>
      </w:r>
      <w:r>
        <w:rPr>
          <w:rFonts w:hint="eastAsia" w:eastAsia="仿宋"/>
          <w:sz w:val="32"/>
          <w:szCs w:val="32"/>
        </w:rPr>
        <w:t>   </w:t>
      </w:r>
    </w:p>
    <w:p>
      <w:pPr>
        <w:spacing w:line="560" w:lineRule="exact"/>
        <w:ind w:firstLine="640" w:firstLineChars="200"/>
        <w:rPr>
          <w:rFonts w:ascii="黑体" w:hAnsi="黑体" w:eastAsia="黑体" w:cs="迷你简黑体"/>
          <w:sz w:val="32"/>
          <w:szCs w:val="32"/>
        </w:rPr>
      </w:pPr>
      <w:r>
        <w:rPr>
          <w:rFonts w:hint="eastAsia" w:eastAsia="黑体"/>
          <w:sz w:val="32"/>
          <w:szCs w:val="32"/>
        </w:rPr>
        <w:t> </w:t>
      </w:r>
      <w:r>
        <w:rPr>
          <w:rFonts w:hint="eastAsia" w:ascii="黑体" w:hAnsi="黑体" w:eastAsia="黑体" w:cs="迷你简黑体"/>
          <w:sz w:val="32"/>
          <w:szCs w:val="32"/>
        </w:rPr>
        <w:t>一、基本情况</w:t>
      </w:r>
    </w:p>
    <w:p>
      <w:pPr>
        <w:spacing w:line="560" w:lineRule="exact"/>
        <w:rPr>
          <w:rFonts w:ascii="仿宋" w:hAnsi="仿宋" w:eastAsia="仿宋" w:cs="迷你简黑体"/>
          <w:sz w:val="32"/>
          <w:szCs w:val="32"/>
        </w:rPr>
      </w:pPr>
      <w:r>
        <w:rPr>
          <w:rFonts w:hint="eastAsia" w:ascii="仿宋" w:hAnsi="仿宋" w:eastAsia="仿宋"/>
          <w:sz w:val="32"/>
          <w:szCs w:val="32"/>
        </w:rPr>
        <w:t xml:space="preserve">    衡南县委办为全额财政拨款单位，纳入财政会计集中核算和国库集中支付体系，财务制度执行《预算法》、《行政单位会计制度》。</w:t>
      </w:r>
      <w:r>
        <w:rPr>
          <w:rFonts w:hint="eastAsia" w:ascii="仿宋" w:hAnsi="仿宋" w:eastAsia="仿宋" w:cs="迷你简黑体"/>
          <w:sz w:val="32"/>
          <w:szCs w:val="32"/>
        </w:rPr>
        <w:t xml:space="preserve"> </w:t>
      </w:r>
    </w:p>
    <w:p>
      <w:pPr>
        <w:spacing w:line="560" w:lineRule="exact"/>
        <w:ind w:firstLine="643" w:firstLineChars="200"/>
        <w:rPr>
          <w:rFonts w:ascii="仿宋" w:hAnsi="仿宋" w:eastAsia="仿宋"/>
          <w:b/>
          <w:sz w:val="32"/>
          <w:szCs w:val="32"/>
        </w:rPr>
      </w:pPr>
      <w:r>
        <w:rPr>
          <w:rFonts w:hint="eastAsia" w:ascii="仿宋" w:hAnsi="仿宋" w:eastAsia="仿宋"/>
          <w:b/>
          <w:sz w:val="32"/>
          <w:szCs w:val="32"/>
        </w:rPr>
        <w:t>（一）机构设置情况</w:t>
      </w:r>
    </w:p>
    <w:p>
      <w:pPr>
        <w:spacing w:line="560" w:lineRule="exact"/>
        <w:ind w:firstLine="640" w:firstLineChars="200"/>
        <w:rPr>
          <w:rFonts w:ascii="仿宋" w:hAnsi="仿宋" w:eastAsia="仿宋"/>
          <w:sz w:val="32"/>
          <w:szCs w:val="32"/>
        </w:rPr>
      </w:pPr>
      <w:r>
        <w:rPr>
          <w:rFonts w:hint="eastAsia" w:ascii="仿宋" w:hAnsi="仿宋" w:eastAsia="仿宋" w:cs="仿宋_GB2312"/>
          <w:sz w:val="32"/>
          <w:szCs w:val="32"/>
        </w:rPr>
        <w:t>衡南县委办</w:t>
      </w:r>
      <w:r>
        <w:rPr>
          <w:rFonts w:hint="eastAsia" w:ascii="仿宋" w:hAnsi="仿宋" w:eastAsia="仿宋"/>
          <w:sz w:val="32"/>
          <w:szCs w:val="32"/>
        </w:rPr>
        <w:t>设11个组室机构：为秘</w:t>
      </w:r>
      <w:bookmarkStart w:id="0" w:name="_GoBack"/>
      <w:bookmarkEnd w:id="0"/>
      <w:r>
        <w:rPr>
          <w:rFonts w:hint="eastAsia" w:ascii="仿宋" w:hAnsi="仿宋" w:eastAsia="仿宋"/>
          <w:sz w:val="32"/>
          <w:szCs w:val="32"/>
        </w:rPr>
        <w:t>书组（县委总值班室并入）、常委办、综合信息组、督查室（对外称中共衡南县委督查室）、机要保密和办文法规室（保密办、办文法规室并入）、组织人事组、行政后勤组（财务室并入）、</w:t>
      </w:r>
      <w:r>
        <w:rPr>
          <w:rFonts w:hint="eastAsia" w:ascii="仿宋" w:hAnsi="仿宋" w:eastAsia="仿宋"/>
          <w:spacing w:val="-6"/>
          <w:sz w:val="32"/>
          <w:szCs w:val="32"/>
        </w:rPr>
        <w:t>机关党建指导组、港澳台事务组、外事组、</w:t>
      </w:r>
      <w:r>
        <w:rPr>
          <w:rFonts w:hint="eastAsia" w:ascii="仿宋" w:hAnsi="仿宋" w:eastAsia="仿宋"/>
          <w:sz w:val="32"/>
          <w:szCs w:val="32"/>
        </w:rPr>
        <w:t>档</w:t>
      </w:r>
      <w:r>
        <w:rPr>
          <w:rFonts w:hint="eastAsia" w:ascii="仿宋" w:hAnsi="仿宋" w:eastAsia="仿宋"/>
          <w:spacing w:val="-6"/>
          <w:sz w:val="32"/>
          <w:szCs w:val="32"/>
        </w:rPr>
        <w:t>案行政管理组。</w:t>
      </w:r>
      <w:r>
        <w:rPr>
          <w:rFonts w:hint="eastAsia" w:ascii="仿宋" w:hAnsi="仿宋" w:eastAsia="仿宋" w:cs="仿宋_GB2312"/>
          <w:sz w:val="32"/>
          <w:szCs w:val="32"/>
        </w:rPr>
        <w:t>截止2021年底全部实有人员共计59人，其中在职行政编43人，全额事业编16人，离退休32人。</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衡南县委办下设正科级机构：县委研究中心，股级机构：机关党建事务中心。</w:t>
      </w:r>
    </w:p>
    <w:p>
      <w:pPr>
        <w:spacing w:line="560" w:lineRule="exact"/>
        <w:ind w:firstLine="643" w:firstLineChars="200"/>
        <w:rPr>
          <w:rFonts w:ascii="仿宋" w:hAnsi="仿宋" w:eastAsia="仿宋"/>
          <w:b/>
          <w:sz w:val="32"/>
          <w:szCs w:val="32"/>
        </w:rPr>
      </w:pPr>
      <w:r>
        <w:rPr>
          <w:rFonts w:hint="eastAsia" w:ascii="仿宋" w:hAnsi="仿宋" w:eastAsia="仿宋"/>
          <w:b/>
          <w:sz w:val="32"/>
          <w:szCs w:val="32"/>
        </w:rPr>
        <w:t>（二）主要工作职责</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1.负责县委会议的准备和组织协调工作，统筹协调县委领导同志公务活动，办理县委领导同志交办的事项。</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2.围绕县委工作部署，对涉及全县经济建设、社会发展、党的自身建设等全局性的重大问题进行调查研究，为县委科学决策提出建议、预案和依据。</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3.负责县委文件和县委领导同志文稿的起草、校核、印发工作，负责文书处理工作；负责中央文件和党政军领导机关机要件的传递工作。</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4.负责党内规范性文件的审核、报送、备案、清理，协调县委法律顾问服务相关工作。</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5.研究、审核县委各部门、县直单位、乡镇党委（党组）向县委的请示、报告，提出处理意见报县委领导同志审批。</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6.负责以县委名义向市委请示报告工作的归口和把关，负责统筹、指导、督促全县党组织重大事项报告工作。</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7.负责向中央、省委、市委、县委报送信息，反映有关动态；负责全县办公室系统的业务指导。</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8.负责中央、省委、市委、县委重大方针政策、重要工作部署和领导同志重要批示、批件（含重点交办事项）贯彻落实情况的督促检查工作；组织督办人大代表有关建议、政协委员有关提案；负责县委领导民情调查的服务和全县民情调查工作的组织指导工作。</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9.负责县委及县委各部门、县直单位年度督查检查考核划的归口审核和全县性年度督查检查考核计划的统一报批、监督实施。</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10.承担县绩效评估委员会办公室的日常工作，组织、协调、指导全县绩效评估工作。</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11.负责编制、实施全县外事、港澳工作发展规划;负责重要外宾、重要港澳同胞的来访接待;负责全县涉外涉港澳活动的组织管理、联络协调，涉外涉港澳事件的处理工作;负责县级领导因公组团出访、外事接待相关事项:审核全县因公出国、赴港澳等有关工作。</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12.负责全县对台联络、经贸、交流、重宾接待、宣传教育的组织、指导、协调、检查、督促，审核全县因公赴台事项、负责涉台事件处理等工作。</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13.负责中央、省委省政府、市委市政府等领导同志来衡南县视察期间的政务活动统筹安排与协调。</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14.负责全县档案事业的发展规划、组织协调；负责全县档案工作的监督和指导；负责全县档案法规的宣传教育以及依法查处档案违法行为。</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15.负责县委值班工作，及时向县委领导同志报告重要情况，协助处理县直机关单位和乡镇向县委反映的重要问题。</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16.负责贯彻执行保密工作的方针政策和法律法规，指导、协调党、政、军、人民团体机关、大中专院校及企事业单位的保密工作，负责监督、检查《</w:t>
      </w:r>
      <w:r>
        <w:rPr>
          <w:rFonts w:hint="eastAsia" w:ascii="仿宋" w:hAnsi="仿宋" w:eastAsia="仿宋"/>
          <w:sz w:val="32"/>
          <w:szCs w:val="32"/>
          <w:lang w:eastAsia="zh-CN"/>
        </w:rPr>
        <w:t>中华人民共和国保守国家秘密法</w:t>
      </w:r>
      <w:r>
        <w:rPr>
          <w:rFonts w:hint="eastAsia" w:ascii="仿宋" w:hAnsi="仿宋" w:eastAsia="仿宋"/>
          <w:sz w:val="32"/>
          <w:szCs w:val="32"/>
        </w:rPr>
        <w:t>》及其他</w:t>
      </w:r>
      <w:r>
        <w:rPr>
          <w:rFonts w:hint="eastAsia" w:ascii="仿宋" w:hAnsi="仿宋" w:eastAsia="仿宋"/>
          <w:sz w:val="32"/>
          <w:szCs w:val="32"/>
          <w:lang w:eastAsia="zh-CN"/>
        </w:rPr>
        <w:t>中华人民共和国保守国家秘密法</w:t>
      </w:r>
      <w:r>
        <w:rPr>
          <w:rFonts w:hint="eastAsia" w:ascii="仿宋" w:hAnsi="仿宋" w:eastAsia="仿宋"/>
          <w:sz w:val="32"/>
          <w:szCs w:val="32"/>
        </w:rPr>
        <w:t>律法规、规章制度在全县的贯彻实施、宣传教育、指导协调、监督管理和失泄密案件查处工作；制订全县保密工作年度计划，并负责督促落实；向县委、县政府和上级保密工作部门报告全县保密工作情况，提出改进和加强保密工作的意见建议；依法履行保密行政管理职能；负责组织、指导经常性的保密宣传教育工作；组织全县保密干部业务培训，开展保密工作调查研究；参与制订全县重大活动、重要会议、重要项目的保密工作预案，协同有关部门做好专项保密工作；组织、参与泄密事件的查处工作，督促有关单位对泄露和可能泄露的国家秘密事项采取补教措施；依法开展保密检查，加强对全县党政机关保密要害部门部位的管理；办理县委、县政府交办的保密工作事项，处理县委保密委员会的日常工作。</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17.完成县委和县委领导同志交办的其他任务。</w:t>
      </w:r>
    </w:p>
    <w:p>
      <w:pPr>
        <w:spacing w:line="560" w:lineRule="exact"/>
        <w:rPr>
          <w:rFonts w:ascii="黑体" w:hAnsi="黑体" w:eastAsia="黑体" w:cs="迷你简黑体"/>
          <w:bCs/>
          <w:sz w:val="32"/>
          <w:szCs w:val="32"/>
        </w:rPr>
      </w:pPr>
      <w:r>
        <w:rPr>
          <w:rFonts w:hint="eastAsia" w:ascii="仿宋" w:hAnsi="仿宋" w:eastAsia="仿宋" w:cs="迷你简黑体"/>
          <w:b/>
          <w:bCs/>
          <w:sz w:val="32"/>
          <w:szCs w:val="32"/>
        </w:rPr>
        <w:t xml:space="preserve">  </w:t>
      </w:r>
      <w:r>
        <w:rPr>
          <w:rFonts w:hint="eastAsia" w:ascii="仿宋" w:hAnsi="仿宋" w:eastAsia="仿宋" w:cs="迷你简黑体"/>
          <w:bCs/>
          <w:sz w:val="32"/>
          <w:szCs w:val="32"/>
        </w:rPr>
        <w:t xml:space="preserve">  </w:t>
      </w:r>
      <w:r>
        <w:rPr>
          <w:rFonts w:hint="eastAsia" w:ascii="黑体" w:hAnsi="黑体" w:eastAsia="黑体" w:cs="迷你简黑体"/>
          <w:bCs/>
          <w:sz w:val="32"/>
          <w:szCs w:val="32"/>
        </w:rPr>
        <w:t>二、部门整体支出管理及使用情况</w:t>
      </w:r>
    </w:p>
    <w:p>
      <w:pPr>
        <w:spacing w:line="560" w:lineRule="exact"/>
        <w:ind w:firstLine="643" w:firstLineChars="200"/>
        <w:rPr>
          <w:rFonts w:ascii="仿宋" w:hAnsi="仿宋" w:eastAsia="仿宋"/>
          <w:b/>
          <w:sz w:val="32"/>
          <w:szCs w:val="32"/>
        </w:rPr>
      </w:pPr>
      <w:r>
        <w:rPr>
          <w:rFonts w:hint="eastAsia" w:ascii="仿宋" w:hAnsi="仿宋" w:eastAsia="仿宋"/>
          <w:b/>
          <w:sz w:val="32"/>
          <w:szCs w:val="32"/>
        </w:rPr>
        <w:t>（一）2021年部门预算情况</w:t>
      </w:r>
    </w:p>
    <w:p>
      <w:pPr>
        <w:spacing w:line="560" w:lineRule="exact"/>
        <w:ind w:firstLine="640" w:firstLineChars="200"/>
        <w:rPr>
          <w:rFonts w:ascii="仿宋" w:hAnsi="仿宋" w:eastAsia="仿宋" w:cs="仿宋"/>
          <w:color w:val="333333"/>
          <w:sz w:val="32"/>
          <w:szCs w:val="32"/>
        </w:rPr>
      </w:pPr>
      <w:r>
        <w:rPr>
          <w:rFonts w:hint="eastAsia" w:ascii="仿宋" w:hAnsi="仿宋" w:eastAsia="仿宋" w:cs="仿宋"/>
          <w:color w:val="333333"/>
          <w:sz w:val="32"/>
          <w:szCs w:val="32"/>
        </w:rPr>
        <w:t>经本级部门预算批复，2021年单位预算总收入1216.01万元，其中：经费拨款1216.01万元。</w:t>
      </w:r>
    </w:p>
    <w:p>
      <w:pPr>
        <w:spacing w:line="560" w:lineRule="exact"/>
        <w:ind w:firstLine="640" w:firstLineChars="200"/>
        <w:rPr>
          <w:rFonts w:ascii="仿宋" w:hAnsi="仿宋" w:eastAsia="仿宋" w:cs="仿宋"/>
          <w:color w:val="333333"/>
          <w:sz w:val="32"/>
          <w:szCs w:val="32"/>
        </w:rPr>
      </w:pPr>
      <w:r>
        <w:rPr>
          <w:rFonts w:hint="eastAsia" w:ascii="仿宋" w:hAnsi="仿宋" w:eastAsia="仿宋" w:cs="仿宋"/>
          <w:color w:val="333333"/>
          <w:sz w:val="32"/>
          <w:szCs w:val="32"/>
        </w:rPr>
        <w:t>2021年单位预算总支出1216.01万元，其中：工资福利支出562.03万元，一般商品和服务支出44万元，对个人和家庭的支出20.98万元，项目支出588.4万元。</w:t>
      </w:r>
    </w:p>
    <w:p>
      <w:pPr>
        <w:spacing w:line="560" w:lineRule="exact"/>
        <w:ind w:firstLine="643" w:firstLineChars="200"/>
        <w:rPr>
          <w:rFonts w:ascii="仿宋" w:hAnsi="仿宋" w:eastAsia="仿宋"/>
          <w:b/>
          <w:sz w:val="32"/>
          <w:szCs w:val="32"/>
        </w:rPr>
      </w:pPr>
      <w:r>
        <w:rPr>
          <w:rFonts w:hint="eastAsia" w:ascii="仿宋" w:hAnsi="仿宋" w:eastAsia="仿宋"/>
          <w:b/>
          <w:sz w:val="32"/>
          <w:szCs w:val="32"/>
        </w:rPr>
        <w:t>（二）2021年部门决算情况</w:t>
      </w:r>
    </w:p>
    <w:p>
      <w:pPr>
        <w:spacing w:line="560" w:lineRule="exact"/>
        <w:ind w:firstLine="640" w:firstLineChars="200"/>
        <w:rPr>
          <w:rFonts w:ascii="仿宋" w:hAnsi="仿宋" w:eastAsia="仿宋" w:cs="仿宋"/>
          <w:color w:val="333333"/>
          <w:sz w:val="32"/>
          <w:szCs w:val="32"/>
        </w:rPr>
      </w:pPr>
      <w:r>
        <w:rPr>
          <w:rFonts w:hint="eastAsia" w:ascii="仿宋" w:hAnsi="仿宋" w:eastAsia="仿宋" w:cs="仿宋"/>
          <w:color w:val="333333"/>
          <w:sz w:val="32"/>
          <w:szCs w:val="32"/>
        </w:rPr>
        <w:t>本年总收入2114.7万元，其中：</w:t>
      </w:r>
      <w:r>
        <w:rPr>
          <w:rFonts w:hint="eastAsia" w:ascii="仿宋" w:hAnsi="仿宋" w:eastAsia="仿宋" w:cs="仿宋"/>
          <w:color w:val="333333"/>
          <w:sz w:val="32"/>
          <w:szCs w:val="32"/>
          <w:lang w:eastAsia="zh-CN"/>
        </w:rPr>
        <w:t>财政拨款</w:t>
      </w:r>
      <w:r>
        <w:rPr>
          <w:rFonts w:hint="eastAsia" w:ascii="仿宋" w:hAnsi="仿宋" w:eastAsia="仿宋" w:cs="仿宋"/>
          <w:color w:val="333333"/>
          <w:sz w:val="32"/>
          <w:szCs w:val="32"/>
        </w:rPr>
        <w:t>收入2114.7万元，其他收入0万元。</w:t>
      </w:r>
    </w:p>
    <w:p>
      <w:pPr>
        <w:spacing w:line="560" w:lineRule="exact"/>
        <w:ind w:firstLine="640" w:firstLineChars="200"/>
        <w:rPr>
          <w:rFonts w:ascii="仿宋" w:hAnsi="仿宋" w:eastAsia="仿宋" w:cs="仿宋"/>
          <w:color w:val="333333"/>
          <w:sz w:val="32"/>
          <w:szCs w:val="32"/>
        </w:rPr>
      </w:pPr>
      <w:r>
        <w:rPr>
          <w:rFonts w:hint="eastAsia" w:ascii="仿宋" w:hAnsi="仿宋" w:eastAsia="仿宋" w:cs="仿宋"/>
          <w:color w:val="333333"/>
          <w:sz w:val="32"/>
          <w:szCs w:val="32"/>
        </w:rPr>
        <w:t>本年总支出2114.7万元，其中：工资福利支出732.25万元，占总支出34.62%，日常公用经费支出44万元，占总支出2.08%，项目支出1338.45万元，占总支出63.3%。</w:t>
      </w:r>
    </w:p>
    <w:p>
      <w:pPr>
        <w:spacing w:line="560" w:lineRule="exact"/>
        <w:ind w:firstLine="643" w:firstLineChars="200"/>
        <w:rPr>
          <w:rFonts w:ascii="仿宋" w:hAnsi="仿宋" w:eastAsia="仿宋"/>
          <w:b/>
          <w:sz w:val="32"/>
          <w:szCs w:val="32"/>
        </w:rPr>
      </w:pPr>
      <w:r>
        <w:rPr>
          <w:rFonts w:hint="eastAsia" w:ascii="仿宋" w:hAnsi="仿宋" w:eastAsia="仿宋"/>
          <w:b/>
          <w:sz w:val="32"/>
          <w:szCs w:val="32"/>
        </w:rPr>
        <w:t>（三）2021年支出分类情况</w:t>
      </w:r>
    </w:p>
    <w:p>
      <w:pPr>
        <w:spacing w:line="560" w:lineRule="exact"/>
        <w:ind w:firstLine="643" w:firstLineChars="200"/>
        <w:rPr>
          <w:rFonts w:ascii="仿宋" w:hAnsi="仿宋" w:eastAsia="仿宋"/>
          <w:b/>
          <w:bCs/>
          <w:sz w:val="32"/>
          <w:szCs w:val="32"/>
        </w:rPr>
      </w:pPr>
      <w:r>
        <w:rPr>
          <w:rFonts w:hint="eastAsia" w:ascii="仿宋" w:hAnsi="仿宋" w:eastAsia="仿宋"/>
          <w:b/>
          <w:bCs/>
          <w:sz w:val="32"/>
          <w:szCs w:val="32"/>
        </w:rPr>
        <w:t>1.基本支出情况。</w:t>
      </w:r>
    </w:p>
    <w:p>
      <w:pPr>
        <w:autoSpaceDE w:val="0"/>
        <w:spacing w:line="560" w:lineRule="exact"/>
        <w:ind w:firstLine="640" w:firstLineChars="200"/>
        <w:rPr>
          <w:rFonts w:ascii="仿宋" w:hAnsi="仿宋" w:eastAsia="仿宋"/>
          <w:sz w:val="32"/>
          <w:szCs w:val="32"/>
        </w:rPr>
      </w:pPr>
      <w:r>
        <w:rPr>
          <w:rFonts w:hint="eastAsia" w:ascii="仿宋" w:hAnsi="仿宋" w:eastAsia="仿宋"/>
          <w:sz w:val="32"/>
          <w:szCs w:val="32"/>
        </w:rPr>
        <w:t>我办基本支出范围和主要用途包括：人员经费和日常公用经费。本级基本支出总额776.25万元，其中：工资福利支出703.72万元；对个人和家庭的补助支出28.53万元；商品和服务支出44万元。系保障我办正常运转，完成日常工作任务发生的各项支出，主要用于干部职工工资、津补贴、办公费、差旅费和办公设备购置等日常公用经费的开支。</w:t>
      </w:r>
    </w:p>
    <w:p>
      <w:pPr>
        <w:autoSpaceDE w:val="0"/>
        <w:spacing w:line="560" w:lineRule="exact"/>
        <w:ind w:firstLine="643" w:firstLineChars="200"/>
        <w:rPr>
          <w:rFonts w:ascii="仿宋" w:hAnsi="仿宋" w:eastAsia="仿宋"/>
          <w:b/>
          <w:bCs/>
          <w:sz w:val="32"/>
          <w:szCs w:val="32"/>
        </w:rPr>
      </w:pPr>
      <w:r>
        <w:rPr>
          <w:rFonts w:hint="eastAsia" w:ascii="仿宋" w:hAnsi="仿宋" w:eastAsia="仿宋"/>
          <w:b/>
          <w:bCs/>
          <w:sz w:val="32"/>
          <w:szCs w:val="32"/>
        </w:rPr>
        <w:t>2、专项支出情况</w:t>
      </w:r>
    </w:p>
    <w:p>
      <w:pPr>
        <w:autoSpaceDE w:val="0"/>
        <w:spacing w:line="560" w:lineRule="exact"/>
        <w:ind w:firstLine="640" w:firstLineChars="200"/>
        <w:rPr>
          <w:rFonts w:ascii="仿宋" w:hAnsi="仿宋" w:eastAsia="仿宋"/>
          <w:sz w:val="32"/>
          <w:szCs w:val="32"/>
        </w:rPr>
      </w:pPr>
      <w:r>
        <w:rPr>
          <w:rFonts w:hint="eastAsia" w:ascii="仿宋" w:hAnsi="仿宋" w:eastAsia="仿宋"/>
          <w:sz w:val="32"/>
          <w:szCs w:val="32"/>
        </w:rPr>
        <w:t>2021年初预算为588.4万元，实际拨付为1338.45万元，增加款项为932.02万元，具体用途为：1、增加了市财政局下达的小康社会进步奖励30万元，2.小康项目奖补资金300万元，3.市财政局下达的目标管理绩效考核奖励40万元，4、</w:t>
      </w:r>
      <w:r>
        <w:rPr>
          <w:rFonts w:hint="eastAsia" w:ascii="仿宋" w:hAnsi="仿宋" w:eastAsia="仿宋"/>
          <w:kern w:val="0"/>
          <w:sz w:val="32"/>
        </w:rPr>
        <w:t>办公室电脑、打印机替代工程建设资金114.48万元（秘级），5.电子政务内网二级建设资金166.86万元（分五年完成），6.更换党委视频会议系统相关部件经费18.9万元，7.租赁远程视频会议系统经费67万元，8. 第十三次党代会经费80万元，9. 全县绩效考核创先争优奖励资金经费111万元等。</w:t>
      </w:r>
    </w:p>
    <w:p>
      <w:pPr>
        <w:autoSpaceDE w:val="0"/>
        <w:spacing w:line="560" w:lineRule="exact"/>
        <w:ind w:firstLine="640" w:firstLineChars="200"/>
        <w:rPr>
          <w:rFonts w:ascii="仿宋" w:hAnsi="仿宋" w:eastAsia="仿宋"/>
          <w:sz w:val="32"/>
          <w:szCs w:val="32"/>
        </w:rPr>
      </w:pPr>
      <w:r>
        <w:rPr>
          <w:rFonts w:hint="eastAsia" w:ascii="仿宋" w:hAnsi="仿宋" w:eastAsia="仿宋"/>
          <w:sz w:val="32"/>
          <w:szCs w:val="32"/>
        </w:rPr>
        <w:t>2021年我办的专项商品和服务支出经费主要用于：①机关党建专项经费60万元，用于入党积极分子、支部书记的培训，走访困难党员等工作；②县委经济工作会议专项经费68万元，用于召开县委经济工作会，县委全会等会议；③县委党务工作会议专项经费70万元，用于县委牵头抓总的除经济工作会议以外的其它综合协调重要会议的组织协调工作，承办县委常委会、专题会议的会务组织工作及纪要起草、送签、发放等工作。④改革办专项经费75万元，用于我县全面深化改革重大问题的政策研究、统筹协调；负责深改委的简报编印、资料管理等工作。</w:t>
      </w:r>
    </w:p>
    <w:p>
      <w:pPr>
        <w:autoSpaceDE w:val="0"/>
        <w:spacing w:line="560" w:lineRule="exact"/>
        <w:ind w:firstLine="643" w:firstLineChars="200"/>
        <w:rPr>
          <w:rFonts w:ascii="仿宋" w:hAnsi="仿宋" w:eastAsia="仿宋"/>
          <w:b/>
          <w:sz w:val="32"/>
          <w:szCs w:val="32"/>
        </w:rPr>
      </w:pPr>
      <w:r>
        <w:rPr>
          <w:rFonts w:hint="eastAsia" w:ascii="仿宋" w:hAnsi="仿宋" w:eastAsia="仿宋"/>
          <w:b/>
          <w:sz w:val="32"/>
          <w:szCs w:val="32"/>
        </w:rPr>
        <w:t>（四）“三公”经费情况</w:t>
      </w:r>
    </w:p>
    <w:p>
      <w:pPr>
        <w:spacing w:line="560" w:lineRule="exact"/>
        <w:ind w:firstLine="640" w:firstLineChars="200"/>
        <w:rPr>
          <w:rFonts w:ascii="仿宋" w:hAnsi="仿宋" w:eastAsia="仿宋"/>
          <w:sz w:val="32"/>
          <w:szCs w:val="32"/>
        </w:rPr>
      </w:pPr>
      <w:r>
        <w:rPr>
          <w:rFonts w:hint="eastAsia" w:ascii="仿宋" w:hAnsi="仿宋" w:eastAsia="仿宋" w:cs="仿宋"/>
          <w:sz w:val="32"/>
          <w:szCs w:val="32"/>
        </w:rPr>
        <w:t>2021年，我办“三公”经费均控制在预算范围内，实际支出13.76万元，其中公务接待2.1万元，2021年公务接待费比上年减少1.66万元（主要原因是疫情原因，接待减少。</w:t>
      </w:r>
      <w:r>
        <w:rPr>
          <w:rFonts w:hint="eastAsia" w:ascii="仿宋" w:hAnsi="仿宋" w:eastAsia="仿宋"/>
          <w:sz w:val="32"/>
          <w:szCs w:val="32"/>
        </w:rPr>
        <w:t>其中：因公出国出境费用本年未发生经费支出。</w:t>
      </w:r>
    </w:p>
    <w:p>
      <w:pPr>
        <w:autoSpaceDE w:val="0"/>
        <w:spacing w:line="560" w:lineRule="exact"/>
        <w:ind w:firstLine="640" w:firstLineChars="200"/>
        <w:rPr>
          <w:rFonts w:ascii="黑体" w:hAnsi="黑体" w:eastAsia="黑体" w:cs="仿宋"/>
          <w:color w:val="333333"/>
          <w:kern w:val="0"/>
          <w:sz w:val="32"/>
          <w:szCs w:val="32"/>
        </w:rPr>
      </w:pPr>
      <w:r>
        <w:rPr>
          <w:rFonts w:hint="eastAsia" w:ascii="黑体" w:hAnsi="黑体" w:eastAsia="黑体" w:cs="仿宋"/>
          <w:color w:val="333333"/>
          <w:kern w:val="0"/>
          <w:sz w:val="32"/>
          <w:szCs w:val="32"/>
        </w:rPr>
        <w:t>三、部门专项组织实施情况</w:t>
      </w:r>
    </w:p>
    <w:p>
      <w:pPr>
        <w:autoSpaceDE w:val="0"/>
        <w:spacing w:line="560" w:lineRule="exact"/>
        <w:ind w:firstLine="640" w:firstLineChars="200"/>
        <w:rPr>
          <w:rFonts w:ascii="仿宋" w:hAnsi="仿宋" w:eastAsia="仿宋"/>
          <w:sz w:val="32"/>
          <w:szCs w:val="32"/>
        </w:rPr>
      </w:pPr>
      <w:r>
        <w:rPr>
          <w:rFonts w:hint="eastAsia" w:ascii="仿宋" w:hAnsi="仿宋" w:eastAsia="仿宋"/>
          <w:sz w:val="32"/>
          <w:szCs w:val="32"/>
        </w:rPr>
        <w:t>我办财务管理严格依法依规，做到公开公平公正，在严格执行各项有关法律法规、财经纪律、财务规章制度的同时，根据单位自身情况结合各项规定编制了《衡南县委办内部控制手册》，系统阐述了预（决）算、政府采购、国库集中支付、专项资金等管理办法和操作规程。</w:t>
      </w:r>
    </w:p>
    <w:p>
      <w:pPr>
        <w:spacing w:line="560" w:lineRule="exact"/>
        <w:ind w:firstLine="640" w:firstLineChars="200"/>
        <w:rPr>
          <w:rFonts w:ascii="黑体" w:hAnsi="黑体" w:eastAsia="黑体" w:cs="仿宋"/>
          <w:color w:val="333333"/>
          <w:kern w:val="0"/>
          <w:sz w:val="32"/>
          <w:szCs w:val="32"/>
        </w:rPr>
      </w:pPr>
      <w:r>
        <w:rPr>
          <w:rFonts w:hint="eastAsia" w:ascii="黑体" w:hAnsi="黑体" w:eastAsia="黑体" w:cs="仿宋"/>
          <w:color w:val="333333"/>
          <w:kern w:val="0"/>
          <w:sz w:val="32"/>
          <w:szCs w:val="32"/>
        </w:rPr>
        <w:t>四、部门整体支出绩效指标评价情况</w:t>
      </w:r>
    </w:p>
    <w:p>
      <w:pPr>
        <w:autoSpaceDE w:val="0"/>
        <w:spacing w:line="560" w:lineRule="exact"/>
        <w:ind w:firstLine="640" w:firstLineChars="200"/>
        <w:rPr>
          <w:rFonts w:ascii="仿宋" w:hAnsi="仿宋" w:eastAsia="仿宋"/>
          <w:sz w:val="32"/>
          <w:szCs w:val="32"/>
        </w:rPr>
      </w:pPr>
      <w:r>
        <w:rPr>
          <w:rFonts w:hint="eastAsia" w:ascii="仿宋" w:hAnsi="仿宋" w:eastAsia="仿宋"/>
          <w:sz w:val="32"/>
          <w:szCs w:val="32"/>
        </w:rPr>
        <w:t>2021年，根据我办年初工作规划和重点性工作，围绕县委、县政府中心工作，积极履职，强化管理，较好的完成了年度工作目标。通过加强预算收支的管理，不断建立健全内部管理制度，理顺内部管理流程，部门整体支出管理情况得到了提升。部门整体支出绩效情况如下：</w:t>
      </w:r>
    </w:p>
    <w:p>
      <w:pPr>
        <w:autoSpaceDE w:val="0"/>
        <w:spacing w:line="560" w:lineRule="exact"/>
        <w:ind w:firstLine="640" w:firstLineChars="200"/>
        <w:rPr>
          <w:rFonts w:ascii="仿宋" w:hAnsi="仿宋" w:eastAsia="仿宋"/>
          <w:sz w:val="32"/>
          <w:szCs w:val="32"/>
        </w:rPr>
      </w:pPr>
      <w:r>
        <w:rPr>
          <w:rFonts w:hint="eastAsia" w:ascii="仿宋" w:hAnsi="仿宋" w:eastAsia="仿宋"/>
          <w:sz w:val="32"/>
          <w:szCs w:val="32"/>
        </w:rPr>
        <w:t>1、在职人员控制率：100%。</w:t>
      </w:r>
    </w:p>
    <w:p>
      <w:pPr>
        <w:autoSpaceDE w:val="0"/>
        <w:spacing w:line="560" w:lineRule="exact"/>
        <w:ind w:firstLine="640" w:firstLineChars="200"/>
        <w:rPr>
          <w:rFonts w:ascii="仿宋" w:hAnsi="仿宋" w:eastAsia="仿宋"/>
          <w:sz w:val="32"/>
          <w:szCs w:val="32"/>
        </w:rPr>
      </w:pPr>
      <w:r>
        <w:rPr>
          <w:rFonts w:hint="eastAsia" w:ascii="仿宋" w:hAnsi="仿宋" w:eastAsia="仿宋"/>
          <w:sz w:val="32"/>
          <w:szCs w:val="32"/>
        </w:rPr>
        <w:t>2、“三公经费”控制率：90%。严格控制“三公经费”支出，开源节流。</w:t>
      </w:r>
    </w:p>
    <w:p>
      <w:pPr>
        <w:autoSpaceDE w:val="0"/>
        <w:spacing w:line="560" w:lineRule="exact"/>
        <w:ind w:firstLine="640" w:firstLineChars="200"/>
        <w:rPr>
          <w:rFonts w:ascii="仿宋" w:hAnsi="仿宋" w:eastAsia="仿宋"/>
          <w:sz w:val="32"/>
          <w:szCs w:val="32"/>
        </w:rPr>
      </w:pPr>
      <w:r>
        <w:rPr>
          <w:rFonts w:hint="eastAsia" w:ascii="仿宋" w:hAnsi="仿宋" w:eastAsia="仿宋"/>
          <w:sz w:val="32"/>
          <w:szCs w:val="32"/>
        </w:rPr>
        <w:t>3、预算完成率：93%。</w:t>
      </w:r>
    </w:p>
    <w:p>
      <w:pPr>
        <w:autoSpaceDE w:val="0"/>
        <w:spacing w:line="560" w:lineRule="exact"/>
        <w:ind w:firstLine="640" w:firstLineChars="200"/>
        <w:rPr>
          <w:rFonts w:ascii="仿宋" w:hAnsi="仿宋" w:eastAsia="仿宋"/>
          <w:sz w:val="32"/>
          <w:szCs w:val="32"/>
        </w:rPr>
      </w:pPr>
      <w:r>
        <w:rPr>
          <w:rFonts w:hint="eastAsia" w:ascii="仿宋" w:hAnsi="仿宋" w:eastAsia="仿宋"/>
          <w:sz w:val="32"/>
          <w:szCs w:val="32"/>
        </w:rPr>
        <w:t>4、政府采购执行率：100%。</w:t>
      </w:r>
    </w:p>
    <w:p>
      <w:pPr>
        <w:autoSpaceDE w:val="0"/>
        <w:spacing w:line="560" w:lineRule="exact"/>
        <w:ind w:firstLine="640" w:firstLineChars="200"/>
        <w:rPr>
          <w:rFonts w:ascii="仿宋" w:hAnsi="仿宋" w:eastAsia="仿宋"/>
          <w:sz w:val="32"/>
          <w:szCs w:val="32"/>
        </w:rPr>
      </w:pPr>
      <w:r>
        <w:rPr>
          <w:rFonts w:hint="eastAsia" w:ascii="仿宋" w:hAnsi="仿宋" w:eastAsia="仿宋"/>
          <w:sz w:val="32"/>
          <w:szCs w:val="32"/>
        </w:rPr>
        <w:t>5、在资金管理上，我办制定了一系列的财务管理制度。</w:t>
      </w:r>
    </w:p>
    <w:p>
      <w:pPr>
        <w:autoSpaceDE w:val="0"/>
        <w:spacing w:line="560" w:lineRule="exact"/>
        <w:ind w:firstLine="640" w:firstLineChars="200"/>
        <w:rPr>
          <w:rFonts w:ascii="黑体" w:hAnsi="黑体" w:eastAsia="黑体"/>
          <w:sz w:val="32"/>
          <w:szCs w:val="32"/>
        </w:rPr>
      </w:pPr>
      <w:r>
        <w:rPr>
          <w:rFonts w:hint="eastAsia" w:ascii="黑体" w:hAnsi="黑体" w:eastAsia="黑体"/>
          <w:sz w:val="32"/>
          <w:szCs w:val="32"/>
        </w:rPr>
        <w:t>五、存在的主要问题</w:t>
      </w:r>
    </w:p>
    <w:p>
      <w:pPr>
        <w:autoSpaceDE w:val="0"/>
        <w:spacing w:line="560" w:lineRule="exact"/>
        <w:ind w:firstLine="640" w:firstLineChars="200"/>
        <w:rPr>
          <w:rFonts w:ascii="仿宋" w:hAnsi="仿宋" w:eastAsia="仿宋"/>
          <w:sz w:val="32"/>
          <w:szCs w:val="32"/>
        </w:rPr>
      </w:pPr>
      <w:r>
        <w:rPr>
          <w:rFonts w:hint="eastAsia" w:ascii="仿宋" w:hAnsi="仿宋" w:eastAsia="仿宋"/>
          <w:sz w:val="32"/>
          <w:szCs w:val="32"/>
        </w:rPr>
        <w:t>1.年初预算的编制较为精细，按照费用支出的使用范围和内容，进行了基本支出、项目支出的严格区分，并按照预算的最末级明细进行预算支出管理，专款专用。但对于追加的项目支出、上年结余结转的项目资金，没有进行预算分解，编制明细预算。</w:t>
      </w:r>
    </w:p>
    <w:p>
      <w:pPr>
        <w:autoSpaceDE w:val="0"/>
        <w:spacing w:line="560" w:lineRule="exact"/>
        <w:ind w:firstLine="640" w:firstLineChars="200"/>
        <w:rPr>
          <w:rFonts w:ascii="仿宋" w:hAnsi="仿宋" w:eastAsia="仿宋"/>
          <w:sz w:val="32"/>
          <w:szCs w:val="32"/>
        </w:rPr>
      </w:pPr>
      <w:r>
        <w:rPr>
          <w:rFonts w:hint="eastAsia" w:ascii="仿宋" w:hAnsi="仿宋" w:eastAsia="仿宋"/>
          <w:sz w:val="32"/>
          <w:szCs w:val="32"/>
        </w:rPr>
        <w:t>2、公务卡使用力度还应加强，减少现金支付。</w:t>
      </w:r>
    </w:p>
    <w:p>
      <w:pPr>
        <w:autoSpaceDE w:val="0"/>
        <w:spacing w:line="560" w:lineRule="exact"/>
        <w:ind w:firstLine="640" w:firstLineChars="200"/>
        <w:rPr>
          <w:rFonts w:ascii="黑体" w:hAnsi="黑体" w:eastAsia="黑体"/>
          <w:sz w:val="32"/>
          <w:szCs w:val="32"/>
        </w:rPr>
      </w:pPr>
      <w:r>
        <w:rPr>
          <w:rFonts w:hint="eastAsia" w:ascii="黑体" w:hAnsi="黑体" w:eastAsia="黑体"/>
          <w:sz w:val="32"/>
          <w:szCs w:val="32"/>
        </w:rPr>
        <w:t>六、改进措施和建议</w:t>
      </w:r>
    </w:p>
    <w:p>
      <w:pPr>
        <w:autoSpaceDE w:val="0"/>
        <w:spacing w:line="560" w:lineRule="exact"/>
        <w:ind w:firstLine="640" w:firstLineChars="200"/>
        <w:rPr>
          <w:rFonts w:ascii="仿宋" w:hAnsi="仿宋" w:eastAsia="仿宋"/>
          <w:sz w:val="32"/>
          <w:szCs w:val="32"/>
        </w:rPr>
      </w:pPr>
      <w:r>
        <w:rPr>
          <w:rFonts w:hint="eastAsia" w:ascii="仿宋" w:hAnsi="仿宋" w:eastAsia="仿宋"/>
          <w:sz w:val="32"/>
          <w:szCs w:val="32"/>
        </w:rPr>
        <w:t>一是建议加强政策学习，提高思想认识。组织单位人员认真学习《预算法》等相关法规、制度，提高单位领导对全面预算管理的重视程度，增强财务人员的预算意识，坚持先有预算、后有支出，没有预算不得支出的支出理念。</w:t>
      </w:r>
    </w:p>
    <w:p>
      <w:pPr>
        <w:autoSpaceDE w:val="0"/>
        <w:spacing w:line="560" w:lineRule="exact"/>
        <w:ind w:firstLine="640" w:firstLineChars="200"/>
        <w:rPr>
          <w:rFonts w:ascii="仿宋" w:hAnsi="仿宋" w:eastAsia="仿宋"/>
          <w:sz w:val="32"/>
          <w:szCs w:val="32"/>
        </w:rPr>
      </w:pPr>
      <w:r>
        <w:rPr>
          <w:rFonts w:hint="eastAsia" w:ascii="仿宋" w:hAnsi="仿宋" w:eastAsia="仿宋"/>
          <w:sz w:val="32"/>
          <w:szCs w:val="32"/>
        </w:rPr>
        <w:t>二是建议细化预算指标，提高预算科学性。预算编制前根据年度内单位可预见的工作任务，确定单位年度预算目标，细化预算指标，科学合理编制部门预算，推进预算编制科学化准确化。</w:t>
      </w:r>
    </w:p>
    <w:p>
      <w:pPr>
        <w:autoSpaceDE w:val="0"/>
        <w:spacing w:line="560" w:lineRule="exact"/>
        <w:ind w:firstLine="640" w:firstLineChars="200"/>
        <w:rPr>
          <w:rFonts w:ascii="仿宋" w:hAnsi="仿宋" w:eastAsia="仿宋"/>
          <w:sz w:val="32"/>
          <w:szCs w:val="32"/>
        </w:rPr>
      </w:pPr>
      <w:r>
        <w:rPr>
          <w:rFonts w:hint="eastAsia" w:ascii="仿宋" w:hAnsi="仿宋" w:eastAsia="仿宋"/>
          <w:sz w:val="32"/>
          <w:szCs w:val="32"/>
        </w:rPr>
        <w:t>三是建议进一步加强内部机构的预算管理意识，严格按照预算编制的相关制度和要求，进一步提高预算编制的科学性、合理性、严谨性和可控性，在日常预算管理过程中，进一步加强预算支出的审核、跟踪及预算执行情况分析。</w:t>
      </w:r>
    </w:p>
    <w:p>
      <w:pPr>
        <w:spacing w:line="560" w:lineRule="exact"/>
        <w:ind w:firstLine="640" w:firstLineChars="200"/>
        <w:rPr>
          <w:rFonts w:ascii="仿宋" w:hAnsi="仿宋" w:eastAsia="仿宋"/>
          <w:sz w:val="32"/>
          <w:szCs w:val="32"/>
        </w:rPr>
      </w:pPr>
    </w:p>
    <w:p>
      <w:pPr>
        <w:spacing w:line="560" w:lineRule="exact"/>
        <w:ind w:firstLine="640" w:firstLineChars="200"/>
        <w:rPr>
          <w:rFonts w:ascii="仿宋" w:hAnsi="仿宋" w:eastAsia="仿宋"/>
          <w:sz w:val="32"/>
          <w:szCs w:val="32"/>
        </w:rPr>
      </w:pPr>
    </w:p>
    <w:p>
      <w:pPr>
        <w:spacing w:line="560" w:lineRule="exact"/>
        <w:ind w:right="480" w:firstLine="640" w:firstLineChars="200"/>
        <w:jc w:val="right"/>
        <w:rPr>
          <w:rFonts w:ascii="仿宋" w:hAnsi="仿宋" w:eastAsia="仿宋"/>
          <w:sz w:val="32"/>
          <w:szCs w:val="32"/>
        </w:rPr>
      </w:pPr>
      <w:r>
        <w:rPr>
          <w:rFonts w:hint="eastAsia" w:ascii="仿宋" w:hAnsi="仿宋" w:eastAsia="仿宋"/>
          <w:sz w:val="32"/>
          <w:szCs w:val="32"/>
        </w:rPr>
        <w:t xml:space="preserve">                        衡南县委会</w:t>
      </w:r>
    </w:p>
    <w:p>
      <w:pPr>
        <w:spacing w:line="560" w:lineRule="exact"/>
        <w:ind w:right="320" w:firstLine="640" w:firstLineChars="200"/>
        <w:jc w:val="right"/>
        <w:rPr>
          <w:rFonts w:ascii="仿宋" w:hAnsi="仿宋" w:eastAsia="仿宋"/>
          <w:sz w:val="32"/>
          <w:szCs w:val="32"/>
        </w:rPr>
      </w:pPr>
      <w:r>
        <w:rPr>
          <w:rFonts w:hint="eastAsia" w:ascii="仿宋" w:hAnsi="仿宋" w:eastAsia="仿宋"/>
          <w:sz w:val="32"/>
          <w:szCs w:val="32"/>
        </w:rPr>
        <w:t>2022年4月24日</w:t>
      </w:r>
    </w:p>
    <w:sectPr>
      <w:headerReference r:id="rId3" w:type="default"/>
      <w:footerReference r:id="rId4" w:type="default"/>
      <w:pgSz w:w="11906" w:h="16838"/>
      <w:pgMar w:top="1701" w:right="1474" w:bottom="1588" w:left="1474" w:header="851" w:footer="1191"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迷你简黑体">
    <w:altName w:val="黑体"/>
    <w:panose1 w:val="00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fldChar w:fldCharType="begin"/>
    </w:r>
    <w:r>
      <w:instrText xml:space="preserve"> PAGE   \* MERGEFORMAT </w:instrText>
    </w:r>
    <w:r>
      <w:fldChar w:fldCharType="separate"/>
    </w:r>
    <w:r>
      <w:rPr>
        <w:lang w:val="zh-CN"/>
      </w:rPr>
      <w:t>6</w:t>
    </w:r>
    <w:r>
      <w:rPr>
        <w:lang w:val="zh-CN"/>
      </w:rPr>
      <w:fldChar w:fldCharType="end"/>
    </w:r>
  </w:p>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doNotExpandShiftReturn/>
    <w:adjustLineHeightInTable/>
    <w:useFELayout/>
    <w:compatSetting w:name="compatibilityMode" w:uri="http://schemas.microsoft.com/office/word" w:val="12"/>
  </w:compat>
  <w:rsids>
    <w:rsidRoot w:val="00C17386"/>
    <w:rsid w:val="00072DE5"/>
    <w:rsid w:val="000970D7"/>
    <w:rsid w:val="000A3A77"/>
    <w:rsid w:val="000A74C1"/>
    <w:rsid w:val="000B2878"/>
    <w:rsid w:val="000E2EC4"/>
    <w:rsid w:val="0016611A"/>
    <w:rsid w:val="00173919"/>
    <w:rsid w:val="001915C7"/>
    <w:rsid w:val="00195564"/>
    <w:rsid w:val="001A1424"/>
    <w:rsid w:val="001A545A"/>
    <w:rsid w:val="001C12A5"/>
    <w:rsid w:val="001C269D"/>
    <w:rsid w:val="001F1953"/>
    <w:rsid w:val="001F3C09"/>
    <w:rsid w:val="00241CA4"/>
    <w:rsid w:val="00247BE3"/>
    <w:rsid w:val="00281645"/>
    <w:rsid w:val="002931AE"/>
    <w:rsid w:val="002A3DF1"/>
    <w:rsid w:val="002C6B0D"/>
    <w:rsid w:val="00312926"/>
    <w:rsid w:val="00315C90"/>
    <w:rsid w:val="00323175"/>
    <w:rsid w:val="003C55BF"/>
    <w:rsid w:val="0040110C"/>
    <w:rsid w:val="00412FCC"/>
    <w:rsid w:val="00444032"/>
    <w:rsid w:val="00444ABC"/>
    <w:rsid w:val="00456D39"/>
    <w:rsid w:val="00490877"/>
    <w:rsid w:val="004E03A1"/>
    <w:rsid w:val="00512839"/>
    <w:rsid w:val="0052089D"/>
    <w:rsid w:val="00522E99"/>
    <w:rsid w:val="005A5BCD"/>
    <w:rsid w:val="005C5E18"/>
    <w:rsid w:val="005E39B1"/>
    <w:rsid w:val="00615D11"/>
    <w:rsid w:val="00627ABD"/>
    <w:rsid w:val="0064468A"/>
    <w:rsid w:val="006728BD"/>
    <w:rsid w:val="00673F66"/>
    <w:rsid w:val="006867D3"/>
    <w:rsid w:val="006A57C9"/>
    <w:rsid w:val="006B1F40"/>
    <w:rsid w:val="006D5888"/>
    <w:rsid w:val="006F4E30"/>
    <w:rsid w:val="006F5365"/>
    <w:rsid w:val="007270A5"/>
    <w:rsid w:val="00746E4F"/>
    <w:rsid w:val="007879B2"/>
    <w:rsid w:val="007E4630"/>
    <w:rsid w:val="007F3B61"/>
    <w:rsid w:val="008000D0"/>
    <w:rsid w:val="00804553"/>
    <w:rsid w:val="00826A36"/>
    <w:rsid w:val="008711D1"/>
    <w:rsid w:val="008A647B"/>
    <w:rsid w:val="00905932"/>
    <w:rsid w:val="009067AD"/>
    <w:rsid w:val="00925ADC"/>
    <w:rsid w:val="00946106"/>
    <w:rsid w:val="00953E04"/>
    <w:rsid w:val="00955DB2"/>
    <w:rsid w:val="00A46D21"/>
    <w:rsid w:val="00A56F72"/>
    <w:rsid w:val="00A75DE3"/>
    <w:rsid w:val="00AA2F21"/>
    <w:rsid w:val="00AB1560"/>
    <w:rsid w:val="00AC3556"/>
    <w:rsid w:val="00AC5D20"/>
    <w:rsid w:val="00B1410B"/>
    <w:rsid w:val="00BA194D"/>
    <w:rsid w:val="00BA30E4"/>
    <w:rsid w:val="00BA476F"/>
    <w:rsid w:val="00BA5149"/>
    <w:rsid w:val="00BA76B8"/>
    <w:rsid w:val="00BB11DC"/>
    <w:rsid w:val="00BB41DA"/>
    <w:rsid w:val="00BE1B3E"/>
    <w:rsid w:val="00C040D3"/>
    <w:rsid w:val="00C17386"/>
    <w:rsid w:val="00C76AD5"/>
    <w:rsid w:val="00D000A4"/>
    <w:rsid w:val="00D01ABC"/>
    <w:rsid w:val="00D055C8"/>
    <w:rsid w:val="00D50ECD"/>
    <w:rsid w:val="00DA7DE8"/>
    <w:rsid w:val="00DC4C5C"/>
    <w:rsid w:val="00DE29A7"/>
    <w:rsid w:val="00E01B3F"/>
    <w:rsid w:val="00E074D0"/>
    <w:rsid w:val="00E125D6"/>
    <w:rsid w:val="00E26532"/>
    <w:rsid w:val="00E42621"/>
    <w:rsid w:val="00ED1ED1"/>
    <w:rsid w:val="00ED42EE"/>
    <w:rsid w:val="00EE113D"/>
    <w:rsid w:val="00F66871"/>
    <w:rsid w:val="00F74C27"/>
    <w:rsid w:val="00F8234E"/>
    <w:rsid w:val="00FF0417"/>
    <w:rsid w:val="11C049F7"/>
    <w:rsid w:val="14193016"/>
    <w:rsid w:val="2F87470E"/>
    <w:rsid w:val="415E1341"/>
    <w:rsid w:val="53955AC7"/>
    <w:rsid w:val="5C3D4E37"/>
    <w:rsid w:val="73E91F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9">
    <w:name w:val="Default Paragraph Font"/>
    <w:semiHidden/>
    <w:unhideWhenUsed/>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3">
    <w:name w:val="Balloon Text"/>
    <w:basedOn w:val="1"/>
    <w:semiHidden/>
    <w:uiPriority w:val="0"/>
    <w:rPr>
      <w:sz w:val="18"/>
      <w:szCs w:val="18"/>
    </w:rPr>
  </w:style>
  <w:style w:type="paragraph" w:styleId="4">
    <w:name w:val="footer"/>
    <w:basedOn w:val="1"/>
    <w:link w:val="16"/>
    <w:qFormat/>
    <w:uiPriority w:val="99"/>
    <w:pPr>
      <w:tabs>
        <w:tab w:val="center" w:pos="4153"/>
        <w:tab w:val="right" w:pos="8306"/>
      </w:tabs>
      <w:snapToGrid w:val="0"/>
      <w:jc w:val="left"/>
    </w:pPr>
    <w:rPr>
      <w:sz w:val="18"/>
      <w:szCs w:val="18"/>
    </w:rPr>
  </w:style>
  <w:style w:type="paragraph" w:styleId="5">
    <w:name w:val="header"/>
    <w:basedOn w:val="1"/>
    <w:link w:val="17"/>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uiPriority w:val="0"/>
    <w:pPr>
      <w:widowControl/>
      <w:spacing w:before="100" w:beforeAutospacing="1" w:after="100" w:afterAutospacing="1"/>
      <w:jc w:val="left"/>
    </w:pPr>
    <w:rPr>
      <w:rFonts w:ascii="宋体" w:hAnsi="宋体" w:cs="宋体"/>
      <w:kern w:val="0"/>
      <w:sz w:val="24"/>
    </w:rPr>
  </w:style>
  <w:style w:type="table" w:styleId="8">
    <w:name w:val="Table Grid"/>
    <w:basedOn w:val="7"/>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0">
    <w:name w:val="Strong"/>
    <w:basedOn w:val="9"/>
    <w:qFormat/>
    <w:uiPriority w:val="0"/>
    <w:rPr>
      <w:b/>
      <w:bCs/>
    </w:rPr>
  </w:style>
  <w:style w:type="character" w:styleId="11">
    <w:name w:val="FollowedHyperlink"/>
    <w:basedOn w:val="9"/>
    <w:uiPriority w:val="0"/>
    <w:rPr>
      <w:color w:val="454545"/>
      <w:u w:val="none"/>
    </w:rPr>
  </w:style>
  <w:style w:type="character" w:styleId="12">
    <w:name w:val="Emphasis"/>
    <w:basedOn w:val="9"/>
    <w:qFormat/>
    <w:uiPriority w:val="0"/>
    <w:rPr>
      <w:sz w:val="21"/>
      <w:szCs w:val="21"/>
    </w:rPr>
  </w:style>
  <w:style w:type="character" w:styleId="13">
    <w:name w:val="Hyperlink"/>
    <w:basedOn w:val="9"/>
    <w:uiPriority w:val="0"/>
    <w:rPr>
      <w:color w:val="454545"/>
      <w:u w:val="none"/>
    </w:rPr>
  </w:style>
  <w:style w:type="character" w:styleId="14">
    <w:name w:val="HTML Code"/>
    <w:basedOn w:val="9"/>
    <w:uiPriority w:val="0"/>
    <w:rPr>
      <w:rFonts w:ascii="Courier New" w:hAnsi="Courier New"/>
      <w:sz w:val="21"/>
      <w:szCs w:val="21"/>
      <w:bdr w:val="single" w:color="E3E3E3" w:sz="6" w:space="0"/>
    </w:rPr>
  </w:style>
  <w:style w:type="character" w:styleId="15">
    <w:name w:val="HTML Cite"/>
    <w:basedOn w:val="9"/>
    <w:uiPriority w:val="0"/>
    <w:rPr>
      <w:sz w:val="21"/>
      <w:szCs w:val="21"/>
    </w:rPr>
  </w:style>
  <w:style w:type="character" w:customStyle="1" w:styleId="16">
    <w:name w:val="页脚 Char"/>
    <w:basedOn w:val="9"/>
    <w:link w:val="4"/>
    <w:uiPriority w:val="99"/>
    <w:rPr>
      <w:kern w:val="2"/>
      <w:sz w:val="18"/>
      <w:szCs w:val="18"/>
    </w:rPr>
  </w:style>
  <w:style w:type="character" w:customStyle="1" w:styleId="17">
    <w:name w:val="页眉 Char"/>
    <w:basedOn w:val="9"/>
    <w:link w:val="5"/>
    <w:uiPriority w:val="0"/>
    <w:rPr>
      <w:kern w:val="2"/>
      <w:sz w:val="18"/>
      <w:szCs w:val="18"/>
    </w:rPr>
  </w:style>
  <w:style w:type="character" w:customStyle="1" w:styleId="18">
    <w:name w:val="bsharetext"/>
    <w:basedOn w:val="9"/>
    <w:uiPriority w:val="0"/>
  </w:style>
  <w:style w:type="character" w:customStyle="1" w:styleId="19">
    <w:name w:val="editor_quote_active"/>
    <w:basedOn w:val="9"/>
    <w:uiPriority w:val="0"/>
  </w:style>
  <w:style w:type="character" w:customStyle="1" w:styleId="20">
    <w:name w:val="editor_createlink"/>
    <w:basedOn w:val="9"/>
    <w:uiPriority w:val="0"/>
  </w:style>
  <w:style w:type="character" w:customStyle="1" w:styleId="21">
    <w:name w:val="hover40"/>
    <w:basedOn w:val="9"/>
    <w:uiPriority w:val="0"/>
    <w:rPr>
      <w:shd w:val="clear" w:color="auto" w:fill="E9EDFF"/>
    </w:rPr>
  </w:style>
  <w:style w:type="character" w:customStyle="1" w:styleId="22">
    <w:name w:val="editor_createlink_mousedown"/>
    <w:basedOn w:val="9"/>
    <w:uiPriority w:val="0"/>
  </w:style>
  <w:style w:type="character" w:customStyle="1" w:styleId="23">
    <w:name w:val="editor_quote_disabled"/>
    <w:basedOn w:val="9"/>
    <w:uiPriority w:val="0"/>
  </w:style>
  <w:style w:type="character" w:customStyle="1" w:styleId="24">
    <w:name w:val="editor_quote_mouseover"/>
    <w:basedOn w:val="9"/>
    <w:uiPriority w:val="0"/>
  </w:style>
  <w:style w:type="character" w:customStyle="1" w:styleId="25">
    <w:name w:val="editor_createlink_mouseover"/>
    <w:basedOn w:val="9"/>
    <w:uiPriority w:val="0"/>
  </w:style>
  <w:style w:type="character" w:customStyle="1" w:styleId="26">
    <w:name w:val="editor_createlink_disabled"/>
    <w:basedOn w:val="9"/>
    <w:uiPriority w:val="0"/>
  </w:style>
  <w:style w:type="character" w:customStyle="1" w:styleId="27">
    <w:name w:val="editor_createlink_active"/>
    <w:basedOn w:val="9"/>
    <w:uiPriority w:val="0"/>
  </w:style>
  <w:style w:type="character" w:customStyle="1" w:styleId="28">
    <w:name w:val="editor_quote_mousedown"/>
    <w:basedOn w:val="9"/>
    <w:uiPriority w:val="0"/>
  </w:style>
  <w:style w:type="character" w:customStyle="1" w:styleId="29">
    <w:name w:val="editor_quote"/>
    <w:basedOn w:val="9"/>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7</Pages>
  <Words>565</Words>
  <Characters>3222</Characters>
  <Lines>26</Lines>
  <Paragraphs>7</Paragraphs>
  <TotalTime>177</TotalTime>
  <ScaleCrop>false</ScaleCrop>
  <LinksUpToDate>false</LinksUpToDate>
  <CharactersWithSpaces>3780</CharactersWithSpaces>
  <Application>WPS Office_11.3.0.8775_F1E327BC-269C-435d-A152-05C5408002CA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2022-04-24T02:30:00Z</dcterms:created>
  <dc:creator>Administrator</dc:creator>
  <cp:lastModifiedBy>茜茜</cp:lastModifiedBy>
  <cp:lastPrinted>2020-06-24T02:05:00Z</cp:lastPrinted>
  <dcterms:modified xsi:type="dcterms:W3CDTF">2024-01-11T01:35:12Z</dcterms:modified>
  <dc:title>衡南县人民检察院</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2052-11.3.0.8775</vt:lpwstr>
  </property>
</Properties>
</file>