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rFonts w:hint="eastAsia" w:ascii="宋体" w:hAnsi="宋体" w:eastAsia="宋体" w:cs="宋体"/>
          <w:b/>
          <w:color w:val="auto"/>
          <w:spacing w:val="-4"/>
          <w:kern w:val="2"/>
          <w:sz w:val="52"/>
          <w:szCs w:val="52"/>
        </w:rPr>
      </w:pPr>
    </w:p>
    <w:p>
      <w:pPr>
        <w:pStyle w:val="9"/>
        <w:jc w:val="center"/>
        <w:rPr>
          <w:rFonts w:hint="eastAsia" w:ascii="宋体" w:hAnsi="宋体" w:eastAsia="宋体" w:cs="宋体"/>
          <w:b/>
          <w:color w:val="auto"/>
          <w:spacing w:val="-4"/>
          <w:kern w:val="2"/>
          <w:sz w:val="52"/>
          <w:szCs w:val="52"/>
        </w:rPr>
      </w:pPr>
    </w:p>
    <w:p>
      <w:pPr>
        <w:pStyle w:val="9"/>
        <w:jc w:val="center"/>
        <w:rPr>
          <w:rFonts w:hint="eastAsia" w:ascii="宋体" w:hAnsi="宋体" w:eastAsia="宋体" w:cs="宋体"/>
          <w:b/>
          <w:color w:val="auto"/>
          <w:spacing w:val="-4"/>
          <w:kern w:val="2"/>
          <w:sz w:val="52"/>
          <w:szCs w:val="52"/>
        </w:rPr>
      </w:pPr>
    </w:p>
    <w:p>
      <w:pPr>
        <w:pStyle w:val="9"/>
        <w:jc w:val="center"/>
        <w:rPr>
          <w:rFonts w:ascii="宋体" w:hAnsi="宋体" w:eastAsia="宋体" w:cs="宋体"/>
          <w:b/>
          <w:color w:val="auto"/>
          <w:spacing w:val="-4"/>
          <w:kern w:val="2"/>
          <w:sz w:val="52"/>
          <w:szCs w:val="52"/>
        </w:rPr>
      </w:pPr>
      <w:r>
        <w:rPr>
          <w:rFonts w:hint="eastAsia" w:ascii="宋体" w:hAnsi="宋体" w:eastAsia="宋体" w:cs="宋体"/>
          <w:b/>
          <w:color w:val="auto"/>
          <w:spacing w:val="-4"/>
          <w:kern w:val="2"/>
          <w:sz w:val="52"/>
          <w:szCs w:val="52"/>
        </w:rPr>
        <w:t>2019年度衡南县司法局部门决算</w:t>
      </w:r>
    </w:p>
    <w:p>
      <w:pPr>
        <w:pStyle w:val="9"/>
        <w:jc w:val="center"/>
        <w:rPr>
          <w:rFonts w:ascii="宋体" w:hAnsi="宋体" w:eastAsia="宋体" w:cs="宋体"/>
          <w:b/>
          <w:color w:val="auto"/>
          <w:spacing w:val="-4"/>
          <w:kern w:val="2"/>
          <w:sz w:val="52"/>
          <w:szCs w:val="52"/>
        </w:rPr>
      </w:pPr>
    </w:p>
    <w:p>
      <w:pPr>
        <w:pStyle w:val="9"/>
        <w:jc w:val="center"/>
        <w:rPr>
          <w:rFonts w:ascii="宋体" w:hAnsi="宋体" w:eastAsia="宋体" w:cs="宋体"/>
          <w:b/>
          <w:color w:val="auto"/>
          <w:spacing w:val="-4"/>
          <w:kern w:val="2"/>
          <w:sz w:val="52"/>
          <w:szCs w:val="52"/>
        </w:rPr>
      </w:pPr>
    </w:p>
    <w:p>
      <w:pPr>
        <w:pStyle w:val="9"/>
        <w:jc w:val="center"/>
        <w:rPr>
          <w:rFonts w:ascii="宋体" w:hAnsi="宋体" w:eastAsia="宋体" w:cs="宋体"/>
          <w:b/>
          <w:color w:val="auto"/>
          <w:spacing w:val="-4"/>
          <w:kern w:val="2"/>
          <w:sz w:val="52"/>
          <w:szCs w:val="52"/>
        </w:rPr>
      </w:pPr>
    </w:p>
    <w:p>
      <w:pPr>
        <w:pStyle w:val="9"/>
        <w:jc w:val="center"/>
        <w:rPr>
          <w:rFonts w:ascii="宋体" w:hAnsi="宋体" w:eastAsia="宋体" w:cs="宋体"/>
          <w:b/>
          <w:color w:val="auto"/>
          <w:spacing w:val="-4"/>
          <w:kern w:val="2"/>
          <w:sz w:val="52"/>
          <w:szCs w:val="52"/>
        </w:rPr>
      </w:pPr>
    </w:p>
    <w:p>
      <w:pPr>
        <w:pStyle w:val="9"/>
        <w:jc w:val="center"/>
        <w:rPr>
          <w:rFonts w:ascii="宋体" w:hAnsi="宋体" w:eastAsia="宋体" w:cs="宋体"/>
          <w:b/>
          <w:color w:val="auto"/>
          <w:spacing w:val="-4"/>
          <w:kern w:val="2"/>
          <w:sz w:val="52"/>
          <w:szCs w:val="52"/>
        </w:rPr>
      </w:pPr>
    </w:p>
    <w:p>
      <w:pPr>
        <w:pStyle w:val="9"/>
        <w:jc w:val="center"/>
        <w:rPr>
          <w:rFonts w:ascii="宋体" w:hAnsi="宋体" w:eastAsia="宋体" w:cs="宋体"/>
          <w:b/>
          <w:color w:val="auto"/>
          <w:spacing w:val="-4"/>
          <w:kern w:val="2"/>
          <w:sz w:val="52"/>
          <w:szCs w:val="52"/>
        </w:rPr>
      </w:pPr>
    </w:p>
    <w:p>
      <w:pPr>
        <w:pStyle w:val="9"/>
        <w:jc w:val="center"/>
        <w:rPr>
          <w:rFonts w:ascii="宋体" w:hAnsi="宋体" w:eastAsia="宋体" w:cs="宋体"/>
          <w:b/>
          <w:color w:val="auto"/>
          <w:spacing w:val="-4"/>
          <w:kern w:val="2"/>
          <w:sz w:val="52"/>
          <w:szCs w:val="52"/>
        </w:rPr>
      </w:pPr>
    </w:p>
    <w:p>
      <w:pPr>
        <w:pStyle w:val="9"/>
        <w:jc w:val="center"/>
        <w:rPr>
          <w:rFonts w:ascii="宋体" w:hAnsi="宋体" w:eastAsia="宋体" w:cs="宋体"/>
          <w:b/>
          <w:color w:val="auto"/>
          <w:spacing w:val="-4"/>
          <w:kern w:val="2"/>
          <w:sz w:val="52"/>
          <w:szCs w:val="52"/>
        </w:rPr>
      </w:pPr>
    </w:p>
    <w:p>
      <w:pPr>
        <w:pStyle w:val="9"/>
        <w:jc w:val="center"/>
        <w:rPr>
          <w:rFonts w:ascii="宋体" w:hAnsi="宋体" w:eastAsia="宋体" w:cs="宋体"/>
          <w:b/>
          <w:color w:val="auto"/>
          <w:spacing w:val="-4"/>
          <w:kern w:val="2"/>
          <w:sz w:val="52"/>
          <w:szCs w:val="52"/>
        </w:rPr>
      </w:pPr>
    </w:p>
    <w:p>
      <w:pPr>
        <w:pStyle w:val="9"/>
        <w:jc w:val="center"/>
        <w:rPr>
          <w:rFonts w:ascii="宋体" w:hAnsi="宋体" w:eastAsia="宋体" w:cs="宋体"/>
          <w:b/>
          <w:color w:val="auto"/>
          <w:spacing w:val="-4"/>
          <w:kern w:val="2"/>
          <w:sz w:val="52"/>
          <w:szCs w:val="52"/>
        </w:rPr>
      </w:pPr>
    </w:p>
    <w:p>
      <w:pPr>
        <w:pStyle w:val="9"/>
        <w:jc w:val="center"/>
        <w:rPr>
          <w:rFonts w:ascii="宋体" w:hAnsi="宋体" w:eastAsia="宋体" w:cs="宋体"/>
          <w:b/>
          <w:color w:val="auto"/>
          <w:spacing w:val="-4"/>
          <w:kern w:val="2"/>
          <w:sz w:val="52"/>
          <w:szCs w:val="52"/>
        </w:rPr>
      </w:pPr>
    </w:p>
    <w:p>
      <w:pPr>
        <w:spacing w:line="716" w:lineRule="exact"/>
        <w:ind w:left="1113" w:right="1393"/>
        <w:jc w:val="center"/>
        <w:rPr>
          <w:rFonts w:ascii="黑体" w:eastAsia="黑体"/>
          <w:sz w:val="56"/>
        </w:rPr>
      </w:pPr>
      <w:r>
        <w:rPr>
          <w:rFonts w:hint="eastAsia" w:ascii="黑体" w:eastAsia="黑体"/>
          <w:sz w:val="56"/>
        </w:rPr>
        <w:t>目录</w:t>
      </w:r>
    </w:p>
    <w:p>
      <w:pPr>
        <w:spacing w:line="360" w:lineRule="auto"/>
        <w:ind w:right="1395"/>
        <w:rPr>
          <w:rFonts w:asciiTheme="minorEastAsia" w:hAnsiTheme="minorEastAsia" w:eastAsiaTheme="minorEastAsia"/>
          <w:b/>
          <w:sz w:val="28"/>
          <w:szCs w:val="28"/>
        </w:rPr>
      </w:pPr>
      <w:r>
        <w:rPr>
          <w:rFonts w:hint="eastAsia" w:asciiTheme="minorEastAsia" w:hAnsiTheme="minorEastAsia" w:eastAsiaTheme="minorEastAsia"/>
          <w:b/>
          <w:sz w:val="28"/>
          <w:szCs w:val="28"/>
        </w:rPr>
        <w:t>第一部分 司法局单位概况</w:t>
      </w:r>
    </w:p>
    <w:p>
      <w:pPr>
        <w:spacing w:line="360" w:lineRule="auto"/>
        <w:ind w:right="1395"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一、部门职责</w:t>
      </w:r>
    </w:p>
    <w:p>
      <w:pPr>
        <w:spacing w:line="360" w:lineRule="auto"/>
        <w:ind w:right="1395"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二、机构设置及决算单位构成情况</w:t>
      </w:r>
    </w:p>
    <w:p>
      <w:pPr>
        <w:spacing w:line="360" w:lineRule="auto"/>
        <w:ind w:right="1395"/>
        <w:rPr>
          <w:rFonts w:asciiTheme="minorEastAsia" w:hAnsiTheme="minorEastAsia" w:eastAsiaTheme="minorEastAsia"/>
          <w:b/>
          <w:sz w:val="28"/>
          <w:szCs w:val="28"/>
        </w:rPr>
      </w:pPr>
      <w:r>
        <w:rPr>
          <w:rFonts w:hint="eastAsia" w:asciiTheme="minorEastAsia" w:hAnsiTheme="minorEastAsia" w:eastAsiaTheme="minorEastAsia"/>
          <w:b/>
          <w:sz w:val="28"/>
          <w:szCs w:val="28"/>
        </w:rPr>
        <w:t>第二部分2019年度部门决算表</w:t>
      </w:r>
    </w:p>
    <w:p>
      <w:pPr>
        <w:spacing w:line="360" w:lineRule="auto"/>
        <w:ind w:right="1395"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一、收入支出决算总表</w:t>
      </w:r>
    </w:p>
    <w:p>
      <w:pPr>
        <w:tabs>
          <w:tab w:val="left" w:pos="2505"/>
        </w:tabs>
        <w:spacing w:line="360" w:lineRule="auto"/>
        <w:ind w:right="1395"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二、收入决算表</w:t>
      </w:r>
      <w:r>
        <w:rPr>
          <w:rFonts w:asciiTheme="minorEastAsia" w:hAnsiTheme="minorEastAsia" w:eastAsiaTheme="minorEastAsia"/>
          <w:sz w:val="28"/>
          <w:szCs w:val="28"/>
        </w:rPr>
        <w:tab/>
      </w:r>
    </w:p>
    <w:p>
      <w:pPr>
        <w:spacing w:line="360" w:lineRule="auto"/>
        <w:ind w:right="1395"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三、支出决算表</w:t>
      </w:r>
    </w:p>
    <w:p>
      <w:pPr>
        <w:spacing w:line="360" w:lineRule="auto"/>
        <w:ind w:right="1395"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四、财政拨款收入支出决算总表</w:t>
      </w:r>
    </w:p>
    <w:p>
      <w:pPr>
        <w:spacing w:line="360" w:lineRule="auto"/>
        <w:ind w:right="1395"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五、一般公共预算财政拨款支出决算表</w:t>
      </w:r>
    </w:p>
    <w:p>
      <w:pPr>
        <w:spacing w:line="360" w:lineRule="auto"/>
        <w:ind w:right="1395"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六、一般公共预算财政拨款基本支出决算表</w:t>
      </w:r>
    </w:p>
    <w:p>
      <w:pPr>
        <w:spacing w:line="360" w:lineRule="auto"/>
        <w:ind w:right="1395"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七、一般公共预算财政拨款“三公”经费支出决算表</w:t>
      </w:r>
    </w:p>
    <w:p>
      <w:pPr>
        <w:spacing w:line="360" w:lineRule="auto"/>
        <w:ind w:right="1395"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八、政府性基金预算财政拨款收入支出决算表</w:t>
      </w:r>
    </w:p>
    <w:p>
      <w:pPr>
        <w:spacing w:line="360" w:lineRule="auto"/>
        <w:ind w:right="1395"/>
        <w:rPr>
          <w:rFonts w:asciiTheme="minorEastAsia" w:hAnsiTheme="minorEastAsia" w:eastAsiaTheme="minorEastAsia"/>
          <w:b/>
          <w:sz w:val="28"/>
          <w:szCs w:val="28"/>
        </w:rPr>
      </w:pPr>
      <w:r>
        <w:rPr>
          <w:rFonts w:hint="eastAsia" w:asciiTheme="minorEastAsia" w:hAnsiTheme="minorEastAsia" w:eastAsiaTheme="minorEastAsia"/>
          <w:b/>
          <w:sz w:val="28"/>
          <w:szCs w:val="28"/>
        </w:rPr>
        <w:t>第三部分2019年度部门决算情况说明</w:t>
      </w:r>
    </w:p>
    <w:p>
      <w:pPr>
        <w:spacing w:line="360" w:lineRule="auto"/>
        <w:ind w:right="1395"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一、收入支出决算总体情况说明</w:t>
      </w:r>
    </w:p>
    <w:p>
      <w:pPr>
        <w:spacing w:line="360" w:lineRule="auto"/>
        <w:ind w:right="1395"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二、收入决算情况说明</w:t>
      </w:r>
    </w:p>
    <w:p>
      <w:pPr>
        <w:spacing w:line="360" w:lineRule="auto"/>
        <w:ind w:right="1395"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三、支出决算情况说明</w:t>
      </w:r>
    </w:p>
    <w:p>
      <w:pPr>
        <w:spacing w:line="360" w:lineRule="auto"/>
        <w:ind w:right="1395"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四、财政拨款收入支出决算总体情况说明</w:t>
      </w:r>
    </w:p>
    <w:p>
      <w:pPr>
        <w:spacing w:line="360" w:lineRule="auto"/>
        <w:ind w:right="1395"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五、一般公共预算财政拨款支出决算情况说明</w:t>
      </w:r>
    </w:p>
    <w:p>
      <w:pPr>
        <w:spacing w:line="360" w:lineRule="auto"/>
        <w:ind w:right="1395"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六、一般公共预算财政拨款基本支出决算情况说明</w:t>
      </w:r>
    </w:p>
    <w:p>
      <w:pPr>
        <w:spacing w:line="360" w:lineRule="auto"/>
        <w:ind w:right="1395"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七、一般公共预算财政拨款三公经费支出决算情况说明</w:t>
      </w:r>
    </w:p>
    <w:p>
      <w:pPr>
        <w:spacing w:line="360" w:lineRule="auto"/>
        <w:ind w:right="1395"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八、政府性基金预算收入支出决算情况</w:t>
      </w:r>
    </w:p>
    <w:p>
      <w:pPr>
        <w:spacing w:line="360" w:lineRule="auto"/>
        <w:ind w:right="1395"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九、预算绩效情况说明</w:t>
      </w:r>
    </w:p>
    <w:p>
      <w:pPr>
        <w:spacing w:line="360" w:lineRule="auto"/>
        <w:ind w:right="1395"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十、其他重要事项情况说明</w:t>
      </w:r>
    </w:p>
    <w:p>
      <w:pPr>
        <w:spacing w:line="360" w:lineRule="auto"/>
        <w:ind w:right="1395"/>
        <w:rPr>
          <w:rFonts w:asciiTheme="minorEastAsia" w:hAnsiTheme="minorEastAsia" w:eastAsiaTheme="minorEastAsia"/>
          <w:b/>
          <w:sz w:val="28"/>
          <w:szCs w:val="28"/>
        </w:rPr>
      </w:pPr>
      <w:r>
        <w:rPr>
          <w:rFonts w:hint="eastAsia" w:asciiTheme="minorEastAsia" w:hAnsiTheme="minorEastAsia" w:eastAsiaTheme="minorEastAsia"/>
          <w:b/>
          <w:sz w:val="28"/>
          <w:szCs w:val="28"/>
        </w:rPr>
        <w:t>第四部分名词解释</w:t>
      </w:r>
    </w:p>
    <w:p>
      <w:pPr>
        <w:spacing w:line="360" w:lineRule="auto"/>
        <w:ind w:right="1395"/>
        <w:rPr>
          <w:rFonts w:asciiTheme="minorEastAsia" w:hAnsiTheme="minorEastAsia" w:eastAsiaTheme="minorEastAsia"/>
          <w:b/>
          <w:sz w:val="28"/>
          <w:szCs w:val="28"/>
        </w:rPr>
      </w:pPr>
      <w:r>
        <w:rPr>
          <w:rFonts w:hint="eastAsia" w:asciiTheme="minorEastAsia" w:hAnsiTheme="minorEastAsia" w:eastAsiaTheme="minorEastAsia"/>
          <w:b/>
          <w:sz w:val="28"/>
          <w:szCs w:val="28"/>
        </w:rPr>
        <w:t>第五部分附件</w:t>
      </w:r>
    </w:p>
    <w:p>
      <w:pPr>
        <w:spacing w:line="716" w:lineRule="exact"/>
        <w:ind w:right="1395"/>
        <w:rPr>
          <w:rFonts w:ascii="黑体" w:eastAsia="黑体"/>
          <w:sz w:val="56"/>
        </w:rPr>
      </w:pPr>
    </w:p>
    <w:p>
      <w:pPr>
        <w:spacing w:line="716" w:lineRule="exact"/>
        <w:ind w:left="1113" w:right="1393"/>
        <w:jc w:val="center"/>
        <w:rPr>
          <w:rFonts w:ascii="黑体" w:eastAsia="黑体"/>
          <w:sz w:val="56"/>
        </w:rPr>
      </w:pPr>
    </w:p>
    <w:p>
      <w:pPr>
        <w:spacing w:line="716" w:lineRule="exact"/>
        <w:ind w:left="1113" w:right="1393"/>
        <w:jc w:val="center"/>
        <w:rPr>
          <w:rFonts w:ascii="黑体" w:eastAsia="黑体"/>
          <w:sz w:val="56"/>
        </w:rPr>
      </w:pPr>
    </w:p>
    <w:p>
      <w:pPr>
        <w:spacing w:line="716" w:lineRule="exact"/>
        <w:ind w:left="1113" w:right="1393"/>
        <w:jc w:val="center"/>
        <w:rPr>
          <w:rFonts w:ascii="黑体" w:eastAsia="黑体"/>
          <w:sz w:val="56"/>
        </w:rPr>
      </w:pPr>
    </w:p>
    <w:p>
      <w:pPr>
        <w:spacing w:line="716" w:lineRule="exact"/>
        <w:ind w:left="1113" w:right="1393"/>
        <w:jc w:val="center"/>
        <w:rPr>
          <w:rFonts w:ascii="黑体" w:eastAsia="黑体"/>
          <w:sz w:val="56"/>
        </w:rPr>
      </w:pPr>
    </w:p>
    <w:p>
      <w:pPr>
        <w:spacing w:line="716" w:lineRule="exact"/>
        <w:ind w:left="1113" w:right="1393"/>
        <w:jc w:val="center"/>
        <w:rPr>
          <w:rFonts w:ascii="黑体" w:eastAsia="黑体"/>
          <w:sz w:val="56"/>
        </w:rPr>
      </w:pPr>
    </w:p>
    <w:p>
      <w:pPr>
        <w:spacing w:line="716" w:lineRule="exact"/>
        <w:ind w:left="1113" w:right="1393"/>
        <w:jc w:val="center"/>
        <w:rPr>
          <w:rFonts w:ascii="黑体" w:eastAsia="黑体"/>
          <w:sz w:val="56"/>
        </w:rPr>
      </w:pPr>
    </w:p>
    <w:p>
      <w:pPr>
        <w:spacing w:line="716" w:lineRule="exact"/>
        <w:ind w:left="1113" w:right="1393"/>
        <w:jc w:val="center"/>
        <w:rPr>
          <w:rFonts w:ascii="黑体" w:eastAsia="黑体"/>
          <w:sz w:val="56"/>
        </w:rPr>
      </w:pPr>
    </w:p>
    <w:p>
      <w:pPr>
        <w:spacing w:line="716" w:lineRule="exact"/>
        <w:ind w:left="1113" w:right="1393"/>
        <w:jc w:val="center"/>
        <w:rPr>
          <w:rFonts w:ascii="黑体" w:eastAsia="黑体"/>
          <w:sz w:val="56"/>
        </w:rPr>
      </w:pPr>
    </w:p>
    <w:p>
      <w:pPr>
        <w:spacing w:line="716" w:lineRule="exact"/>
        <w:ind w:left="1113" w:right="1393"/>
        <w:jc w:val="center"/>
        <w:rPr>
          <w:rFonts w:ascii="黑体" w:eastAsia="黑体"/>
          <w:sz w:val="56"/>
        </w:rPr>
      </w:pPr>
    </w:p>
    <w:p>
      <w:pPr>
        <w:spacing w:line="716" w:lineRule="exact"/>
        <w:ind w:left="1113" w:right="1393"/>
        <w:jc w:val="center"/>
        <w:rPr>
          <w:rFonts w:ascii="黑体" w:eastAsia="黑体"/>
          <w:sz w:val="56"/>
        </w:rPr>
      </w:pPr>
    </w:p>
    <w:p>
      <w:pPr>
        <w:spacing w:line="716" w:lineRule="exact"/>
        <w:ind w:left="1113" w:right="1393"/>
        <w:jc w:val="center"/>
        <w:rPr>
          <w:rFonts w:ascii="黑体" w:eastAsia="黑体"/>
          <w:sz w:val="56"/>
        </w:rPr>
      </w:pPr>
    </w:p>
    <w:p>
      <w:pPr>
        <w:spacing w:line="716" w:lineRule="exact"/>
        <w:ind w:left="1113" w:right="1393"/>
        <w:jc w:val="center"/>
        <w:rPr>
          <w:rFonts w:ascii="黑体" w:eastAsia="黑体"/>
          <w:sz w:val="56"/>
        </w:rPr>
      </w:pPr>
    </w:p>
    <w:p>
      <w:pPr>
        <w:spacing w:line="716" w:lineRule="exact"/>
        <w:ind w:left="1113" w:right="1393"/>
        <w:jc w:val="center"/>
        <w:rPr>
          <w:rFonts w:ascii="黑体" w:eastAsia="黑体"/>
          <w:sz w:val="56"/>
        </w:rPr>
      </w:pPr>
    </w:p>
    <w:p>
      <w:pPr>
        <w:pStyle w:val="9"/>
        <w:rPr>
          <w:rFonts w:ascii="宋体" w:hAnsi="宋体" w:eastAsia="宋体" w:cs="宋体"/>
          <w:color w:val="auto"/>
          <w:spacing w:val="-4"/>
          <w:kern w:val="2"/>
          <w:sz w:val="28"/>
          <w:szCs w:val="28"/>
        </w:rPr>
      </w:pPr>
    </w:p>
    <w:p>
      <w:pPr>
        <w:pStyle w:val="9"/>
        <w:numPr>
          <w:ilvl w:val="0"/>
          <w:numId w:val="1"/>
        </w:numPr>
        <w:spacing w:line="520" w:lineRule="exact"/>
        <w:rPr>
          <w:b/>
          <w:sz w:val="28"/>
          <w:szCs w:val="28"/>
        </w:rPr>
      </w:pPr>
      <w:r>
        <w:rPr>
          <w:rFonts w:hint="eastAsia"/>
          <w:b/>
          <w:sz w:val="28"/>
          <w:szCs w:val="28"/>
        </w:rPr>
        <w:t>单位部门职责与机构设置</w:t>
      </w:r>
    </w:p>
    <w:p>
      <w:pPr>
        <w:pStyle w:val="9"/>
        <w:spacing w:line="520" w:lineRule="exact"/>
        <w:ind w:left="703"/>
        <w:rPr>
          <w:rFonts w:cs="仿宋_GB2312" w:asciiTheme="minorEastAsia" w:hAnsiTheme="minorEastAsia" w:eastAsiaTheme="minorEastAsia"/>
          <w:sz w:val="28"/>
          <w:szCs w:val="28"/>
        </w:rPr>
      </w:pPr>
      <w:r>
        <w:rPr>
          <w:rFonts w:hint="eastAsia"/>
          <w:b/>
          <w:sz w:val="28"/>
          <w:szCs w:val="28"/>
        </w:rPr>
        <w:t>（一）部门职责</w:t>
      </w:r>
    </w:p>
    <w:p>
      <w:pPr>
        <w:widowControl/>
        <w:shd w:val="clear" w:color="auto" w:fill="FFFFFF"/>
        <w:spacing w:line="560" w:lineRule="atLeast"/>
        <w:ind w:firstLine="640"/>
        <w:rPr>
          <w:rFonts w:ascii="宋体" w:hAnsi="宋体" w:cs="仿宋_GB2312"/>
          <w:sz w:val="30"/>
          <w:szCs w:val="30"/>
        </w:rPr>
      </w:pPr>
      <w:r>
        <w:rPr>
          <w:rFonts w:hint="eastAsia" w:ascii="宋体" w:hAnsi="宋体" w:cs="仿宋_GB2312"/>
          <w:sz w:val="30"/>
          <w:szCs w:val="30"/>
        </w:rPr>
        <w:t>县司法局是主管全县司法行政工作的政府组成部门。预算机构包括局本级和下属二级机构社区矫正中心、法律援助中心和乡镇司法所。我局为财政预算全额拨款行政单位，财务核算适用行政单位会计制度。   </w:t>
      </w:r>
    </w:p>
    <w:p>
      <w:pPr>
        <w:widowControl/>
        <w:spacing w:line="360" w:lineRule="auto"/>
        <w:ind w:firstLine="600" w:firstLineChars="200"/>
        <w:jc w:val="left"/>
        <w:rPr>
          <w:rFonts w:ascii="宋体" w:hAnsi="宋体" w:cs="仿宋_GB2312"/>
          <w:sz w:val="30"/>
          <w:szCs w:val="30"/>
        </w:rPr>
      </w:pPr>
      <w:r>
        <w:rPr>
          <w:rFonts w:hint="eastAsia" w:ascii="宋体" w:hAnsi="宋体" w:cs="仿宋_GB2312"/>
          <w:sz w:val="30"/>
          <w:szCs w:val="30"/>
        </w:rPr>
        <w:t>县司法局主要承担以下职责：</w:t>
      </w:r>
    </w:p>
    <w:p>
      <w:pPr>
        <w:widowControl/>
        <w:spacing w:line="360" w:lineRule="auto"/>
        <w:ind w:firstLine="600" w:firstLineChars="200"/>
        <w:jc w:val="left"/>
        <w:rPr>
          <w:rFonts w:ascii="宋体" w:hAnsi="宋体" w:cs="仿宋_GB2312"/>
          <w:sz w:val="30"/>
          <w:szCs w:val="30"/>
        </w:rPr>
      </w:pPr>
      <w:r>
        <w:rPr>
          <w:rFonts w:hint="eastAsia" w:ascii="宋体" w:hAnsi="宋体" w:cs="仿宋_GB2312"/>
          <w:sz w:val="30"/>
          <w:szCs w:val="30"/>
        </w:rPr>
        <w:t>（1）贯彻执行国家有关司法行政工作的方针、政策、法规，编制全县司法行政工作发展规划和年度计划并监督实施。</w:t>
      </w:r>
    </w:p>
    <w:p>
      <w:pPr>
        <w:widowControl/>
        <w:spacing w:line="360" w:lineRule="auto"/>
        <w:ind w:firstLine="600" w:firstLineChars="200"/>
        <w:jc w:val="left"/>
        <w:rPr>
          <w:rFonts w:ascii="宋体" w:hAnsi="宋体" w:cs="仿宋_GB2312"/>
          <w:sz w:val="30"/>
          <w:szCs w:val="30"/>
        </w:rPr>
      </w:pPr>
      <w:r>
        <w:rPr>
          <w:rFonts w:hint="eastAsia" w:ascii="宋体" w:hAnsi="宋体" w:cs="仿宋_GB2312"/>
          <w:sz w:val="30"/>
          <w:szCs w:val="30"/>
        </w:rPr>
        <w:t>（2）制定全县法制宣传教育计划并组织实施；指导和管理各乡镇、各行业的普法、依法治理工作；负责全县普法教材的编写和发放；负责全县干部、职工、专业技术人员、农民的法律培训工作；参与法治新闻工作。</w:t>
      </w:r>
    </w:p>
    <w:p>
      <w:pPr>
        <w:widowControl/>
        <w:spacing w:line="360" w:lineRule="auto"/>
        <w:ind w:firstLine="600" w:firstLineChars="200"/>
        <w:jc w:val="left"/>
        <w:rPr>
          <w:rFonts w:ascii="宋体" w:hAnsi="宋体" w:cs="仿宋_GB2312"/>
          <w:sz w:val="30"/>
          <w:szCs w:val="30"/>
        </w:rPr>
      </w:pPr>
      <w:r>
        <w:rPr>
          <w:rFonts w:hint="eastAsia" w:ascii="宋体" w:hAnsi="宋体" w:cs="仿宋_GB2312"/>
          <w:sz w:val="30"/>
          <w:szCs w:val="30"/>
        </w:rPr>
        <w:t>（3）指导和管理全县人民调解、基层司法和基层法律服务工作；参与社会治安综合治理。</w:t>
      </w:r>
    </w:p>
    <w:p>
      <w:pPr>
        <w:widowControl/>
        <w:spacing w:line="360" w:lineRule="auto"/>
        <w:ind w:firstLine="600" w:firstLineChars="200"/>
        <w:jc w:val="left"/>
        <w:rPr>
          <w:rFonts w:ascii="宋体" w:hAnsi="宋体" w:cs="仿宋_GB2312"/>
          <w:sz w:val="30"/>
          <w:szCs w:val="30"/>
        </w:rPr>
      </w:pPr>
      <w:r>
        <w:rPr>
          <w:rFonts w:hint="eastAsia" w:ascii="宋体" w:hAnsi="宋体" w:cs="仿宋_GB2312"/>
          <w:sz w:val="30"/>
          <w:szCs w:val="30"/>
        </w:rPr>
        <w:t>（4）监督管理全县法律援助工作。</w:t>
      </w:r>
    </w:p>
    <w:p>
      <w:pPr>
        <w:widowControl/>
        <w:spacing w:line="360" w:lineRule="auto"/>
        <w:ind w:firstLine="600" w:firstLineChars="200"/>
        <w:jc w:val="left"/>
        <w:rPr>
          <w:rFonts w:ascii="宋体" w:hAnsi="宋体" w:cs="仿宋_GB2312"/>
          <w:sz w:val="30"/>
          <w:szCs w:val="30"/>
        </w:rPr>
      </w:pPr>
      <w:r>
        <w:rPr>
          <w:rFonts w:hint="eastAsia" w:ascii="宋体" w:hAnsi="宋体" w:cs="仿宋_GB2312"/>
          <w:sz w:val="30"/>
          <w:szCs w:val="30"/>
        </w:rPr>
        <w:t>（5）指导管理全县面向社会服务的司法鉴定工作。</w:t>
      </w:r>
    </w:p>
    <w:p>
      <w:pPr>
        <w:widowControl/>
        <w:spacing w:line="360" w:lineRule="auto"/>
        <w:ind w:firstLine="600" w:firstLineChars="200"/>
        <w:jc w:val="left"/>
        <w:rPr>
          <w:rFonts w:ascii="宋体" w:hAnsi="宋体" w:cs="仿宋_GB2312"/>
          <w:sz w:val="30"/>
          <w:szCs w:val="30"/>
        </w:rPr>
      </w:pPr>
      <w:r>
        <w:rPr>
          <w:rFonts w:hint="eastAsia" w:ascii="宋体" w:hAnsi="宋体" w:cs="仿宋_GB2312"/>
          <w:sz w:val="30"/>
          <w:szCs w:val="30"/>
        </w:rPr>
        <w:t>（6）会同有关部门监督、检察司法行政法律、法规和规章的执行情况。 </w:t>
      </w:r>
    </w:p>
    <w:p>
      <w:pPr>
        <w:widowControl/>
        <w:spacing w:line="360" w:lineRule="auto"/>
        <w:ind w:firstLine="600" w:firstLineChars="200"/>
        <w:jc w:val="left"/>
        <w:rPr>
          <w:rFonts w:ascii="宋体" w:hAnsi="宋体" w:cs="仿宋_GB2312"/>
          <w:sz w:val="30"/>
          <w:szCs w:val="30"/>
        </w:rPr>
      </w:pPr>
      <w:r>
        <w:rPr>
          <w:rFonts w:hint="eastAsia" w:ascii="宋体" w:hAnsi="宋体" w:cs="仿宋_GB2312"/>
          <w:sz w:val="30"/>
          <w:szCs w:val="30"/>
        </w:rPr>
        <w:t>（7）指导和管理全县的法学教育工作。</w:t>
      </w:r>
    </w:p>
    <w:p>
      <w:pPr>
        <w:widowControl/>
        <w:spacing w:line="360" w:lineRule="auto"/>
        <w:ind w:firstLine="600" w:firstLineChars="200"/>
        <w:jc w:val="left"/>
        <w:rPr>
          <w:rFonts w:ascii="宋体" w:hAnsi="宋体" w:cs="仿宋_GB2312"/>
          <w:sz w:val="30"/>
          <w:szCs w:val="30"/>
        </w:rPr>
      </w:pPr>
      <w:r>
        <w:rPr>
          <w:rFonts w:hint="eastAsia" w:ascii="宋体" w:hAnsi="宋体" w:cs="仿宋_GB2312"/>
          <w:sz w:val="30"/>
          <w:szCs w:val="30"/>
        </w:rPr>
        <w:t>（8）指导和管理全县律师、公证和企业法律顾问工作。</w:t>
      </w:r>
    </w:p>
    <w:p>
      <w:pPr>
        <w:widowControl/>
        <w:spacing w:line="360" w:lineRule="auto"/>
        <w:ind w:firstLine="600" w:firstLineChars="200"/>
        <w:jc w:val="left"/>
        <w:rPr>
          <w:rFonts w:ascii="宋体" w:hAnsi="宋体" w:cs="仿宋_GB2312"/>
          <w:sz w:val="30"/>
          <w:szCs w:val="30"/>
        </w:rPr>
      </w:pPr>
      <w:r>
        <w:rPr>
          <w:rFonts w:hint="eastAsia" w:ascii="宋体" w:hAnsi="宋体" w:cs="仿宋_GB2312"/>
          <w:sz w:val="30"/>
          <w:szCs w:val="30"/>
        </w:rPr>
        <w:t>（9）指导、协调、督促有关单位对刑满释放人员的安置帮教工作</w:t>
      </w:r>
    </w:p>
    <w:p>
      <w:pPr>
        <w:widowControl/>
        <w:spacing w:line="360" w:lineRule="auto"/>
        <w:ind w:firstLine="600" w:firstLineChars="200"/>
        <w:jc w:val="left"/>
        <w:rPr>
          <w:rFonts w:ascii="宋体" w:hAnsi="宋体" w:cs="仿宋_GB2312"/>
          <w:sz w:val="30"/>
          <w:szCs w:val="30"/>
        </w:rPr>
      </w:pPr>
      <w:r>
        <w:rPr>
          <w:rFonts w:hint="eastAsia" w:ascii="宋体" w:hAnsi="宋体" w:cs="仿宋_GB2312"/>
          <w:sz w:val="30"/>
          <w:szCs w:val="30"/>
        </w:rPr>
        <w:t>（10）指导和管理社区矫正工作。</w:t>
      </w:r>
    </w:p>
    <w:p>
      <w:pPr>
        <w:widowControl/>
        <w:spacing w:line="360" w:lineRule="auto"/>
        <w:ind w:firstLine="600" w:firstLineChars="200"/>
        <w:jc w:val="left"/>
        <w:rPr>
          <w:rFonts w:ascii="宋体" w:hAnsi="宋体" w:cs="仿宋_GB2312"/>
          <w:sz w:val="30"/>
          <w:szCs w:val="30"/>
        </w:rPr>
      </w:pPr>
      <w:r>
        <w:rPr>
          <w:rFonts w:hint="eastAsia" w:ascii="宋体" w:hAnsi="宋体" w:cs="仿宋_GB2312"/>
          <w:sz w:val="30"/>
          <w:szCs w:val="30"/>
        </w:rPr>
        <w:t>（11）监督和管理全县公共法律服务工作。</w:t>
      </w:r>
    </w:p>
    <w:p>
      <w:pPr>
        <w:widowControl/>
        <w:spacing w:line="360" w:lineRule="auto"/>
        <w:ind w:firstLine="600" w:firstLineChars="200"/>
        <w:jc w:val="left"/>
        <w:rPr>
          <w:rFonts w:ascii="宋体" w:hAnsi="宋体" w:cs="仿宋_GB2312"/>
          <w:sz w:val="30"/>
          <w:szCs w:val="30"/>
        </w:rPr>
      </w:pPr>
      <w:r>
        <w:rPr>
          <w:rFonts w:hint="eastAsia" w:ascii="宋体" w:hAnsi="宋体" w:cs="仿宋_GB2312"/>
          <w:sz w:val="30"/>
          <w:szCs w:val="30"/>
        </w:rPr>
        <w:t>（12）做好本系统队伍建设和政治思想工作。</w:t>
      </w:r>
    </w:p>
    <w:p>
      <w:pPr>
        <w:widowControl/>
        <w:spacing w:line="360" w:lineRule="auto"/>
        <w:ind w:firstLine="600" w:firstLineChars="200"/>
        <w:jc w:val="left"/>
        <w:rPr>
          <w:rFonts w:ascii="宋体" w:hAnsi="宋体" w:cs="仿宋_GB2312"/>
          <w:sz w:val="30"/>
          <w:szCs w:val="30"/>
        </w:rPr>
      </w:pPr>
      <w:r>
        <w:rPr>
          <w:rFonts w:hint="eastAsia" w:ascii="宋体" w:hAnsi="宋体" w:cs="仿宋_GB2312"/>
          <w:sz w:val="30"/>
          <w:szCs w:val="30"/>
        </w:rPr>
        <w:t>（13）做好全县司法行政系统的财务、物资装备和国有资产的管理工作。</w:t>
      </w:r>
    </w:p>
    <w:p>
      <w:pPr>
        <w:widowControl/>
        <w:spacing w:line="360" w:lineRule="auto"/>
        <w:ind w:firstLine="600" w:firstLineChars="200"/>
        <w:jc w:val="left"/>
        <w:rPr>
          <w:rFonts w:ascii="宋体" w:hAnsi="宋体" w:cs="仿宋_GB2312"/>
          <w:sz w:val="30"/>
          <w:szCs w:val="30"/>
        </w:rPr>
      </w:pPr>
      <w:r>
        <w:rPr>
          <w:rFonts w:hint="eastAsia" w:ascii="宋体" w:hAnsi="宋体" w:cs="仿宋_GB2312"/>
          <w:sz w:val="30"/>
          <w:szCs w:val="30"/>
        </w:rPr>
        <w:t>（14）负责对职责范围内有关行业、领域的安全生产工作实施监督管理。　　</w:t>
      </w:r>
    </w:p>
    <w:p>
      <w:pPr>
        <w:widowControl/>
        <w:spacing w:line="360" w:lineRule="auto"/>
        <w:ind w:firstLine="600" w:firstLineChars="200"/>
        <w:jc w:val="left"/>
        <w:rPr>
          <w:rFonts w:ascii="宋体" w:hAnsi="宋体" w:cs="仿宋_GB2312"/>
          <w:sz w:val="30"/>
          <w:szCs w:val="30"/>
        </w:rPr>
      </w:pPr>
      <w:r>
        <w:rPr>
          <w:rFonts w:hint="eastAsia" w:ascii="宋体" w:hAnsi="宋体" w:cs="仿宋_GB2312"/>
          <w:sz w:val="30"/>
          <w:szCs w:val="30"/>
        </w:rPr>
        <w:t>（15）承办县人民政府交办的其他事项。 </w:t>
      </w:r>
    </w:p>
    <w:p>
      <w:pPr>
        <w:widowControl/>
        <w:shd w:val="clear" w:color="auto" w:fill="FFFFFF"/>
        <w:spacing w:line="560" w:lineRule="atLeast"/>
        <w:ind w:firstLine="640"/>
        <w:rPr>
          <w:rFonts w:ascii="黑体" w:hAnsi="黑体" w:eastAsia="黑体" w:cs="宋体"/>
          <w:color w:val="000000"/>
          <w:kern w:val="0"/>
          <w:sz w:val="32"/>
          <w:szCs w:val="32"/>
        </w:rPr>
      </w:pPr>
      <w:r>
        <w:rPr>
          <w:rFonts w:hint="eastAsia" w:ascii="黑体" w:hAnsi="黑体" w:eastAsia="黑体" w:cs="宋体"/>
          <w:color w:val="000000"/>
          <w:kern w:val="0"/>
          <w:sz w:val="32"/>
          <w:szCs w:val="32"/>
        </w:rPr>
        <w:t>二、机构设置与决算单位构成情况</w:t>
      </w:r>
    </w:p>
    <w:p>
      <w:pPr>
        <w:shd w:val="solid" w:color="FFFFFF" w:fill="auto"/>
        <w:autoSpaceDN w:val="0"/>
        <w:spacing w:line="360" w:lineRule="auto"/>
        <w:ind w:firstLine="600" w:firstLineChars="200"/>
        <w:jc w:val="left"/>
        <w:rPr>
          <w:rFonts w:ascii="宋体" w:hAnsi="宋体" w:cs="仿宋_GB2312"/>
          <w:sz w:val="30"/>
          <w:szCs w:val="30"/>
        </w:rPr>
      </w:pPr>
      <w:r>
        <w:rPr>
          <w:rFonts w:hint="eastAsia" w:ascii="宋体" w:hAnsi="宋体" w:cs="仿宋_GB2312"/>
          <w:sz w:val="30"/>
          <w:szCs w:val="30"/>
        </w:rPr>
        <w:t>（一）机构设置情况</w:t>
      </w:r>
    </w:p>
    <w:p>
      <w:pPr>
        <w:shd w:val="solid" w:color="FFFFFF" w:fill="auto"/>
        <w:autoSpaceDN w:val="0"/>
        <w:spacing w:line="360" w:lineRule="auto"/>
        <w:ind w:firstLine="600" w:firstLineChars="200"/>
        <w:jc w:val="left"/>
        <w:rPr>
          <w:rFonts w:ascii="宋体" w:hAnsi="宋体" w:cs="仿宋_GB2312"/>
          <w:sz w:val="30"/>
          <w:szCs w:val="30"/>
        </w:rPr>
      </w:pPr>
      <w:r>
        <w:rPr>
          <w:rFonts w:hint="eastAsia" w:ascii="宋体" w:hAnsi="宋体" w:cs="仿宋_GB2312"/>
          <w:sz w:val="30"/>
          <w:szCs w:val="30"/>
        </w:rPr>
        <w:t>我局年末在职人员88人，退休39人(包含法律工作者），局内设办公室、政工室、法治研究督查室，行政复议与应诉股，行政执法协调监督股，规范性文件管理股，法律事务股，合同审查管理股，普法与依法治理股，基层法治建设股，公共法律服务管理股，装备财务保障股，行政审批股。</w:t>
      </w:r>
    </w:p>
    <w:p>
      <w:pPr>
        <w:shd w:val="solid" w:color="FFFFFF" w:fill="auto"/>
        <w:autoSpaceDN w:val="0"/>
        <w:spacing w:line="360" w:lineRule="auto"/>
        <w:ind w:firstLine="600" w:firstLineChars="200"/>
        <w:jc w:val="left"/>
        <w:rPr>
          <w:rFonts w:ascii="宋体" w:hAnsi="宋体" w:cs="仿宋_GB2312"/>
          <w:sz w:val="30"/>
          <w:szCs w:val="30"/>
        </w:rPr>
      </w:pPr>
      <w:r>
        <w:rPr>
          <w:rFonts w:hint="eastAsia" w:ascii="宋体" w:hAnsi="宋体" w:cs="仿宋_GB2312"/>
          <w:sz w:val="30"/>
          <w:szCs w:val="30"/>
        </w:rPr>
        <w:t>下属单位3个（副科级单位）：县社区矫正工作局、县法律援助中心，县公证处,。另外设有局工会、妇委会、共青团、社会矛盾调处中心、信访办等。22个乡镇设有司法所（属派出机构），担任着全县“保障、宣传、服务”三大职责，以维护社会稳定为首任，以服务经济发展大局为中心，圆满地完成了各项工作任务。</w:t>
      </w:r>
    </w:p>
    <w:p>
      <w:pPr>
        <w:pStyle w:val="3"/>
        <w:spacing w:before="244"/>
        <w:ind w:left="512"/>
      </w:pPr>
      <w:r>
        <w:t>（二）决算单位构成</w:t>
      </w:r>
    </w:p>
    <w:p>
      <w:pPr>
        <w:pStyle w:val="3"/>
        <w:spacing w:before="174"/>
        <w:ind w:left="512"/>
      </w:pPr>
      <w:r>
        <w:rPr>
          <w:color w:val="333333"/>
        </w:rPr>
        <w:t>纳入 2019 年部门预算编制范围的二级预算单位包括：</w:t>
      </w:r>
    </w:p>
    <w:p>
      <w:pPr>
        <w:pStyle w:val="14"/>
        <w:numPr>
          <w:ilvl w:val="0"/>
          <w:numId w:val="2"/>
        </w:numPr>
        <w:shd w:val="solid" w:color="FFFFFF" w:fill="auto"/>
        <w:autoSpaceDN w:val="0"/>
        <w:spacing w:line="360" w:lineRule="auto"/>
        <w:ind w:firstLineChars="0"/>
        <w:jc w:val="left"/>
        <w:rPr>
          <w:rFonts w:ascii="宋体" w:hAnsi="宋体" w:cs="仿宋_GB2312"/>
          <w:sz w:val="30"/>
          <w:szCs w:val="30"/>
        </w:rPr>
      </w:pPr>
      <w:r>
        <w:rPr>
          <w:rFonts w:hint="eastAsia" w:ascii="宋体" w:hAnsi="宋体" w:cs="仿宋_GB2312"/>
          <w:sz w:val="30"/>
          <w:szCs w:val="30"/>
        </w:rPr>
        <w:t>衡南县司法局本级</w:t>
      </w:r>
    </w:p>
    <w:p>
      <w:pPr>
        <w:pStyle w:val="14"/>
        <w:numPr>
          <w:ilvl w:val="0"/>
          <w:numId w:val="2"/>
        </w:numPr>
        <w:shd w:val="solid" w:color="FFFFFF" w:fill="auto"/>
        <w:autoSpaceDN w:val="0"/>
        <w:spacing w:line="360" w:lineRule="auto"/>
        <w:ind w:firstLineChars="0"/>
        <w:jc w:val="left"/>
        <w:rPr>
          <w:rFonts w:ascii="宋体" w:hAnsi="宋体" w:cs="仿宋_GB2312"/>
          <w:sz w:val="30"/>
          <w:szCs w:val="30"/>
        </w:rPr>
      </w:pPr>
      <w:r>
        <w:rPr>
          <w:rFonts w:hint="eastAsia" w:ascii="宋体" w:hAnsi="宋体" w:cs="仿宋_GB2312"/>
          <w:sz w:val="30"/>
          <w:szCs w:val="30"/>
        </w:rPr>
        <w:t>衡南县社区矫正工作局</w:t>
      </w:r>
    </w:p>
    <w:p>
      <w:pPr>
        <w:pStyle w:val="14"/>
        <w:numPr>
          <w:ilvl w:val="0"/>
          <w:numId w:val="2"/>
        </w:numPr>
        <w:shd w:val="solid" w:color="FFFFFF" w:fill="auto"/>
        <w:autoSpaceDN w:val="0"/>
        <w:spacing w:line="360" w:lineRule="auto"/>
        <w:ind w:firstLineChars="0"/>
        <w:jc w:val="left"/>
        <w:rPr>
          <w:rFonts w:ascii="宋体" w:hAnsi="宋体" w:cs="仿宋_GB2312"/>
          <w:sz w:val="30"/>
          <w:szCs w:val="30"/>
        </w:rPr>
      </w:pPr>
      <w:r>
        <w:rPr>
          <w:rFonts w:hint="eastAsia" w:ascii="宋体" w:hAnsi="宋体" w:cs="仿宋_GB2312"/>
          <w:sz w:val="30"/>
          <w:szCs w:val="30"/>
        </w:rPr>
        <w:t>衡南县法律援助中心</w:t>
      </w:r>
    </w:p>
    <w:p>
      <w:pPr>
        <w:pStyle w:val="14"/>
        <w:numPr>
          <w:ilvl w:val="0"/>
          <w:numId w:val="2"/>
        </w:numPr>
        <w:shd w:val="solid" w:color="FFFFFF" w:fill="auto"/>
        <w:autoSpaceDN w:val="0"/>
        <w:spacing w:line="360" w:lineRule="auto"/>
        <w:ind w:firstLineChars="0"/>
        <w:jc w:val="left"/>
        <w:rPr>
          <w:rFonts w:ascii="宋体" w:hAnsi="宋体" w:cs="仿宋_GB2312"/>
          <w:sz w:val="30"/>
          <w:szCs w:val="30"/>
        </w:rPr>
      </w:pPr>
      <w:r>
        <w:rPr>
          <w:rFonts w:hint="eastAsia" w:ascii="宋体" w:hAnsi="宋体" w:cs="仿宋_GB2312"/>
          <w:sz w:val="30"/>
          <w:szCs w:val="30"/>
        </w:rPr>
        <w:t>衡南县司法所</w:t>
      </w:r>
    </w:p>
    <w:p>
      <w:pPr>
        <w:widowControl/>
        <w:shd w:val="clear" w:color="auto" w:fill="FFFFFF"/>
        <w:jc w:val="center"/>
        <w:rPr>
          <w:rFonts w:ascii="微软雅黑" w:hAnsi="微软雅黑" w:eastAsia="微软雅黑" w:cs="宋体"/>
          <w:color w:val="000000"/>
          <w:kern w:val="0"/>
          <w:szCs w:val="21"/>
        </w:rPr>
      </w:pPr>
      <w:r>
        <w:rPr>
          <w:rFonts w:hint="eastAsia" w:ascii="仿宋_GB2312" w:hAnsi="微软雅黑" w:eastAsia="仿宋_GB2312" w:cs="宋体"/>
          <w:color w:val="000000"/>
          <w:kern w:val="0"/>
          <w:sz w:val="28"/>
          <w:szCs w:val="28"/>
        </w:rPr>
        <w:t> </w:t>
      </w:r>
      <w:r>
        <w:rPr>
          <w:rFonts w:hint="eastAsia" w:ascii="黑体" w:hAnsi="黑体" w:eastAsia="黑体" w:cs="宋体"/>
          <w:color w:val="000000"/>
          <w:kern w:val="0"/>
          <w:sz w:val="32"/>
          <w:szCs w:val="32"/>
        </w:rPr>
        <w:t>第二部分 部门决算表（附后）</w:t>
      </w:r>
    </w:p>
    <w:p>
      <w:pPr>
        <w:widowControl/>
        <w:shd w:val="clear" w:color="auto" w:fill="FFFFFF"/>
        <w:wordWrap w:val="0"/>
        <w:jc w:val="left"/>
        <w:rPr>
          <w:rFonts w:ascii="宋体" w:hAnsi="宋体" w:cs="仿宋_GB2312"/>
          <w:sz w:val="30"/>
          <w:szCs w:val="30"/>
        </w:rPr>
      </w:pPr>
      <w:r>
        <w:rPr>
          <w:rFonts w:hint="eastAsia" w:ascii="宋体" w:hAnsi="宋体" w:cs="仿宋_GB2312"/>
          <w:sz w:val="30"/>
          <w:szCs w:val="30"/>
        </w:rPr>
        <w:t>01表 收入支出决算总表</w:t>
      </w:r>
    </w:p>
    <w:p>
      <w:pPr>
        <w:widowControl/>
        <w:shd w:val="clear" w:color="auto" w:fill="FFFFFF"/>
        <w:wordWrap w:val="0"/>
        <w:jc w:val="left"/>
        <w:rPr>
          <w:rFonts w:ascii="宋体" w:hAnsi="宋体" w:cs="仿宋_GB2312"/>
          <w:sz w:val="30"/>
          <w:szCs w:val="30"/>
        </w:rPr>
      </w:pPr>
      <w:r>
        <w:rPr>
          <w:rFonts w:hint="eastAsia" w:ascii="宋体" w:hAnsi="宋体" w:cs="仿宋_GB2312"/>
          <w:sz w:val="30"/>
          <w:szCs w:val="30"/>
        </w:rPr>
        <w:t>02表 收入决算表</w:t>
      </w:r>
    </w:p>
    <w:p>
      <w:pPr>
        <w:widowControl/>
        <w:shd w:val="clear" w:color="auto" w:fill="FFFFFF"/>
        <w:wordWrap w:val="0"/>
        <w:jc w:val="left"/>
        <w:rPr>
          <w:rFonts w:ascii="宋体" w:hAnsi="宋体" w:cs="仿宋_GB2312"/>
          <w:sz w:val="30"/>
          <w:szCs w:val="30"/>
        </w:rPr>
      </w:pPr>
      <w:r>
        <w:rPr>
          <w:rFonts w:hint="eastAsia" w:ascii="宋体" w:hAnsi="宋体" w:cs="仿宋_GB2312"/>
          <w:sz w:val="30"/>
          <w:szCs w:val="30"/>
        </w:rPr>
        <w:t>03表 支出决算表</w:t>
      </w:r>
    </w:p>
    <w:p>
      <w:pPr>
        <w:widowControl/>
        <w:shd w:val="clear" w:color="auto" w:fill="FFFFFF"/>
        <w:wordWrap w:val="0"/>
        <w:jc w:val="left"/>
        <w:rPr>
          <w:rFonts w:ascii="宋体" w:hAnsi="宋体" w:cs="仿宋_GB2312"/>
          <w:sz w:val="30"/>
          <w:szCs w:val="30"/>
        </w:rPr>
      </w:pPr>
      <w:r>
        <w:rPr>
          <w:rFonts w:hint="eastAsia" w:ascii="宋体" w:hAnsi="宋体" w:cs="仿宋_GB2312"/>
          <w:sz w:val="30"/>
          <w:szCs w:val="30"/>
        </w:rPr>
        <w:t>04表 财政拨款收入支出决算总表</w:t>
      </w:r>
    </w:p>
    <w:p>
      <w:pPr>
        <w:widowControl/>
        <w:shd w:val="clear" w:color="auto" w:fill="FFFFFF"/>
        <w:wordWrap w:val="0"/>
        <w:jc w:val="left"/>
        <w:rPr>
          <w:rFonts w:ascii="宋体" w:hAnsi="宋体" w:cs="仿宋_GB2312"/>
          <w:sz w:val="30"/>
          <w:szCs w:val="30"/>
        </w:rPr>
      </w:pPr>
      <w:r>
        <w:rPr>
          <w:rFonts w:hint="eastAsia" w:ascii="宋体" w:hAnsi="宋体" w:cs="仿宋_GB2312"/>
          <w:sz w:val="30"/>
          <w:szCs w:val="30"/>
        </w:rPr>
        <w:t>05表 一般公共预算财政拨款支出决算表</w:t>
      </w:r>
    </w:p>
    <w:p>
      <w:pPr>
        <w:widowControl/>
        <w:shd w:val="clear" w:color="auto" w:fill="FFFFFF"/>
        <w:wordWrap w:val="0"/>
        <w:jc w:val="left"/>
        <w:rPr>
          <w:rFonts w:ascii="宋体" w:hAnsi="宋体" w:cs="仿宋_GB2312"/>
          <w:sz w:val="30"/>
          <w:szCs w:val="30"/>
        </w:rPr>
      </w:pPr>
      <w:r>
        <w:rPr>
          <w:rFonts w:hint="eastAsia" w:ascii="宋体" w:hAnsi="宋体" w:cs="仿宋_GB2312"/>
          <w:sz w:val="30"/>
          <w:szCs w:val="30"/>
        </w:rPr>
        <w:t>06表 一般公共预算财政拨款基本支出决算表</w:t>
      </w:r>
    </w:p>
    <w:p>
      <w:pPr>
        <w:widowControl/>
        <w:shd w:val="clear" w:color="auto" w:fill="FFFFFF"/>
        <w:wordWrap w:val="0"/>
        <w:jc w:val="left"/>
        <w:rPr>
          <w:rFonts w:ascii="宋体" w:hAnsi="宋体" w:cs="仿宋_GB2312"/>
          <w:sz w:val="30"/>
          <w:szCs w:val="30"/>
        </w:rPr>
      </w:pPr>
      <w:r>
        <w:rPr>
          <w:rFonts w:hint="eastAsia" w:ascii="宋体" w:hAnsi="宋体" w:cs="仿宋_GB2312"/>
          <w:sz w:val="30"/>
          <w:szCs w:val="30"/>
        </w:rPr>
        <w:t>07表 一般公共预算财政拨款“三公”经费支出决算表</w:t>
      </w:r>
    </w:p>
    <w:p>
      <w:pPr>
        <w:widowControl/>
        <w:shd w:val="clear" w:color="auto" w:fill="FFFFFF"/>
        <w:wordWrap w:val="0"/>
        <w:jc w:val="left"/>
        <w:rPr>
          <w:rFonts w:ascii="宋体" w:hAnsi="宋体" w:cs="仿宋_GB2312"/>
          <w:sz w:val="30"/>
          <w:szCs w:val="30"/>
        </w:rPr>
      </w:pPr>
      <w:r>
        <w:rPr>
          <w:rFonts w:hint="eastAsia" w:ascii="宋体" w:hAnsi="宋体" w:cs="仿宋_GB2312"/>
          <w:sz w:val="30"/>
          <w:szCs w:val="30"/>
        </w:rPr>
        <w:t>08表 政府性基金预算财政拨款收入支出决算表</w:t>
      </w:r>
    </w:p>
    <w:p>
      <w:pPr>
        <w:widowControl/>
        <w:shd w:val="clear" w:color="auto" w:fill="FFFFFF"/>
        <w:jc w:val="center"/>
        <w:rPr>
          <w:rFonts w:ascii="微软雅黑" w:hAnsi="微软雅黑" w:eastAsia="微软雅黑" w:cs="宋体"/>
          <w:color w:val="000000"/>
          <w:kern w:val="0"/>
          <w:szCs w:val="21"/>
        </w:rPr>
      </w:pPr>
      <w:r>
        <w:rPr>
          <w:rFonts w:hint="eastAsia" w:ascii="黑体" w:hAnsi="黑体" w:eastAsia="黑体" w:cs="宋体"/>
          <w:color w:val="000000"/>
          <w:kern w:val="0"/>
          <w:sz w:val="32"/>
          <w:szCs w:val="32"/>
        </w:rPr>
        <w:t>第三部分 2019年度部门决算情况说明</w:t>
      </w:r>
    </w:p>
    <w:p>
      <w:pPr>
        <w:widowControl/>
        <w:shd w:val="clear" w:color="auto" w:fill="FFFFFF"/>
        <w:spacing w:line="560" w:lineRule="atLeast"/>
        <w:ind w:firstLine="643"/>
        <w:rPr>
          <w:rFonts w:ascii="微软雅黑" w:hAnsi="微软雅黑" w:eastAsia="微软雅黑" w:cs="宋体"/>
          <w:color w:val="000000"/>
          <w:kern w:val="0"/>
          <w:szCs w:val="21"/>
        </w:rPr>
      </w:pPr>
    </w:p>
    <w:p>
      <w:pPr>
        <w:widowControl/>
        <w:shd w:val="clear" w:color="auto" w:fill="FFFFFF"/>
        <w:spacing w:line="560" w:lineRule="atLeast"/>
        <w:ind w:firstLine="643"/>
        <w:rPr>
          <w:rFonts w:ascii="微软雅黑" w:hAnsi="微软雅黑" w:eastAsia="微软雅黑" w:cs="宋体"/>
          <w:color w:val="000000"/>
          <w:kern w:val="0"/>
          <w:szCs w:val="21"/>
        </w:rPr>
      </w:pPr>
      <w:r>
        <w:rPr>
          <w:rFonts w:hint="eastAsia" w:ascii="黑体" w:hAnsi="黑体" w:eastAsia="黑体" w:cs="宋体"/>
          <w:b/>
          <w:bCs/>
          <w:color w:val="000000"/>
          <w:kern w:val="0"/>
          <w:sz w:val="32"/>
          <w:szCs w:val="32"/>
        </w:rPr>
        <w:t>一、收入支出决算总体情况说明</w:t>
      </w:r>
    </w:p>
    <w:p>
      <w:pPr>
        <w:widowControl/>
        <w:shd w:val="clear" w:color="auto" w:fill="FFFFFF"/>
        <w:spacing w:line="560" w:lineRule="atLeast"/>
        <w:ind w:firstLine="640"/>
        <w:rPr>
          <w:rFonts w:ascii="宋体" w:hAnsi="宋体" w:cs="仿宋_GB2312"/>
          <w:sz w:val="30"/>
          <w:szCs w:val="30"/>
        </w:rPr>
      </w:pPr>
      <w:r>
        <w:rPr>
          <w:rFonts w:hint="eastAsia" w:ascii="宋体" w:hAnsi="宋体" w:cs="仿宋_GB2312"/>
          <w:sz w:val="30"/>
          <w:szCs w:val="30"/>
        </w:rPr>
        <w:t>2019年总收入1280.73 万元,2018年总收入1153.2 万元2019年比2018年增加11.06 %。</w:t>
      </w:r>
    </w:p>
    <w:p>
      <w:pPr>
        <w:widowControl/>
        <w:shd w:val="clear" w:color="auto" w:fill="FFFFFF"/>
        <w:spacing w:line="560" w:lineRule="atLeast"/>
        <w:ind w:firstLine="640"/>
        <w:rPr>
          <w:rFonts w:ascii="宋体" w:hAnsi="宋体" w:cs="仿宋_GB2312"/>
          <w:sz w:val="30"/>
          <w:szCs w:val="30"/>
        </w:rPr>
      </w:pPr>
      <w:r>
        <w:rPr>
          <w:rFonts w:hint="eastAsia" w:ascii="宋体" w:hAnsi="宋体" w:cs="仿宋_GB2312"/>
          <w:sz w:val="30"/>
          <w:szCs w:val="30"/>
        </w:rPr>
        <w:t>2019年总支出1280.65 万元，2018年总支出1153.2 万元，2019年比2018年增加 11.05 %。</w:t>
      </w:r>
    </w:p>
    <w:p>
      <w:pPr>
        <w:widowControl/>
        <w:shd w:val="clear" w:color="auto" w:fill="FFFFFF"/>
        <w:spacing w:line="560" w:lineRule="atLeast"/>
        <w:ind w:firstLine="640"/>
        <w:rPr>
          <w:rFonts w:ascii="宋体" w:hAnsi="宋体" w:cs="仿宋_GB2312"/>
          <w:sz w:val="30"/>
          <w:szCs w:val="30"/>
        </w:rPr>
      </w:pPr>
      <w:r>
        <w:rPr>
          <w:rFonts w:hint="eastAsia" w:ascii="宋体" w:hAnsi="宋体" w:cs="仿宋_GB2312"/>
          <w:sz w:val="30"/>
          <w:szCs w:val="30"/>
        </w:rPr>
        <w:t>增加的主要原因是人员增加，人员经费增加；原法制办合并到我局，部分开支由我局负责，故总收入与总支出较上年有所增加。</w:t>
      </w:r>
    </w:p>
    <w:p>
      <w:pPr>
        <w:widowControl/>
        <w:shd w:val="clear" w:color="auto" w:fill="FFFFFF"/>
        <w:spacing w:line="560" w:lineRule="atLeast"/>
        <w:ind w:firstLine="643"/>
        <w:rPr>
          <w:rFonts w:ascii="微软雅黑" w:hAnsi="微软雅黑" w:eastAsia="微软雅黑" w:cs="宋体"/>
          <w:color w:val="000000"/>
          <w:kern w:val="0"/>
          <w:szCs w:val="21"/>
        </w:rPr>
      </w:pPr>
      <w:r>
        <w:rPr>
          <w:rFonts w:hint="eastAsia" w:ascii="黑体" w:hAnsi="黑体" w:eastAsia="黑体" w:cs="宋体"/>
          <w:b/>
          <w:bCs/>
          <w:color w:val="000000"/>
          <w:kern w:val="0"/>
          <w:sz w:val="32"/>
          <w:szCs w:val="32"/>
        </w:rPr>
        <w:t>二、收入决算情况说明</w:t>
      </w:r>
    </w:p>
    <w:p>
      <w:pPr>
        <w:widowControl/>
        <w:shd w:val="clear" w:color="auto" w:fill="FFFFFF"/>
        <w:spacing w:line="560" w:lineRule="atLeast"/>
        <w:ind w:firstLine="640"/>
        <w:rPr>
          <w:rFonts w:ascii="宋体" w:hAnsi="宋体" w:cs="仿宋_GB2312"/>
          <w:sz w:val="30"/>
          <w:szCs w:val="30"/>
        </w:rPr>
      </w:pPr>
      <w:r>
        <w:rPr>
          <w:rFonts w:hint="eastAsia" w:ascii="宋体" w:hAnsi="宋体" w:cs="仿宋_GB2312"/>
          <w:sz w:val="30"/>
          <w:szCs w:val="30"/>
        </w:rPr>
        <w:t>2019年本年收入合计1280.73万元，其中：财政拨款收入1271.54万元，占99.28%；其他收入（结算资金）9.19万，占0.72%。</w:t>
      </w:r>
    </w:p>
    <w:p>
      <w:pPr>
        <w:widowControl/>
        <w:shd w:val="clear" w:color="auto" w:fill="FFFFFF"/>
        <w:spacing w:line="560" w:lineRule="atLeast"/>
        <w:ind w:firstLine="643"/>
        <w:rPr>
          <w:rFonts w:ascii="微软雅黑" w:hAnsi="微软雅黑" w:eastAsia="微软雅黑" w:cs="宋体"/>
          <w:color w:val="000000"/>
          <w:kern w:val="0"/>
          <w:szCs w:val="21"/>
        </w:rPr>
      </w:pPr>
      <w:r>
        <w:rPr>
          <w:rFonts w:hint="eastAsia" w:ascii="黑体" w:hAnsi="黑体" w:eastAsia="黑体" w:cs="宋体"/>
          <w:b/>
          <w:bCs/>
          <w:color w:val="000000"/>
          <w:kern w:val="0"/>
          <w:sz w:val="32"/>
          <w:szCs w:val="32"/>
        </w:rPr>
        <w:t>三、支出决算情况说明</w:t>
      </w:r>
    </w:p>
    <w:p>
      <w:pPr>
        <w:spacing w:line="360" w:lineRule="auto"/>
        <w:ind w:firstLine="600" w:firstLineChars="200"/>
        <w:rPr>
          <w:rFonts w:ascii="宋体" w:hAnsi="宋体" w:cs="仿宋_GB2312"/>
          <w:sz w:val="30"/>
          <w:szCs w:val="30"/>
        </w:rPr>
      </w:pPr>
      <w:r>
        <w:rPr>
          <w:rFonts w:hint="eastAsia" w:ascii="宋体" w:hAnsi="宋体" w:cs="仿宋_GB2312"/>
          <w:sz w:val="30"/>
          <w:szCs w:val="30"/>
        </w:rPr>
        <w:t>本年支出总计1280.65万元，其中：基本支出1049.7万元，占81.97%，项目支出230.95万，占18.03%</w:t>
      </w:r>
    </w:p>
    <w:p>
      <w:pPr>
        <w:widowControl/>
        <w:shd w:val="clear" w:color="auto" w:fill="FFFFFF"/>
        <w:spacing w:line="560" w:lineRule="atLeast"/>
        <w:ind w:firstLine="643"/>
        <w:rPr>
          <w:rFonts w:ascii="微软雅黑" w:hAnsi="微软雅黑" w:eastAsia="微软雅黑" w:cs="宋体"/>
          <w:color w:val="000000"/>
          <w:kern w:val="0"/>
          <w:szCs w:val="21"/>
        </w:rPr>
      </w:pPr>
      <w:r>
        <w:rPr>
          <w:rFonts w:hint="eastAsia" w:ascii="黑体" w:hAnsi="黑体" w:eastAsia="黑体" w:cs="宋体"/>
          <w:b/>
          <w:bCs/>
          <w:color w:val="000000"/>
          <w:kern w:val="0"/>
          <w:sz w:val="32"/>
          <w:szCs w:val="32"/>
        </w:rPr>
        <w:t>四、财政拨款收入支出决算总体情况说明</w:t>
      </w:r>
    </w:p>
    <w:p>
      <w:pPr>
        <w:widowControl/>
        <w:shd w:val="clear" w:color="auto" w:fill="FFFFFF"/>
        <w:spacing w:line="560" w:lineRule="atLeast"/>
        <w:ind w:firstLine="640"/>
        <w:rPr>
          <w:rFonts w:ascii="宋体" w:hAnsi="宋体" w:cs="仿宋_GB2312"/>
          <w:sz w:val="30"/>
          <w:szCs w:val="30"/>
        </w:rPr>
      </w:pPr>
      <w:r>
        <w:rPr>
          <w:rFonts w:hint="eastAsia" w:ascii="宋体" w:hAnsi="宋体" w:cs="仿宋_GB2312"/>
          <w:sz w:val="30"/>
          <w:szCs w:val="30"/>
        </w:rPr>
        <w:t> 2019年财政拨款总收入1271.54万元，比上年财政拨款总收入1148.8万元，增加10.68%，均为一般公共预算财政拨款收入，无政府性基金预算财政拨款收入。财政拨款总支出1271.46万元，比上年财政拨款总支出1148.73万元,增加10.68%，均为一般公共预算财政拨款支出，无政府性基金预算财政拨款支出。增加的主要原因是人员增加，人员经费增加；原法制办合并到我局，部分开支由我局负责，故总收入与总支出较上年有所增加。</w:t>
      </w:r>
    </w:p>
    <w:p>
      <w:pPr>
        <w:widowControl/>
        <w:shd w:val="clear" w:color="auto" w:fill="FFFFFF"/>
        <w:spacing w:line="560" w:lineRule="atLeast"/>
        <w:ind w:firstLine="643"/>
        <w:rPr>
          <w:rFonts w:ascii="微软雅黑" w:hAnsi="微软雅黑" w:eastAsia="微软雅黑" w:cs="宋体"/>
          <w:color w:val="000000"/>
          <w:kern w:val="0"/>
          <w:szCs w:val="21"/>
        </w:rPr>
      </w:pPr>
      <w:r>
        <w:rPr>
          <w:rFonts w:hint="eastAsia" w:ascii="黑体" w:hAnsi="黑体" w:eastAsia="黑体" w:cs="宋体"/>
          <w:b/>
          <w:bCs/>
          <w:color w:val="000000"/>
          <w:kern w:val="0"/>
          <w:sz w:val="32"/>
          <w:szCs w:val="32"/>
        </w:rPr>
        <w:t>五、一般公共预算财政拨款支出决算情况说明</w:t>
      </w:r>
    </w:p>
    <w:p>
      <w:pPr>
        <w:widowControl/>
        <w:shd w:val="clear" w:color="auto" w:fill="FFFFFF"/>
        <w:spacing w:line="560" w:lineRule="atLeast"/>
        <w:ind w:firstLine="643"/>
        <w:rPr>
          <w:rFonts w:ascii="微软雅黑" w:hAnsi="微软雅黑" w:eastAsia="微软雅黑" w:cs="宋体"/>
          <w:color w:val="000000"/>
          <w:kern w:val="0"/>
          <w:szCs w:val="21"/>
        </w:rPr>
      </w:pPr>
      <w:r>
        <w:rPr>
          <w:rFonts w:hint="eastAsia" w:ascii="楷体" w:hAnsi="楷体" w:eastAsia="楷体" w:cs="宋体"/>
          <w:b/>
          <w:bCs/>
          <w:color w:val="000000"/>
          <w:kern w:val="0"/>
          <w:sz w:val="32"/>
          <w:szCs w:val="32"/>
        </w:rPr>
        <w:t>（一）财政拨款支出决算总体情况</w:t>
      </w:r>
    </w:p>
    <w:p>
      <w:pPr>
        <w:widowControl/>
        <w:shd w:val="clear" w:color="auto" w:fill="FFFFFF"/>
        <w:spacing w:line="560" w:lineRule="atLeast"/>
        <w:ind w:firstLine="640"/>
        <w:rPr>
          <w:rFonts w:ascii="宋体" w:hAnsi="宋体" w:cs="仿宋_GB2312"/>
          <w:sz w:val="30"/>
          <w:szCs w:val="30"/>
        </w:rPr>
      </w:pPr>
      <w:r>
        <w:rPr>
          <w:rFonts w:hint="eastAsia" w:ascii="宋体" w:hAnsi="宋体" w:cs="仿宋_GB2312"/>
          <w:sz w:val="30"/>
          <w:szCs w:val="30"/>
        </w:rPr>
        <w:t>2019年度财政拨款支出1271.46万元，占本年支出合计的99.28%，与2018年财政拨款支出1148.73万元相比，增加122.73万元，增长主要是人员增加，人员经费增加；原法制办合并到我局，部分开支由我局负责，故总收入与总支出较上年有所增加。</w:t>
      </w:r>
    </w:p>
    <w:p>
      <w:pPr>
        <w:widowControl/>
        <w:shd w:val="clear" w:color="auto" w:fill="FFFFFF"/>
        <w:spacing w:line="560" w:lineRule="atLeast"/>
        <w:ind w:firstLine="643"/>
        <w:rPr>
          <w:rFonts w:ascii="微软雅黑" w:hAnsi="微软雅黑" w:eastAsia="微软雅黑" w:cs="宋体"/>
          <w:color w:val="000000"/>
          <w:kern w:val="0"/>
          <w:szCs w:val="21"/>
        </w:rPr>
      </w:pPr>
      <w:r>
        <w:rPr>
          <w:rFonts w:hint="eastAsia" w:ascii="楷体" w:hAnsi="楷体" w:eastAsia="楷体" w:cs="宋体"/>
          <w:b/>
          <w:bCs/>
          <w:color w:val="000000"/>
          <w:kern w:val="0"/>
          <w:sz w:val="32"/>
          <w:szCs w:val="32"/>
        </w:rPr>
        <w:t>（二）财政拨款支出决算结构情况</w:t>
      </w:r>
    </w:p>
    <w:p>
      <w:pPr>
        <w:widowControl/>
        <w:spacing w:line="360" w:lineRule="auto"/>
        <w:ind w:firstLine="600" w:firstLineChars="200"/>
        <w:jc w:val="left"/>
        <w:rPr>
          <w:rFonts w:ascii="宋体" w:hAnsi="宋体" w:cs="仿宋_GB2312"/>
          <w:sz w:val="30"/>
          <w:szCs w:val="30"/>
        </w:rPr>
      </w:pPr>
      <w:r>
        <w:rPr>
          <w:rFonts w:hint="eastAsia" w:ascii="宋体" w:hAnsi="宋体" w:cs="仿宋_GB2312"/>
          <w:sz w:val="30"/>
          <w:szCs w:val="30"/>
        </w:rPr>
        <w:t>2019年度财政拨款支出1271.46万元，主要用于以下方面：公共安全支出1112.47万元，占87.5%；社会保障和就业支出94.36万元，占7.42%；卫生健康支出39.01万元，占3.07%;住房保障支出25.62万元，占2.01%。</w:t>
      </w:r>
    </w:p>
    <w:p>
      <w:pPr>
        <w:widowControl/>
        <w:shd w:val="clear" w:color="auto" w:fill="FFFFFF"/>
        <w:spacing w:line="560" w:lineRule="atLeast"/>
        <w:ind w:firstLine="643"/>
        <w:rPr>
          <w:rFonts w:ascii="微软雅黑" w:hAnsi="微软雅黑" w:eastAsia="微软雅黑" w:cs="宋体"/>
          <w:color w:val="000000"/>
          <w:kern w:val="0"/>
          <w:szCs w:val="21"/>
        </w:rPr>
      </w:pPr>
      <w:r>
        <w:rPr>
          <w:rFonts w:hint="eastAsia" w:ascii="黑体" w:hAnsi="黑体" w:eastAsia="黑体" w:cs="宋体"/>
          <w:b/>
          <w:bCs/>
          <w:color w:val="000000"/>
          <w:kern w:val="0"/>
          <w:sz w:val="32"/>
          <w:szCs w:val="32"/>
        </w:rPr>
        <w:t>六、一般公共预算财政拨款基本支出决算情况说明</w:t>
      </w:r>
    </w:p>
    <w:p>
      <w:pPr>
        <w:widowControl/>
        <w:spacing w:line="360" w:lineRule="auto"/>
        <w:ind w:firstLine="600" w:firstLineChars="200"/>
        <w:jc w:val="left"/>
        <w:rPr>
          <w:rFonts w:ascii="宋体" w:hAnsi="宋体" w:cs="仿宋_GB2312"/>
          <w:sz w:val="30"/>
          <w:szCs w:val="30"/>
        </w:rPr>
      </w:pPr>
      <w:r>
        <w:rPr>
          <w:rFonts w:hint="eastAsia" w:ascii="宋体" w:hAnsi="宋体" w:cs="仿宋_GB2312"/>
          <w:sz w:val="30"/>
          <w:szCs w:val="30"/>
        </w:rPr>
        <w:t>2019年度财政拨款基本支出1040.52万元，其中：人员经费865.89万元，占基本支出的83.22%,主要包括基本工资、津贴补贴、奖金、伙食补助费、绩效工资、机关事业单位基本养老保险缴费、职业年金缴费、职工基本医疗保险缴费、其他社会保障缴费、住房公积金、医疗费、其他工资福利支出、对个人和家庭的补助、离休费、退休费、 抚恤金、生活补助、救济费、医疗费补助、其他对个人和家庭的补助等；公用经费174.63万元，占基本支出的16.78%，主要包括办公费、印刷费、水费、电费、邮电费、物业管理费、差旅费、维修（</w:t>
      </w:r>
      <w:r>
        <w:rPr>
          <w:rFonts w:hint="eastAsia" w:ascii="宋体" w:hAnsi="宋体"/>
          <w:color w:val="000000"/>
          <w:sz w:val="28"/>
          <w:szCs w:val="28"/>
          <w:shd w:val="clear" w:color="auto" w:fill="FFFFFF"/>
        </w:rPr>
        <w:t>护）费、租赁</w:t>
      </w:r>
      <w:r>
        <w:rPr>
          <w:rFonts w:hint="eastAsia" w:ascii="宋体" w:hAnsi="宋体" w:cs="仿宋_GB2312"/>
          <w:sz w:val="30"/>
          <w:szCs w:val="30"/>
        </w:rPr>
        <w:t>费、会议费、公务接待费、工会经费、福利费、公务用车运行维护费、其他交通费用、其他商品和服务支出。</w:t>
      </w:r>
    </w:p>
    <w:p>
      <w:pPr>
        <w:widowControl/>
        <w:shd w:val="clear" w:color="auto" w:fill="FFFFFF"/>
        <w:spacing w:line="560" w:lineRule="atLeast"/>
        <w:ind w:firstLine="643"/>
        <w:rPr>
          <w:rFonts w:ascii="微软雅黑" w:hAnsi="微软雅黑" w:eastAsia="微软雅黑" w:cs="宋体"/>
          <w:color w:val="000000"/>
          <w:kern w:val="0"/>
          <w:szCs w:val="21"/>
        </w:rPr>
      </w:pPr>
      <w:r>
        <w:rPr>
          <w:rFonts w:hint="eastAsia" w:ascii="黑体" w:hAnsi="黑体" w:eastAsia="黑体" w:cs="宋体"/>
          <w:b/>
          <w:bCs/>
          <w:color w:val="000000"/>
          <w:kern w:val="0"/>
          <w:sz w:val="32"/>
          <w:szCs w:val="32"/>
        </w:rPr>
        <w:t>七、一般公共预算财政拨款三公经费支出决算情况说明</w:t>
      </w:r>
    </w:p>
    <w:p>
      <w:pPr>
        <w:pStyle w:val="9"/>
        <w:spacing w:line="360" w:lineRule="auto"/>
        <w:rPr>
          <w:rFonts w:ascii="楷体" w:hAnsi="楷体" w:eastAsia="楷体" w:cs="宋体"/>
          <w:b/>
          <w:bCs/>
          <w:sz w:val="32"/>
          <w:szCs w:val="32"/>
        </w:rPr>
      </w:pPr>
      <w:r>
        <w:rPr>
          <w:rFonts w:hint="eastAsia" w:ascii="楷体" w:hAnsi="楷体" w:eastAsia="楷体" w:cs="宋体"/>
          <w:b/>
          <w:bCs/>
          <w:sz w:val="32"/>
          <w:szCs w:val="32"/>
        </w:rPr>
        <w:t>（一）“三公”经费财政拨款支出决算总体情况说明</w:t>
      </w:r>
    </w:p>
    <w:p>
      <w:pPr>
        <w:pStyle w:val="9"/>
        <w:ind w:firstLine="800" w:firstLineChars="250"/>
        <w:rPr>
          <w:rFonts w:asciiTheme="minorEastAsia" w:hAnsiTheme="minorEastAsia" w:eastAsiaTheme="minorEastAsia"/>
          <w:sz w:val="32"/>
          <w:szCs w:val="32"/>
        </w:rPr>
      </w:pP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2019年“三公”经费支出合计10.67万元，比上年都支出减少1.03万元，减少主要原因遵循国家政策厉行节约。</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其中：</w:t>
      </w:r>
      <w:r>
        <w:rPr>
          <w:rFonts w:asciiTheme="minorEastAsia" w:hAnsiTheme="minorEastAsia" w:eastAsiaTheme="minorEastAsia"/>
          <w:sz w:val="32"/>
          <w:szCs w:val="32"/>
        </w:rPr>
        <w:t>因公出国（境）费支出预算为0万元，支出决算为0万元</w:t>
      </w:r>
      <w:r>
        <w:rPr>
          <w:rFonts w:hint="eastAsia" w:asciiTheme="minorEastAsia" w:hAnsiTheme="minorEastAsia" w:eastAsiaTheme="minorEastAsia"/>
          <w:sz w:val="32"/>
          <w:szCs w:val="32"/>
        </w:rPr>
        <w:t>。</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全年购置及运行维护费支出5.67万元，比预算减少2.83万元，降低33.29%。</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公务接待费支出5万元，比预算减少8万元，降低63%。</w:t>
      </w:r>
    </w:p>
    <w:p>
      <w:pPr>
        <w:pStyle w:val="9"/>
        <w:spacing w:line="360" w:lineRule="auto"/>
        <w:rPr>
          <w:rFonts w:ascii="楷体" w:hAnsi="楷体" w:eastAsia="楷体" w:cs="宋体"/>
          <w:b/>
          <w:bCs/>
          <w:sz w:val="32"/>
          <w:szCs w:val="32"/>
        </w:rPr>
      </w:pPr>
      <w:r>
        <w:rPr>
          <w:rFonts w:hint="eastAsia" w:ascii="楷体" w:hAnsi="楷体" w:eastAsia="楷体" w:cs="宋体"/>
          <w:b/>
          <w:bCs/>
          <w:sz w:val="32"/>
          <w:szCs w:val="32"/>
        </w:rPr>
        <w:t>（二）“三公”经费财政拨款支出决算具体情况说明</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2019年“三公”经费支出合计10.67万元，其中：</w:t>
      </w:r>
      <w:r>
        <w:rPr>
          <w:rFonts w:asciiTheme="minorEastAsia" w:hAnsiTheme="minorEastAsia" w:eastAsiaTheme="minorEastAsia"/>
          <w:sz w:val="32"/>
          <w:szCs w:val="32"/>
        </w:rPr>
        <w:t>因公出国（境）费支出预算为0万元，支出决算为0万元。</w:t>
      </w:r>
      <w:r>
        <w:rPr>
          <w:rFonts w:hint="eastAsia" w:asciiTheme="minorEastAsia" w:hAnsiTheme="minorEastAsia" w:eastAsiaTheme="minorEastAsia"/>
          <w:sz w:val="32"/>
          <w:szCs w:val="32"/>
        </w:rPr>
        <w:t>主要原因是没有职工因公出国。</w:t>
      </w:r>
    </w:p>
    <w:p>
      <w:pPr>
        <w:pStyle w:val="3"/>
        <w:spacing w:line="417" w:lineRule="auto"/>
        <w:ind w:left="100" w:right="99" w:firstLine="559"/>
        <w:rPr>
          <w:spacing w:val="-8"/>
        </w:rPr>
      </w:pPr>
      <w:r>
        <w:rPr>
          <w:rFonts w:hint="eastAsia" w:cs="仿宋_GB2312"/>
          <w:sz w:val="30"/>
          <w:szCs w:val="30"/>
        </w:rPr>
        <w:t>公务接待费支出5万元，比预算减少8万元，降低63%。</w:t>
      </w:r>
      <w:r>
        <w:rPr>
          <w:rFonts w:cs="仿宋_GB2312"/>
          <w:sz w:val="30"/>
          <w:szCs w:val="30"/>
        </w:rPr>
        <w:t>全年共接待来访团组</w:t>
      </w:r>
      <w:r>
        <w:rPr>
          <w:rFonts w:hint="eastAsia" w:cs="仿宋_GB2312"/>
          <w:sz w:val="30"/>
          <w:szCs w:val="30"/>
        </w:rPr>
        <w:t>198</w:t>
      </w:r>
      <w:r>
        <w:rPr>
          <w:rFonts w:cs="仿宋_GB2312"/>
          <w:sz w:val="30"/>
          <w:szCs w:val="30"/>
        </w:rPr>
        <w:t>个</w:t>
      </w:r>
      <w:r>
        <w:rPr>
          <w:rFonts w:hint="eastAsia" w:cs="仿宋_GB2312"/>
          <w:sz w:val="30"/>
          <w:szCs w:val="30"/>
        </w:rPr>
        <w:t>，</w:t>
      </w:r>
      <w:r>
        <w:rPr>
          <w:rFonts w:cs="仿宋_GB2312"/>
          <w:sz w:val="30"/>
          <w:szCs w:val="30"/>
        </w:rPr>
        <w:t>全年共接待</w:t>
      </w:r>
      <w:r>
        <w:rPr>
          <w:rFonts w:hint="eastAsia" w:cs="仿宋_GB2312"/>
          <w:sz w:val="30"/>
          <w:szCs w:val="30"/>
        </w:rPr>
        <w:t>802</w:t>
      </w:r>
      <w:r>
        <w:rPr>
          <w:rFonts w:cs="仿宋_GB2312"/>
          <w:sz w:val="30"/>
          <w:szCs w:val="30"/>
        </w:rPr>
        <w:t>人次</w:t>
      </w:r>
      <w:r>
        <w:rPr>
          <w:rFonts w:hint="eastAsia" w:cs="仿宋_GB2312"/>
          <w:sz w:val="30"/>
          <w:szCs w:val="30"/>
        </w:rPr>
        <w:t>。</w:t>
      </w:r>
      <w:r>
        <w:rPr>
          <w:spacing w:val="-8"/>
        </w:rPr>
        <w:t>主要是</w:t>
      </w:r>
      <w:r>
        <w:rPr>
          <w:rFonts w:hint="eastAsia"/>
          <w:spacing w:val="-8"/>
        </w:rPr>
        <w:t>司法局</w:t>
      </w:r>
      <w:r>
        <w:rPr>
          <w:spacing w:val="-8"/>
        </w:rPr>
        <w:t>下属单位办事人员来局</w:t>
      </w:r>
      <w:r>
        <w:rPr>
          <w:rFonts w:hint="eastAsia"/>
          <w:spacing w:val="-8"/>
        </w:rPr>
        <w:t>开会、培训、</w:t>
      </w:r>
      <w:r>
        <w:rPr>
          <w:spacing w:val="-8"/>
        </w:rPr>
        <w:t>办理业务发生的接待支出。</w:t>
      </w:r>
    </w:p>
    <w:p>
      <w:pPr>
        <w:pStyle w:val="9"/>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全年购置及运行维护费支出5.67万元，比预算减少2.83万元，降低33.29%；我局公务用车保有量2辆，均为一般执法执勤用车，没有超编购置。主要用于基层指导、办案。2019年没有购置车辆。</w:t>
      </w:r>
    </w:p>
    <w:p>
      <w:pPr>
        <w:spacing w:line="360" w:lineRule="auto"/>
        <w:ind w:firstLine="600" w:firstLineChars="200"/>
        <w:rPr>
          <w:rFonts w:ascii="宋体" w:hAnsi="宋体" w:cs="仿宋_GB2312"/>
          <w:sz w:val="30"/>
          <w:szCs w:val="30"/>
        </w:rPr>
      </w:pPr>
      <w:r>
        <w:rPr>
          <w:rFonts w:hint="eastAsia" w:ascii="宋体" w:hAnsi="宋体" w:cs="仿宋_GB2312"/>
          <w:sz w:val="30"/>
          <w:szCs w:val="30"/>
        </w:rPr>
        <w:t>三公经费总体支出减少的原因主要是我局较好的落实了上级要求，厉行节约，压缩一般性行政经费，严格三公经费支出的审核把关和规范三公经费支出程序。严格执行中央八项规定，公务接待严禁奢侈浪费，大部分接待都安排在局食堂。</w:t>
      </w:r>
    </w:p>
    <w:p>
      <w:pPr>
        <w:widowControl/>
        <w:shd w:val="clear" w:color="auto" w:fill="FFFFFF"/>
        <w:spacing w:line="560" w:lineRule="atLeast"/>
        <w:ind w:firstLine="643"/>
        <w:rPr>
          <w:rFonts w:ascii="微软雅黑" w:hAnsi="微软雅黑" w:eastAsia="微软雅黑" w:cs="宋体"/>
          <w:color w:val="000000"/>
          <w:kern w:val="0"/>
          <w:szCs w:val="21"/>
        </w:rPr>
      </w:pPr>
      <w:r>
        <w:rPr>
          <w:rFonts w:hint="eastAsia" w:ascii="黑体" w:hAnsi="黑体" w:eastAsia="黑体" w:cs="宋体"/>
          <w:b/>
          <w:bCs/>
          <w:color w:val="000000"/>
          <w:kern w:val="0"/>
          <w:sz w:val="32"/>
          <w:szCs w:val="32"/>
        </w:rPr>
        <w:t>八、政府性基金预算收入支出决算情况</w:t>
      </w:r>
    </w:p>
    <w:p>
      <w:pPr>
        <w:spacing w:line="360" w:lineRule="auto"/>
        <w:ind w:firstLine="600" w:firstLineChars="200"/>
        <w:rPr>
          <w:rFonts w:ascii="宋体" w:hAnsi="宋体" w:cs="仿宋_GB2312"/>
          <w:sz w:val="30"/>
          <w:szCs w:val="30"/>
        </w:rPr>
      </w:pPr>
      <w:r>
        <w:rPr>
          <w:rFonts w:hint="eastAsia" w:ascii="宋体" w:hAnsi="宋体" w:cs="仿宋_GB2312"/>
          <w:sz w:val="30"/>
          <w:szCs w:val="30"/>
        </w:rPr>
        <w:t>本单位无政府性基金收支。</w:t>
      </w:r>
    </w:p>
    <w:p>
      <w:pPr>
        <w:widowControl/>
        <w:shd w:val="clear" w:color="auto" w:fill="FFFFFF"/>
        <w:spacing w:line="560" w:lineRule="atLeast"/>
        <w:ind w:firstLine="643"/>
        <w:rPr>
          <w:rFonts w:ascii="微软雅黑" w:hAnsi="微软雅黑" w:eastAsia="微软雅黑" w:cs="宋体"/>
          <w:color w:val="000000"/>
          <w:kern w:val="0"/>
          <w:szCs w:val="21"/>
        </w:rPr>
      </w:pPr>
      <w:r>
        <w:rPr>
          <w:rFonts w:hint="eastAsia" w:ascii="黑体" w:hAnsi="黑体" w:eastAsia="黑体" w:cs="宋体"/>
          <w:b/>
          <w:bCs/>
          <w:color w:val="000000"/>
          <w:kern w:val="0"/>
          <w:sz w:val="32"/>
          <w:szCs w:val="32"/>
        </w:rPr>
        <w:t>九、关于2019年度预算绩效情况说明</w:t>
      </w:r>
    </w:p>
    <w:p>
      <w:pPr>
        <w:spacing w:line="360" w:lineRule="auto"/>
        <w:ind w:firstLine="600" w:firstLineChars="200"/>
        <w:rPr>
          <w:rFonts w:ascii="宋体" w:hAnsi="宋体" w:cs="仿宋_GB2312"/>
          <w:sz w:val="30"/>
          <w:szCs w:val="30"/>
        </w:rPr>
      </w:pPr>
      <w:r>
        <w:rPr>
          <w:rFonts w:hint="eastAsia" w:ascii="宋体" w:hAnsi="宋体" w:cs="仿宋_GB2312"/>
          <w:sz w:val="30"/>
          <w:szCs w:val="30"/>
        </w:rPr>
        <w:t>本部门预算绩效管理开展情况、绩</w:t>
      </w:r>
      <w:bookmarkStart w:id="0" w:name="_GoBack"/>
      <w:bookmarkEnd w:id="0"/>
      <w:r>
        <w:rPr>
          <w:rFonts w:hint="eastAsia" w:ascii="宋体" w:hAnsi="宋体" w:cs="仿宋_GB2312"/>
          <w:sz w:val="30"/>
          <w:szCs w:val="30"/>
        </w:rPr>
        <w:t>效目标和绩效评价报告等按照财政绩效部门要求已公开。</w:t>
      </w:r>
    </w:p>
    <w:p>
      <w:pPr>
        <w:spacing w:line="360" w:lineRule="auto"/>
        <w:ind w:firstLine="600" w:firstLineChars="200"/>
        <w:rPr>
          <w:rFonts w:ascii="宋体" w:hAnsi="宋体" w:cs="仿宋_GB2312"/>
          <w:sz w:val="30"/>
          <w:szCs w:val="30"/>
        </w:rPr>
      </w:pPr>
      <w:r>
        <w:rPr>
          <w:rFonts w:hint="eastAsia" w:ascii="宋体" w:hAnsi="宋体" w:cs="仿宋_GB2312"/>
          <w:sz w:val="30"/>
          <w:szCs w:val="30"/>
        </w:rPr>
        <w:t>2019年，县司法局加强对财政资金的预算绩效管理工作，进一步完善资金管理制度，规范资金分配拨付使用程序，实时跟进财政资金的支出进度，对照年度绩效指标督促开展各项工作，较好的完成了年度工作目标。通过规范预算支出管理，不断完善内部管理制度，理顺内部业务管理流程，部门整体支出管理情况得到有效提升。</w:t>
      </w:r>
    </w:p>
    <w:p>
      <w:pPr>
        <w:widowControl/>
        <w:shd w:val="clear" w:color="auto" w:fill="FFFFFF"/>
        <w:spacing w:line="560" w:lineRule="atLeast"/>
        <w:ind w:firstLine="643"/>
        <w:rPr>
          <w:rFonts w:ascii="微软雅黑" w:hAnsi="微软雅黑" w:eastAsia="微软雅黑" w:cs="宋体"/>
          <w:color w:val="000000"/>
          <w:kern w:val="0"/>
          <w:szCs w:val="21"/>
        </w:rPr>
      </w:pPr>
      <w:r>
        <w:rPr>
          <w:rFonts w:hint="eastAsia" w:ascii="黑体" w:hAnsi="黑体" w:eastAsia="黑体" w:cs="宋体"/>
          <w:b/>
          <w:bCs/>
          <w:color w:val="000000"/>
          <w:kern w:val="0"/>
          <w:sz w:val="32"/>
          <w:szCs w:val="32"/>
        </w:rPr>
        <w:t>十、其他重要事项情况说明</w:t>
      </w:r>
    </w:p>
    <w:p>
      <w:pPr>
        <w:widowControl/>
        <w:shd w:val="clear" w:color="auto" w:fill="FFFFFF"/>
        <w:spacing w:line="560" w:lineRule="atLeast"/>
        <w:ind w:firstLine="482"/>
        <w:rPr>
          <w:rFonts w:ascii="微软雅黑" w:hAnsi="微软雅黑" w:eastAsia="微软雅黑" w:cs="宋体"/>
          <w:color w:val="000000"/>
          <w:kern w:val="0"/>
          <w:szCs w:val="21"/>
        </w:rPr>
      </w:pPr>
      <w:r>
        <w:rPr>
          <w:rFonts w:hint="eastAsia" w:ascii="楷体" w:hAnsi="楷体" w:eastAsia="楷体" w:cs="宋体"/>
          <w:b/>
          <w:bCs/>
          <w:color w:val="000000"/>
          <w:kern w:val="0"/>
          <w:sz w:val="32"/>
          <w:szCs w:val="32"/>
        </w:rPr>
        <w:t>（一）机关运行经费支出情况</w:t>
      </w:r>
    </w:p>
    <w:p>
      <w:pPr>
        <w:spacing w:line="360" w:lineRule="auto"/>
        <w:ind w:firstLine="600" w:firstLineChars="200"/>
        <w:rPr>
          <w:rFonts w:ascii="宋体" w:hAnsi="宋体" w:cs="仿宋_GB2312"/>
          <w:sz w:val="30"/>
          <w:szCs w:val="30"/>
        </w:rPr>
      </w:pPr>
      <w:r>
        <w:rPr>
          <w:rFonts w:hint="eastAsia" w:ascii="宋体" w:hAnsi="宋体" w:cs="仿宋_GB2312"/>
          <w:sz w:val="30"/>
          <w:szCs w:val="30"/>
        </w:rPr>
        <w:t>本部门2019 年度机关运行经费支出174.63万元，比年初预算数171.6万元.实际支出比预算增加3.03万。主要原因是2019年度单位新招录公务员5名，原法制办7人合并到我局，办公支出随之增加，故机关运行经费支出和预算相比有所增加。</w:t>
      </w:r>
    </w:p>
    <w:p>
      <w:pPr>
        <w:widowControl/>
        <w:shd w:val="clear" w:color="auto" w:fill="FFFFFF"/>
        <w:spacing w:line="560" w:lineRule="atLeast"/>
        <w:ind w:firstLine="643"/>
        <w:rPr>
          <w:rFonts w:hint="eastAsia" w:ascii="楷体" w:hAnsi="楷体" w:eastAsia="楷体" w:cs="宋体"/>
          <w:b/>
          <w:bCs/>
          <w:color w:val="000000"/>
          <w:kern w:val="0"/>
          <w:sz w:val="32"/>
          <w:szCs w:val="32"/>
        </w:rPr>
      </w:pPr>
      <w:r>
        <w:rPr>
          <w:rFonts w:hint="eastAsia" w:ascii="楷体" w:hAnsi="楷体" w:eastAsia="楷体" w:cs="宋体"/>
          <w:b/>
          <w:bCs/>
          <w:color w:val="000000"/>
          <w:kern w:val="0"/>
          <w:sz w:val="32"/>
          <w:szCs w:val="32"/>
          <w:lang w:eastAsia="zh-CN"/>
        </w:rPr>
        <w:t>（</w:t>
      </w:r>
      <w:r>
        <w:rPr>
          <w:rFonts w:hint="eastAsia" w:ascii="楷体" w:hAnsi="楷体" w:eastAsia="楷体" w:cs="宋体"/>
          <w:b/>
          <w:bCs/>
          <w:color w:val="000000"/>
          <w:kern w:val="0"/>
          <w:sz w:val="32"/>
          <w:szCs w:val="32"/>
        </w:rPr>
        <w:t>二）一般性支出情况</w:t>
      </w:r>
    </w:p>
    <w:p>
      <w:pPr>
        <w:widowControl/>
        <w:shd w:val="clear" w:color="auto" w:fill="FFFFFF"/>
        <w:spacing w:line="560" w:lineRule="atLeast"/>
        <w:ind w:firstLine="643"/>
        <w:rPr>
          <w:rFonts w:hint="eastAsia" w:ascii="楷体" w:hAnsi="楷体" w:eastAsia="楷体" w:cs="宋体"/>
          <w:b/>
          <w:bCs/>
          <w:color w:val="000000"/>
          <w:kern w:val="0"/>
          <w:sz w:val="32"/>
          <w:szCs w:val="32"/>
        </w:rPr>
      </w:pPr>
      <w:r>
        <w:rPr>
          <w:rFonts w:hint="eastAsia" w:ascii="宋体" w:hAnsi="宋体" w:cs="仿宋_GB2312"/>
          <w:sz w:val="30"/>
          <w:szCs w:val="30"/>
        </w:rPr>
        <w:t>2019年本部门发生人员经费865</w:t>
      </w:r>
      <w:r>
        <w:rPr>
          <w:rFonts w:hint="eastAsia" w:ascii="宋体" w:hAnsi="宋体" w:cs="仿宋_GB2312"/>
          <w:sz w:val="30"/>
          <w:szCs w:val="30"/>
          <w:lang w:val="en-US" w:eastAsia="zh-CN"/>
        </w:rPr>
        <w:t>.</w:t>
      </w:r>
      <w:r>
        <w:rPr>
          <w:rFonts w:hint="eastAsia" w:ascii="宋体" w:hAnsi="宋体" w:cs="仿宋_GB2312"/>
          <w:sz w:val="30"/>
          <w:szCs w:val="30"/>
        </w:rPr>
        <w:t>88万元，发生商品和服务支出</w:t>
      </w:r>
      <w:r>
        <w:rPr>
          <w:rFonts w:hint="eastAsia" w:ascii="宋体" w:hAnsi="宋体" w:cs="仿宋_GB2312"/>
          <w:sz w:val="30"/>
          <w:szCs w:val="30"/>
          <w:lang w:val="en-US" w:eastAsia="zh-CN"/>
        </w:rPr>
        <w:t>174.63</w:t>
      </w:r>
      <w:r>
        <w:rPr>
          <w:rFonts w:hint="eastAsia" w:ascii="宋体" w:hAnsi="宋体" w:cs="仿宋_GB2312"/>
          <w:sz w:val="30"/>
          <w:szCs w:val="30"/>
        </w:rPr>
        <w:t>万元。其中大部分经费用于日常人员经费开支，由于单位严控支出，其它支出金额较少。</w:t>
      </w:r>
    </w:p>
    <w:p>
      <w:pPr>
        <w:widowControl/>
        <w:shd w:val="clear" w:color="auto" w:fill="FFFFFF"/>
        <w:spacing w:line="560" w:lineRule="atLeast"/>
        <w:ind w:firstLine="643"/>
        <w:rPr>
          <w:rFonts w:ascii="微软雅黑" w:hAnsi="微软雅黑" w:eastAsia="微软雅黑" w:cs="宋体"/>
          <w:color w:val="000000"/>
          <w:kern w:val="0"/>
          <w:szCs w:val="21"/>
        </w:rPr>
      </w:pPr>
      <w:r>
        <w:rPr>
          <w:rFonts w:hint="eastAsia" w:ascii="楷体" w:hAnsi="楷体" w:eastAsia="楷体" w:cs="宋体"/>
          <w:b/>
          <w:bCs/>
          <w:color w:val="000000"/>
          <w:kern w:val="0"/>
          <w:sz w:val="32"/>
          <w:szCs w:val="32"/>
        </w:rPr>
        <w:t>（</w:t>
      </w:r>
      <w:r>
        <w:rPr>
          <w:rFonts w:hint="eastAsia" w:ascii="楷体" w:hAnsi="楷体" w:eastAsia="楷体" w:cs="宋体"/>
          <w:b/>
          <w:bCs/>
          <w:color w:val="000000"/>
          <w:kern w:val="0"/>
          <w:sz w:val="32"/>
          <w:szCs w:val="32"/>
          <w:lang w:val="en-US" w:eastAsia="zh-CN"/>
        </w:rPr>
        <w:t>三</w:t>
      </w:r>
      <w:r>
        <w:rPr>
          <w:rFonts w:hint="eastAsia" w:ascii="楷体" w:hAnsi="楷体" w:eastAsia="楷体" w:cs="宋体"/>
          <w:b/>
          <w:bCs/>
          <w:color w:val="000000"/>
          <w:kern w:val="0"/>
          <w:sz w:val="32"/>
          <w:szCs w:val="32"/>
        </w:rPr>
        <w:t>）政府采购支出情况</w:t>
      </w:r>
    </w:p>
    <w:p>
      <w:pPr>
        <w:spacing w:line="360" w:lineRule="auto"/>
        <w:ind w:firstLine="600" w:firstLineChars="200"/>
        <w:rPr>
          <w:rFonts w:ascii="宋体" w:hAnsi="宋体" w:cs="仿宋_GB2312"/>
          <w:sz w:val="30"/>
          <w:szCs w:val="30"/>
        </w:rPr>
      </w:pPr>
      <w:r>
        <w:rPr>
          <w:rFonts w:hint="eastAsia" w:ascii="宋体" w:hAnsi="宋体" w:cs="仿宋_GB2312"/>
          <w:sz w:val="30"/>
          <w:szCs w:val="30"/>
        </w:rPr>
        <w:t>本部门2019年度政府采购支出总额65.4万元，其中：政府采购货物支出65.4万元。</w:t>
      </w:r>
    </w:p>
    <w:p>
      <w:pPr>
        <w:widowControl/>
        <w:shd w:val="clear" w:color="auto" w:fill="FFFFFF"/>
        <w:spacing w:line="560" w:lineRule="atLeast"/>
        <w:ind w:firstLine="482"/>
        <w:rPr>
          <w:rFonts w:ascii="楷体" w:hAnsi="楷体" w:eastAsia="楷体" w:cs="宋体"/>
          <w:b/>
          <w:bCs/>
          <w:color w:val="000000"/>
          <w:kern w:val="0"/>
          <w:sz w:val="32"/>
          <w:szCs w:val="32"/>
        </w:rPr>
      </w:pPr>
      <w:r>
        <w:rPr>
          <w:rFonts w:hint="eastAsia" w:ascii="楷体" w:hAnsi="楷体" w:eastAsia="楷体" w:cs="宋体"/>
          <w:b/>
          <w:bCs/>
          <w:color w:val="000000"/>
          <w:kern w:val="0"/>
          <w:sz w:val="32"/>
          <w:szCs w:val="32"/>
        </w:rPr>
        <w:t>（</w:t>
      </w:r>
      <w:r>
        <w:rPr>
          <w:rFonts w:hint="eastAsia" w:ascii="楷体" w:hAnsi="楷体" w:eastAsia="楷体" w:cs="宋体"/>
          <w:b/>
          <w:bCs/>
          <w:color w:val="000000"/>
          <w:kern w:val="0"/>
          <w:sz w:val="32"/>
          <w:szCs w:val="32"/>
          <w:lang w:val="en-US" w:eastAsia="zh-CN"/>
        </w:rPr>
        <w:t>四</w:t>
      </w:r>
      <w:r>
        <w:rPr>
          <w:rFonts w:hint="eastAsia" w:ascii="楷体" w:hAnsi="楷体" w:eastAsia="楷体" w:cs="宋体"/>
          <w:b/>
          <w:bCs/>
          <w:color w:val="000000"/>
          <w:kern w:val="0"/>
          <w:sz w:val="32"/>
          <w:szCs w:val="32"/>
        </w:rPr>
        <w:t>）国有资产占用情况</w:t>
      </w:r>
    </w:p>
    <w:p>
      <w:pPr>
        <w:spacing w:line="360" w:lineRule="auto"/>
        <w:ind w:firstLine="600" w:firstLineChars="200"/>
        <w:rPr>
          <w:rFonts w:ascii="宋体" w:hAnsi="宋体" w:cs="仿宋_GB2312"/>
          <w:sz w:val="30"/>
          <w:szCs w:val="30"/>
        </w:rPr>
      </w:pPr>
      <w:r>
        <w:rPr>
          <w:rFonts w:hint="eastAsia" w:ascii="宋体" w:hAnsi="宋体" w:cs="仿宋_GB2312"/>
          <w:sz w:val="30"/>
          <w:szCs w:val="30"/>
        </w:rPr>
        <w:t>截至2019年12月底，共有车辆2辆，均为一般执法执勤用车。特种专业技术用车0辆。单位价值50万元以上通用设备0台（套）；单位价值100万元以上专用设备0台（套）。</w:t>
      </w:r>
    </w:p>
    <w:p>
      <w:pPr>
        <w:spacing w:line="360" w:lineRule="auto"/>
        <w:ind w:firstLine="640" w:firstLineChars="200"/>
        <w:rPr>
          <w:rFonts w:ascii="黑体" w:hAnsi="黑体" w:eastAsia="黑体" w:cs="宋体"/>
          <w:color w:val="000000"/>
          <w:kern w:val="0"/>
          <w:sz w:val="32"/>
          <w:szCs w:val="32"/>
        </w:rPr>
      </w:pPr>
      <w:r>
        <w:rPr>
          <w:rFonts w:hint="eastAsia" w:ascii="黑体" w:hAnsi="黑体" w:eastAsia="黑体" w:cs="宋体"/>
          <w:color w:val="000000"/>
          <w:kern w:val="0"/>
          <w:sz w:val="32"/>
          <w:szCs w:val="32"/>
        </w:rPr>
        <w:t>第四部分  名称解释</w:t>
      </w:r>
      <w:r>
        <w:rPr>
          <w:rFonts w:hint="eastAsia" w:ascii="黑体" w:hAnsi="微软雅黑" w:eastAsia="黑体" w:cs="宋体"/>
          <w:color w:val="000000"/>
          <w:kern w:val="0"/>
          <w:sz w:val="32"/>
          <w:szCs w:val="32"/>
        </w:rPr>
        <w:t> </w:t>
      </w:r>
    </w:p>
    <w:p>
      <w:pPr>
        <w:spacing w:line="360" w:lineRule="auto"/>
        <w:ind w:firstLine="600" w:firstLineChars="200"/>
        <w:rPr>
          <w:rFonts w:ascii="宋体" w:hAnsi="宋体" w:cs="仿宋_GB2312"/>
          <w:sz w:val="30"/>
          <w:szCs w:val="30"/>
        </w:rPr>
      </w:pPr>
      <w:r>
        <w:rPr>
          <w:rFonts w:hint="eastAsia" w:ascii="宋体" w:hAnsi="宋体" w:cs="仿宋_GB2312"/>
          <w:sz w:val="30"/>
          <w:szCs w:val="30"/>
        </w:rPr>
        <w:t>（一）、财政拨款收入：指财政部门核拨给单位的财政预算资金。 </w:t>
      </w:r>
    </w:p>
    <w:p>
      <w:pPr>
        <w:spacing w:line="360" w:lineRule="auto"/>
        <w:ind w:firstLine="600" w:firstLineChars="200"/>
        <w:rPr>
          <w:rFonts w:ascii="宋体" w:hAnsi="宋体" w:cs="仿宋_GB2312"/>
          <w:sz w:val="30"/>
          <w:szCs w:val="30"/>
        </w:rPr>
      </w:pPr>
      <w:r>
        <w:rPr>
          <w:rFonts w:hint="eastAsia" w:ascii="宋体" w:hAnsi="宋体" w:cs="仿宋_GB2312"/>
          <w:sz w:val="30"/>
          <w:szCs w:val="30"/>
        </w:rPr>
        <w:t>（二）、事业收入：指事业单位开展专业业务活动及辅助活动所取得的收入。 </w:t>
      </w:r>
    </w:p>
    <w:p>
      <w:pPr>
        <w:spacing w:line="360" w:lineRule="auto"/>
        <w:ind w:firstLine="600" w:firstLineChars="200"/>
        <w:rPr>
          <w:rFonts w:ascii="宋体" w:hAnsi="宋体" w:cs="仿宋_GB2312"/>
          <w:sz w:val="30"/>
          <w:szCs w:val="30"/>
        </w:rPr>
      </w:pPr>
      <w:r>
        <w:rPr>
          <w:rFonts w:hint="eastAsia" w:ascii="宋体" w:hAnsi="宋体" w:cs="仿宋_GB2312"/>
          <w:sz w:val="30"/>
          <w:szCs w:val="30"/>
        </w:rPr>
        <w:t>（三）、附属单位上缴收入：指事业单位附属独立核算单位按有关规定上缴的收入。 </w:t>
      </w:r>
    </w:p>
    <w:p>
      <w:pPr>
        <w:spacing w:line="360" w:lineRule="auto"/>
        <w:ind w:firstLine="600" w:firstLineChars="200"/>
        <w:rPr>
          <w:rFonts w:ascii="宋体" w:hAnsi="宋体" w:cs="仿宋_GB2312"/>
          <w:sz w:val="30"/>
          <w:szCs w:val="30"/>
        </w:rPr>
      </w:pPr>
      <w:r>
        <w:rPr>
          <w:rFonts w:hint="eastAsia" w:ascii="宋体" w:hAnsi="宋体" w:cs="仿宋_GB2312"/>
          <w:sz w:val="30"/>
          <w:szCs w:val="30"/>
        </w:rPr>
        <w:t>（四）、其他收入：指单位取得的除上述“财政拨款收入”、“事业收入”、“附属单位上缴收入”等以外的收入。 </w:t>
      </w:r>
    </w:p>
    <w:p>
      <w:pPr>
        <w:spacing w:line="360" w:lineRule="auto"/>
        <w:ind w:firstLine="600" w:firstLineChars="200"/>
        <w:rPr>
          <w:rFonts w:ascii="宋体" w:hAnsi="宋体" w:cs="仿宋_GB2312"/>
          <w:sz w:val="30"/>
          <w:szCs w:val="30"/>
        </w:rPr>
      </w:pPr>
      <w:r>
        <w:rPr>
          <w:rFonts w:hint="eastAsia" w:ascii="宋体" w:hAnsi="宋体" w:cs="仿宋_GB2312"/>
          <w:sz w:val="30"/>
          <w:szCs w:val="30"/>
        </w:rPr>
        <w:t>（五）、年初结转和结余：指以前年度尚未完成、结转到本年仍按有关规定继续使用的资金。 </w:t>
      </w:r>
    </w:p>
    <w:p>
      <w:pPr>
        <w:spacing w:line="360" w:lineRule="auto"/>
        <w:ind w:firstLine="600" w:firstLineChars="200"/>
        <w:rPr>
          <w:rFonts w:ascii="宋体" w:hAnsi="宋体" w:cs="仿宋_GB2312"/>
          <w:sz w:val="30"/>
          <w:szCs w:val="30"/>
        </w:rPr>
      </w:pPr>
      <w:r>
        <w:rPr>
          <w:rFonts w:hint="eastAsia" w:ascii="宋体" w:hAnsi="宋体" w:cs="仿宋_GB2312"/>
          <w:sz w:val="30"/>
          <w:szCs w:val="30"/>
        </w:rPr>
        <w:t>（六）、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 </w:t>
      </w:r>
    </w:p>
    <w:p>
      <w:pPr>
        <w:spacing w:line="360" w:lineRule="auto"/>
        <w:ind w:firstLine="450" w:firstLineChars="150"/>
        <w:rPr>
          <w:rFonts w:ascii="宋体" w:hAnsi="宋体" w:cs="仿宋_GB2312"/>
          <w:sz w:val="30"/>
          <w:szCs w:val="30"/>
        </w:rPr>
      </w:pPr>
      <w:r>
        <w:rPr>
          <w:rFonts w:hint="eastAsia" w:ascii="宋体" w:hAnsi="宋体" w:cs="仿宋_GB2312"/>
          <w:sz w:val="30"/>
          <w:szCs w:val="30"/>
        </w:rPr>
        <w:t>（七）、结余分配：指事业单位按规定提取的职工福利基金、事业基金和缴纳的所得税，以及建设单位按规定应交回的基本建设竣工项目结余资金。 </w:t>
      </w:r>
    </w:p>
    <w:p>
      <w:pPr>
        <w:widowControl/>
        <w:shd w:val="clear" w:color="auto" w:fill="FFFFFF"/>
        <w:spacing w:line="560" w:lineRule="atLeast"/>
        <w:ind w:firstLine="643"/>
        <w:rPr>
          <w:rFonts w:ascii="微软雅黑" w:hAnsi="微软雅黑" w:eastAsia="微软雅黑" w:cs="宋体"/>
          <w:color w:val="000000"/>
          <w:kern w:val="0"/>
          <w:szCs w:val="21"/>
        </w:rPr>
      </w:pPr>
      <w:r>
        <w:rPr>
          <w:rFonts w:hint="eastAsia" w:ascii="黑体" w:hAnsi="黑体" w:eastAsia="黑体" w:cs="宋体"/>
          <w:color w:val="000000"/>
          <w:kern w:val="0"/>
          <w:sz w:val="32"/>
          <w:szCs w:val="32"/>
        </w:rPr>
        <w:t>第五部分 附件</w:t>
      </w:r>
    </w:p>
    <w:p>
      <w:pPr>
        <w:ind w:firstLine="584" w:firstLineChars="200"/>
        <w:jc w:val="center"/>
        <w:rPr>
          <w:rFonts w:ascii="黑体" w:hAnsi="黑体" w:eastAsia="黑体" w:cs="宋体"/>
          <w:spacing w:val="-4"/>
          <w:sz w:val="30"/>
          <w:szCs w:val="30"/>
        </w:rPr>
      </w:pPr>
      <w:r>
        <w:rPr>
          <w:rFonts w:hint="eastAsia" w:ascii="黑体" w:hAnsi="黑体" w:eastAsia="黑体" w:cs="宋体"/>
          <w:spacing w:val="-4"/>
          <w:sz w:val="30"/>
          <w:szCs w:val="30"/>
        </w:rPr>
        <w:t>衡南县司法局整体支出绩效评价报告</w:t>
      </w:r>
    </w:p>
    <w:p>
      <w:pPr>
        <w:ind w:firstLine="544" w:firstLineChars="200"/>
        <w:rPr>
          <w:rFonts w:ascii="宋体" w:hAnsi="宋体" w:cs="仿宋_GB2312"/>
          <w:sz w:val="30"/>
          <w:szCs w:val="30"/>
        </w:rPr>
      </w:pPr>
      <w:r>
        <w:rPr>
          <w:rFonts w:hint="eastAsia" w:ascii="宋体" w:hAnsi="宋体" w:cs="宋体"/>
          <w:spacing w:val="-4"/>
          <w:sz w:val="28"/>
          <w:szCs w:val="28"/>
        </w:rPr>
        <w:t xml:space="preserve">  </w:t>
      </w:r>
      <w:r>
        <w:rPr>
          <w:rFonts w:hint="eastAsia" w:ascii="宋体" w:hAnsi="宋体" w:cs="仿宋_GB2312"/>
          <w:sz w:val="30"/>
          <w:szCs w:val="30"/>
        </w:rPr>
        <w:t xml:space="preserve">为加强财政预算资金管理，进一步规范预算资金使用，提高财政资金使用效益，根据《衡南县财政局关于开展2019年度县级财政资金绩效自评工作的通知》要求，我局积极组织，对2019年度本单位整体支出进行了绩效自评，现将具体绩效评价情况报告如下：     </w:t>
      </w:r>
    </w:p>
    <w:p>
      <w:pPr>
        <w:ind w:firstLine="600" w:firstLineChars="200"/>
        <w:rPr>
          <w:rFonts w:ascii="宋体" w:hAnsi="宋体" w:cs="仿宋_GB2312"/>
          <w:sz w:val="30"/>
          <w:szCs w:val="30"/>
        </w:rPr>
      </w:pPr>
      <w:r>
        <w:rPr>
          <w:rFonts w:hint="eastAsia" w:ascii="宋体" w:hAnsi="宋体" w:cs="仿宋_GB2312"/>
          <w:sz w:val="30"/>
          <w:szCs w:val="30"/>
        </w:rPr>
        <w:t>一、基本概况</w:t>
      </w:r>
    </w:p>
    <w:p>
      <w:pPr>
        <w:ind w:firstLine="600" w:firstLineChars="200"/>
        <w:rPr>
          <w:rFonts w:ascii="宋体" w:hAnsi="宋体" w:cs="仿宋_GB2312"/>
          <w:sz w:val="30"/>
          <w:szCs w:val="30"/>
        </w:rPr>
      </w:pPr>
      <w:r>
        <w:rPr>
          <w:rFonts w:hint="eastAsia" w:ascii="宋体" w:hAnsi="宋体" w:cs="仿宋_GB2312"/>
          <w:sz w:val="30"/>
          <w:szCs w:val="30"/>
        </w:rPr>
        <w:t>县司法局是主管全县司法行政工作的政府组成部门。预算机构包括局本级和下属二级机构社区矫正中心、法律援助中心和乡镇司法所。我局为财政预算全额拨款行政单位，财务核算适用行政单位会计制度。</w:t>
      </w:r>
    </w:p>
    <w:p>
      <w:pPr>
        <w:ind w:firstLine="600" w:firstLineChars="200"/>
        <w:rPr>
          <w:rFonts w:ascii="宋体" w:hAnsi="宋体" w:cs="仿宋_GB2312"/>
          <w:sz w:val="30"/>
          <w:szCs w:val="30"/>
        </w:rPr>
      </w:pPr>
      <w:r>
        <w:rPr>
          <w:rFonts w:hint="eastAsia" w:ascii="宋体" w:hAnsi="宋体" w:cs="仿宋_GB2312"/>
          <w:sz w:val="30"/>
          <w:szCs w:val="30"/>
        </w:rPr>
        <w:t>（一）机构设置情况</w:t>
      </w:r>
    </w:p>
    <w:p>
      <w:pPr>
        <w:ind w:firstLine="600" w:firstLineChars="200"/>
        <w:rPr>
          <w:rFonts w:ascii="宋体" w:hAnsi="宋体" w:cs="仿宋_GB2312"/>
          <w:sz w:val="30"/>
          <w:szCs w:val="30"/>
        </w:rPr>
      </w:pPr>
      <w:r>
        <w:rPr>
          <w:rFonts w:hint="eastAsia" w:ascii="宋体" w:hAnsi="宋体" w:cs="仿宋_GB2312"/>
          <w:sz w:val="30"/>
          <w:szCs w:val="30"/>
        </w:rPr>
        <w:t>县司法局内设办公室、政工室、法治研究督查室，行政复议与应诉股，行政执法协调监督股，规范性文件管理股，法律事务股，合同审查管理股，普法与依法治理股，基层法治建设股，公共法律服务管理股，装备财务保障股，行政审批股。</w:t>
      </w:r>
    </w:p>
    <w:p>
      <w:pPr>
        <w:ind w:firstLine="600" w:firstLineChars="200"/>
        <w:rPr>
          <w:rFonts w:ascii="宋体" w:hAnsi="宋体" w:cs="仿宋_GB2312"/>
          <w:sz w:val="30"/>
          <w:szCs w:val="30"/>
        </w:rPr>
      </w:pPr>
      <w:r>
        <w:rPr>
          <w:rFonts w:hint="eastAsia" w:ascii="宋体" w:hAnsi="宋体" w:cs="仿宋_GB2312"/>
          <w:sz w:val="30"/>
          <w:szCs w:val="30"/>
        </w:rPr>
        <w:t>社区矫正工作局、法律援助中心、县公证处为下属二级机构。乡镇设司法所为司法局派出机构。</w:t>
      </w:r>
    </w:p>
    <w:p>
      <w:pPr>
        <w:ind w:firstLine="600" w:firstLineChars="200"/>
        <w:rPr>
          <w:rFonts w:ascii="宋体" w:hAnsi="宋体" w:cs="仿宋_GB2312"/>
          <w:sz w:val="30"/>
          <w:szCs w:val="30"/>
        </w:rPr>
      </w:pPr>
      <w:r>
        <w:rPr>
          <w:rFonts w:hint="eastAsia" w:ascii="宋体" w:hAnsi="宋体" w:cs="仿宋_GB2312"/>
          <w:sz w:val="30"/>
          <w:szCs w:val="30"/>
        </w:rPr>
        <w:t>（二）主要工作职责</w:t>
      </w:r>
    </w:p>
    <w:p>
      <w:pPr>
        <w:ind w:firstLine="600" w:firstLineChars="200"/>
        <w:rPr>
          <w:rFonts w:ascii="宋体" w:hAnsi="宋体" w:cs="仿宋_GB2312"/>
          <w:sz w:val="30"/>
          <w:szCs w:val="30"/>
        </w:rPr>
      </w:pPr>
      <w:r>
        <w:rPr>
          <w:rFonts w:hint="eastAsia" w:ascii="宋体" w:hAnsi="宋体" w:cs="仿宋_GB2312"/>
          <w:sz w:val="30"/>
          <w:szCs w:val="30"/>
        </w:rPr>
        <w:t>（1）贯彻执行国家有关司法行政工作的方针、政策、法规，编制全县司法行政工作发展规划和年度计划并监督实施。</w:t>
      </w:r>
    </w:p>
    <w:p>
      <w:pPr>
        <w:ind w:firstLine="600" w:firstLineChars="200"/>
        <w:rPr>
          <w:rFonts w:ascii="宋体" w:hAnsi="宋体" w:cs="仿宋_GB2312"/>
          <w:sz w:val="30"/>
          <w:szCs w:val="30"/>
        </w:rPr>
      </w:pPr>
      <w:r>
        <w:rPr>
          <w:rFonts w:hint="eastAsia" w:ascii="宋体" w:hAnsi="宋体" w:cs="仿宋_GB2312"/>
          <w:sz w:val="30"/>
          <w:szCs w:val="30"/>
        </w:rPr>
        <w:t>（2）制定全县法制宣传教育计划并组织实施；指导和管理各乡镇、各行业的普法、依法治理工作；负责全县普法教材的编写和发放；负责全县干部、职工、专业技术人员、农民的法律培训工作；参与法治新闻工作。</w:t>
      </w:r>
    </w:p>
    <w:p>
      <w:pPr>
        <w:ind w:firstLine="600" w:firstLineChars="200"/>
        <w:rPr>
          <w:rFonts w:ascii="宋体" w:hAnsi="宋体" w:cs="仿宋_GB2312"/>
          <w:sz w:val="30"/>
          <w:szCs w:val="30"/>
        </w:rPr>
      </w:pPr>
      <w:r>
        <w:rPr>
          <w:rFonts w:hint="eastAsia" w:ascii="宋体" w:hAnsi="宋体" w:cs="仿宋_GB2312"/>
          <w:sz w:val="30"/>
          <w:szCs w:val="30"/>
        </w:rPr>
        <w:t>（3）指导和管理全县人民调解、基层司法和基层法律服务工作；参与社会治安综合治理。</w:t>
      </w:r>
    </w:p>
    <w:p>
      <w:pPr>
        <w:ind w:firstLine="600" w:firstLineChars="200"/>
        <w:rPr>
          <w:rFonts w:ascii="宋体" w:hAnsi="宋体" w:cs="仿宋_GB2312"/>
          <w:sz w:val="30"/>
          <w:szCs w:val="30"/>
        </w:rPr>
      </w:pPr>
      <w:r>
        <w:rPr>
          <w:rFonts w:hint="eastAsia" w:ascii="宋体" w:hAnsi="宋体" w:cs="仿宋_GB2312"/>
          <w:sz w:val="30"/>
          <w:szCs w:val="30"/>
        </w:rPr>
        <w:t>（4）监督管理全县法律援助工作。</w:t>
      </w:r>
    </w:p>
    <w:p>
      <w:pPr>
        <w:ind w:firstLine="600" w:firstLineChars="200"/>
        <w:rPr>
          <w:rFonts w:ascii="宋体" w:hAnsi="宋体" w:cs="仿宋_GB2312"/>
          <w:sz w:val="30"/>
          <w:szCs w:val="30"/>
        </w:rPr>
      </w:pPr>
      <w:r>
        <w:rPr>
          <w:rFonts w:hint="eastAsia" w:ascii="宋体" w:hAnsi="宋体" w:cs="仿宋_GB2312"/>
          <w:sz w:val="30"/>
          <w:szCs w:val="30"/>
        </w:rPr>
        <w:t>（5）指导管理全县面向社会服务的司法鉴定工作。</w:t>
      </w:r>
    </w:p>
    <w:p>
      <w:pPr>
        <w:ind w:firstLine="600" w:firstLineChars="200"/>
        <w:rPr>
          <w:rFonts w:ascii="宋体" w:hAnsi="宋体" w:cs="仿宋_GB2312"/>
          <w:sz w:val="30"/>
          <w:szCs w:val="30"/>
        </w:rPr>
      </w:pPr>
      <w:r>
        <w:rPr>
          <w:rFonts w:hint="eastAsia" w:ascii="宋体" w:hAnsi="宋体" w:cs="仿宋_GB2312"/>
          <w:sz w:val="30"/>
          <w:szCs w:val="30"/>
        </w:rPr>
        <w:t xml:space="preserve">（6）会同有关部门监督、检察司法行政法律、法规和规章的执行情况。 </w:t>
      </w:r>
    </w:p>
    <w:p>
      <w:pPr>
        <w:ind w:firstLine="600" w:firstLineChars="200"/>
        <w:rPr>
          <w:rFonts w:ascii="宋体" w:hAnsi="宋体" w:cs="仿宋_GB2312"/>
          <w:sz w:val="30"/>
          <w:szCs w:val="30"/>
        </w:rPr>
      </w:pPr>
      <w:r>
        <w:rPr>
          <w:rFonts w:hint="eastAsia" w:ascii="宋体" w:hAnsi="宋体" w:cs="仿宋_GB2312"/>
          <w:sz w:val="30"/>
          <w:szCs w:val="30"/>
        </w:rPr>
        <w:t>（7）指导和管理全县的法学教育工作。</w:t>
      </w:r>
    </w:p>
    <w:p>
      <w:pPr>
        <w:ind w:firstLine="600" w:firstLineChars="200"/>
        <w:rPr>
          <w:rFonts w:ascii="宋体" w:hAnsi="宋体" w:cs="仿宋_GB2312"/>
          <w:sz w:val="30"/>
          <w:szCs w:val="30"/>
        </w:rPr>
      </w:pPr>
      <w:r>
        <w:rPr>
          <w:rFonts w:hint="eastAsia" w:ascii="宋体" w:hAnsi="宋体" w:cs="仿宋_GB2312"/>
          <w:sz w:val="30"/>
          <w:szCs w:val="30"/>
        </w:rPr>
        <w:t>（8）指导和管理全县律师、公证和企业法律顾问工作。</w:t>
      </w:r>
    </w:p>
    <w:p>
      <w:pPr>
        <w:ind w:firstLine="600" w:firstLineChars="200"/>
        <w:rPr>
          <w:rFonts w:ascii="宋体" w:hAnsi="宋体" w:cs="仿宋_GB2312"/>
          <w:sz w:val="30"/>
          <w:szCs w:val="30"/>
        </w:rPr>
      </w:pPr>
      <w:r>
        <w:rPr>
          <w:rFonts w:hint="eastAsia" w:ascii="宋体" w:hAnsi="宋体" w:cs="仿宋_GB2312"/>
          <w:sz w:val="30"/>
          <w:szCs w:val="30"/>
        </w:rPr>
        <w:t>（9）指导、协调、督促有关单位对刑满释放人员的安置帮教工作</w:t>
      </w:r>
    </w:p>
    <w:p>
      <w:pPr>
        <w:ind w:firstLine="600" w:firstLineChars="200"/>
        <w:rPr>
          <w:rFonts w:ascii="宋体" w:hAnsi="宋体" w:cs="仿宋_GB2312"/>
          <w:sz w:val="30"/>
          <w:szCs w:val="30"/>
        </w:rPr>
      </w:pPr>
      <w:r>
        <w:rPr>
          <w:rFonts w:hint="eastAsia" w:ascii="宋体" w:hAnsi="宋体" w:cs="仿宋_GB2312"/>
          <w:sz w:val="30"/>
          <w:szCs w:val="30"/>
        </w:rPr>
        <w:t>（10）指导和管理社区矫正工作。</w:t>
      </w:r>
    </w:p>
    <w:p>
      <w:pPr>
        <w:ind w:firstLine="600" w:firstLineChars="200"/>
        <w:rPr>
          <w:rFonts w:ascii="宋体" w:hAnsi="宋体" w:cs="仿宋_GB2312"/>
          <w:sz w:val="30"/>
          <w:szCs w:val="30"/>
        </w:rPr>
      </w:pPr>
      <w:r>
        <w:rPr>
          <w:rFonts w:hint="eastAsia" w:ascii="宋体" w:hAnsi="宋体" w:cs="仿宋_GB2312"/>
          <w:sz w:val="30"/>
          <w:szCs w:val="30"/>
        </w:rPr>
        <w:t>（11）监督和管理全县公共法律服务工作。</w:t>
      </w:r>
    </w:p>
    <w:p>
      <w:pPr>
        <w:ind w:firstLine="600" w:firstLineChars="200"/>
        <w:rPr>
          <w:rFonts w:ascii="宋体" w:hAnsi="宋体" w:cs="仿宋_GB2312"/>
          <w:sz w:val="30"/>
          <w:szCs w:val="30"/>
        </w:rPr>
      </w:pPr>
      <w:r>
        <w:rPr>
          <w:rFonts w:hint="eastAsia" w:ascii="宋体" w:hAnsi="宋体" w:cs="仿宋_GB2312"/>
          <w:sz w:val="30"/>
          <w:szCs w:val="30"/>
        </w:rPr>
        <w:t>（12）做好本系统队伍建设和政治思想工作。</w:t>
      </w:r>
    </w:p>
    <w:p>
      <w:pPr>
        <w:ind w:firstLine="600" w:firstLineChars="200"/>
        <w:rPr>
          <w:rFonts w:ascii="宋体" w:hAnsi="宋体" w:cs="仿宋_GB2312"/>
          <w:sz w:val="30"/>
          <w:szCs w:val="30"/>
        </w:rPr>
      </w:pPr>
      <w:r>
        <w:rPr>
          <w:rFonts w:hint="eastAsia" w:ascii="宋体" w:hAnsi="宋体" w:cs="仿宋_GB2312"/>
          <w:sz w:val="30"/>
          <w:szCs w:val="30"/>
        </w:rPr>
        <w:t>（13）做好全县司法行政系统的财务、物资装备和国有资产的管理工作。</w:t>
      </w:r>
    </w:p>
    <w:p>
      <w:pPr>
        <w:ind w:firstLine="600" w:firstLineChars="200"/>
        <w:rPr>
          <w:rFonts w:ascii="宋体" w:hAnsi="宋体" w:cs="仿宋_GB2312"/>
          <w:sz w:val="30"/>
          <w:szCs w:val="30"/>
        </w:rPr>
      </w:pPr>
      <w:r>
        <w:rPr>
          <w:rFonts w:hint="eastAsia" w:ascii="宋体" w:hAnsi="宋体" w:cs="仿宋_GB2312"/>
          <w:sz w:val="30"/>
          <w:szCs w:val="30"/>
        </w:rPr>
        <w:t>（14）负责对职责范围内有关行业、领域的安全生产工作实施监督管理。　　</w:t>
      </w:r>
    </w:p>
    <w:p>
      <w:pPr>
        <w:ind w:firstLine="600" w:firstLineChars="200"/>
        <w:rPr>
          <w:rFonts w:ascii="宋体" w:hAnsi="宋体" w:cs="仿宋_GB2312"/>
          <w:sz w:val="30"/>
          <w:szCs w:val="30"/>
        </w:rPr>
      </w:pPr>
      <w:r>
        <w:rPr>
          <w:rFonts w:hint="eastAsia" w:ascii="宋体" w:hAnsi="宋体" w:cs="仿宋_GB2312"/>
          <w:sz w:val="30"/>
          <w:szCs w:val="30"/>
        </w:rPr>
        <w:t xml:space="preserve">（15）承办县人民政府交办的其他事项。 </w:t>
      </w:r>
    </w:p>
    <w:p>
      <w:pPr>
        <w:spacing w:line="600" w:lineRule="exact"/>
        <w:ind w:firstLine="600" w:firstLineChars="200"/>
        <w:rPr>
          <w:rFonts w:ascii="宋体" w:hAnsi="宋体" w:cs="仿宋_GB2312"/>
          <w:sz w:val="30"/>
          <w:szCs w:val="30"/>
        </w:rPr>
      </w:pPr>
      <w:r>
        <w:rPr>
          <w:rFonts w:hint="eastAsia" w:ascii="宋体" w:hAnsi="宋体" w:cs="仿宋_GB2312"/>
          <w:sz w:val="30"/>
          <w:szCs w:val="30"/>
        </w:rPr>
        <w:t>二、部门预算整体支出管理及使用情况</w:t>
      </w:r>
    </w:p>
    <w:p>
      <w:pPr>
        <w:spacing w:line="600" w:lineRule="exact"/>
        <w:ind w:firstLine="200"/>
        <w:rPr>
          <w:rFonts w:ascii="宋体" w:hAnsi="宋体" w:cs="仿宋_GB2312"/>
          <w:sz w:val="30"/>
          <w:szCs w:val="30"/>
        </w:rPr>
      </w:pPr>
      <w:r>
        <w:rPr>
          <w:rFonts w:hint="eastAsia" w:ascii="宋体" w:hAnsi="宋体" w:cs="仿宋_GB2312"/>
          <w:sz w:val="30"/>
          <w:szCs w:val="30"/>
        </w:rPr>
        <w:t>（一）、收入支出决算总体情况说明</w:t>
      </w:r>
    </w:p>
    <w:p>
      <w:pPr>
        <w:spacing w:line="600" w:lineRule="exact"/>
        <w:ind w:firstLine="600" w:firstLineChars="200"/>
        <w:rPr>
          <w:rFonts w:ascii="宋体" w:hAnsi="宋体" w:cs="仿宋_GB2312"/>
          <w:sz w:val="30"/>
          <w:szCs w:val="30"/>
        </w:rPr>
      </w:pPr>
      <w:r>
        <w:rPr>
          <w:rFonts w:hint="eastAsia" w:ascii="宋体" w:hAnsi="宋体" w:cs="仿宋_GB2312"/>
          <w:sz w:val="30"/>
          <w:szCs w:val="30"/>
        </w:rPr>
        <w:t>1、部门预算收支情况</w:t>
      </w:r>
    </w:p>
    <w:p>
      <w:pPr>
        <w:shd w:val="solid" w:color="FFFFFF" w:fill="auto"/>
        <w:autoSpaceDN w:val="0"/>
        <w:spacing w:line="360" w:lineRule="auto"/>
        <w:ind w:firstLine="600" w:firstLineChars="200"/>
        <w:jc w:val="left"/>
        <w:rPr>
          <w:rFonts w:ascii="宋体" w:hAnsi="宋体" w:cs="仿宋_GB2312"/>
          <w:sz w:val="30"/>
          <w:szCs w:val="30"/>
        </w:rPr>
      </w:pPr>
    </w:p>
    <w:p>
      <w:pPr>
        <w:shd w:val="solid" w:color="FFFFFF" w:fill="auto"/>
        <w:autoSpaceDN w:val="0"/>
        <w:spacing w:line="360" w:lineRule="auto"/>
        <w:ind w:firstLine="600" w:firstLineChars="200"/>
        <w:jc w:val="left"/>
        <w:rPr>
          <w:rFonts w:ascii="宋体" w:hAnsi="宋体" w:cs="仿宋_GB2312"/>
          <w:sz w:val="30"/>
          <w:szCs w:val="30"/>
        </w:rPr>
      </w:pPr>
      <w:r>
        <w:rPr>
          <w:rFonts w:hint="eastAsia" w:ascii="宋体" w:hAnsi="宋体" w:cs="仿宋_GB2312"/>
          <w:sz w:val="30"/>
          <w:szCs w:val="30"/>
        </w:rPr>
        <w:t>2019年年初预算总收入984.48万，其中工资福利支出765.37万，一般商品服务支出171.6万，专项商品和服务支出44万，对家庭和个人补助3.51万。</w:t>
      </w:r>
    </w:p>
    <w:p>
      <w:pPr>
        <w:spacing w:line="600" w:lineRule="exact"/>
        <w:ind w:firstLine="600" w:firstLineChars="200"/>
        <w:rPr>
          <w:rFonts w:ascii="宋体" w:hAnsi="宋体" w:cs="仿宋_GB2312"/>
          <w:sz w:val="30"/>
          <w:szCs w:val="30"/>
        </w:rPr>
      </w:pPr>
      <w:r>
        <w:rPr>
          <w:rFonts w:hint="eastAsia" w:ascii="宋体" w:hAnsi="宋体" w:cs="仿宋_GB2312"/>
          <w:sz w:val="30"/>
          <w:szCs w:val="30"/>
        </w:rPr>
        <w:t>2、部门决算收支情况</w:t>
      </w:r>
    </w:p>
    <w:p>
      <w:pPr>
        <w:spacing w:line="360" w:lineRule="auto"/>
        <w:ind w:firstLine="600" w:firstLineChars="200"/>
        <w:rPr>
          <w:rFonts w:ascii="宋体" w:hAnsi="宋体" w:cs="仿宋_GB2312"/>
          <w:sz w:val="30"/>
          <w:szCs w:val="30"/>
        </w:rPr>
      </w:pPr>
      <w:r>
        <w:rPr>
          <w:rFonts w:hint="eastAsia" w:ascii="宋体" w:hAnsi="宋体" w:cs="仿宋_GB2312"/>
          <w:sz w:val="30"/>
          <w:szCs w:val="30"/>
        </w:rPr>
        <w:t>2019年度收入总1280.73万元，其中：公共财政拨款1271.54万元， 其他收入（结算资金）9.19万。本年支出总计1280.65万元，其中：工资福利支出836.16万元，用于在职人员的工资、津贴、各项社会保障支出、住房公积金等，商品和服务支出174.63万元，用于办公费、印刷费、水电费、差旅费及其他商品服务支出等日常公用经费，个人和家庭补助38.91万元，用于退休人员节日慰问金、医疗费、扶贫支出及其他对个人及家庭的补助支出等，项目支出230.95万，包括各项办案经费、装备经费、法律公共站点建设经费等,是用于全县法制宣传教育；指导和管理各乡镇、各行业的普法、依法治理工作；指导和管理全县人民调解、基层司法和基层法律服务工作；参与社会治安综合治理；监督管理全县法律援助工作。指导管理全县面向社会服务的司法鉴定工作。指导和管理社区矫正工作。监督和管理全县公共法律服务工作而发生的支出。</w:t>
      </w:r>
    </w:p>
    <w:p>
      <w:pPr>
        <w:shd w:val="solid" w:color="FFFFFF" w:fill="auto"/>
        <w:autoSpaceDN w:val="0"/>
        <w:spacing w:line="360" w:lineRule="auto"/>
        <w:ind w:firstLine="600" w:firstLineChars="200"/>
        <w:jc w:val="left"/>
        <w:rPr>
          <w:rFonts w:ascii="宋体" w:hAnsi="宋体" w:cs="仿宋_GB2312"/>
          <w:sz w:val="30"/>
          <w:szCs w:val="30"/>
        </w:rPr>
      </w:pPr>
      <w:r>
        <w:rPr>
          <w:rFonts w:hint="eastAsia" w:ascii="宋体" w:hAnsi="宋体" w:cs="仿宋_GB2312"/>
          <w:sz w:val="30"/>
          <w:szCs w:val="30"/>
        </w:rPr>
        <w:t xml:space="preserve">2019年公共预算财政拨款支出1271.54万元，其中：基本支出1040.51万元，系保障我局机构正常运转、完成日常工作任务而发生的各项支出，包括在职人员基本工资、津贴补贴、社会保障缴费及其他工资福利支出以及退休人员节日慰问、医疗费等人员经费。还包括办公费、印刷费、水电费、差旅费等其他商品服务支出。 </w:t>
      </w:r>
    </w:p>
    <w:p>
      <w:pPr>
        <w:ind w:firstLine="600" w:firstLineChars="200"/>
        <w:rPr>
          <w:rFonts w:ascii="宋体" w:hAnsi="宋体" w:cs="仿宋_GB2312"/>
          <w:sz w:val="30"/>
          <w:szCs w:val="30"/>
        </w:rPr>
      </w:pPr>
      <w:r>
        <w:rPr>
          <w:rFonts w:hint="eastAsia" w:ascii="宋体" w:hAnsi="宋体" w:cs="仿宋_GB2312"/>
          <w:sz w:val="30"/>
          <w:szCs w:val="30"/>
        </w:rPr>
        <w:t>（二）“三公”经费支出使用和管理情况</w:t>
      </w:r>
    </w:p>
    <w:p>
      <w:pPr>
        <w:ind w:firstLine="600" w:firstLineChars="200"/>
        <w:rPr>
          <w:rFonts w:ascii="宋体" w:hAnsi="宋体" w:cs="仿宋_GB2312"/>
          <w:sz w:val="30"/>
          <w:szCs w:val="30"/>
        </w:rPr>
      </w:pPr>
      <w:r>
        <w:rPr>
          <w:rFonts w:hint="eastAsia" w:ascii="宋体" w:hAnsi="宋体" w:cs="仿宋_GB2312"/>
          <w:sz w:val="30"/>
          <w:szCs w:val="30"/>
        </w:rPr>
        <w:t>我局 “三公”经费各费用均控制在预算范围内，且较预算金额有不同程度的结余。其中：因公出国出境费用本年未发生经费支出，全额结余；公务接待费 5万元；车辆运行维护费5.7万元。本年“三公”经费各明细项目较上年均有减少。</w:t>
      </w:r>
    </w:p>
    <w:p>
      <w:pPr>
        <w:ind w:firstLine="600" w:firstLineChars="200"/>
        <w:rPr>
          <w:rFonts w:ascii="宋体" w:hAnsi="宋体" w:cs="仿宋_GB2312"/>
          <w:sz w:val="30"/>
          <w:szCs w:val="30"/>
        </w:rPr>
      </w:pPr>
      <w:r>
        <w:rPr>
          <w:rFonts w:hint="eastAsia" w:ascii="宋体" w:hAnsi="宋体" w:cs="仿宋_GB2312"/>
          <w:sz w:val="30"/>
          <w:szCs w:val="30"/>
        </w:rPr>
        <w:t>（三）专项支出项目资金使用情况</w:t>
      </w:r>
    </w:p>
    <w:p>
      <w:pPr>
        <w:tabs>
          <w:tab w:val="left" w:pos="900"/>
        </w:tabs>
        <w:ind w:left="160" w:leftChars="76" w:firstLine="600" w:firstLineChars="200"/>
        <w:rPr>
          <w:rFonts w:ascii="宋体" w:hAnsi="宋体" w:cs="仿宋_GB2312"/>
          <w:sz w:val="30"/>
          <w:szCs w:val="30"/>
        </w:rPr>
      </w:pPr>
      <w:r>
        <w:rPr>
          <w:rFonts w:hint="eastAsia" w:ascii="宋体" w:hAnsi="宋体" w:cs="仿宋_GB2312"/>
          <w:sz w:val="30"/>
          <w:szCs w:val="30"/>
        </w:rPr>
        <w:t>2019年我局专项项目资金230.95万元。按照项目资金的使用内容和用途，项目资金分别为：社区矫正、法律援助、普法专项、人民调解、司法鉴定、中央转移支付经费等。都是根据我局的工作职能和职责设立，经费支出范围均为我局开展司法业务工作相关的工作经费，为持续性、常年性项目，具体包括律师公证管理、法律援助、普法宣传、社区矫正、人民调解等项目。通过专项工作的开展，全面推进了法制建设，严格了律师监管，加强人民调解，扩展和规范基层法律服务，推进安置帮教工作，落实社区矫正工作的快速发展绩效目标。</w:t>
      </w:r>
    </w:p>
    <w:p>
      <w:pPr>
        <w:ind w:firstLine="600" w:firstLineChars="200"/>
        <w:rPr>
          <w:rFonts w:ascii="宋体" w:hAnsi="宋体" w:cs="仿宋_GB2312"/>
          <w:sz w:val="30"/>
          <w:szCs w:val="30"/>
        </w:rPr>
      </w:pPr>
      <w:r>
        <w:rPr>
          <w:rFonts w:hint="eastAsia" w:ascii="宋体" w:hAnsi="宋体" w:cs="仿宋_GB2312"/>
          <w:sz w:val="30"/>
          <w:szCs w:val="30"/>
        </w:rPr>
        <w:t>三、部门专项组织实施情况</w:t>
      </w:r>
    </w:p>
    <w:p>
      <w:pPr>
        <w:ind w:firstLine="600" w:firstLineChars="200"/>
        <w:rPr>
          <w:rFonts w:ascii="宋体" w:hAnsi="宋体" w:cs="仿宋_GB2312"/>
          <w:sz w:val="30"/>
          <w:szCs w:val="30"/>
        </w:rPr>
      </w:pPr>
      <w:r>
        <w:rPr>
          <w:rFonts w:hint="eastAsia" w:ascii="宋体" w:hAnsi="宋体" w:cs="仿宋_GB2312"/>
          <w:sz w:val="30"/>
          <w:szCs w:val="30"/>
        </w:rPr>
        <w:t>我局财务管理严格依法依规，做到公开公平公正，在严格执行各项有关法律法规、财经纪律、财务规章制度的同时，我局根据单位自身情况结合各项规定编制了《衡南县司法局内部控制手册》，系统阐述了预（决）算、政府采购、国库集中支付、专项资金等管理办法和操作规程。</w:t>
      </w:r>
    </w:p>
    <w:p>
      <w:pPr>
        <w:rPr>
          <w:rFonts w:ascii="宋体" w:hAnsi="宋体" w:cs="仿宋_GB2312"/>
          <w:sz w:val="30"/>
          <w:szCs w:val="30"/>
        </w:rPr>
      </w:pPr>
      <w:r>
        <w:rPr>
          <w:rFonts w:hint="eastAsia" w:ascii="宋体" w:hAnsi="宋体" w:cs="仿宋_GB2312"/>
          <w:sz w:val="30"/>
          <w:szCs w:val="30"/>
        </w:rPr>
        <w:t>认真抓好内部审计工作，认真部署，扎扎实实地开展内部审计工作。我们年初制订了详细的审计工作计划，明确了全年的工作任务和要求，使全年的审计工作做到了有计划、有部署。</w:t>
      </w:r>
    </w:p>
    <w:p>
      <w:pPr>
        <w:ind w:firstLine="600" w:firstLineChars="200"/>
        <w:rPr>
          <w:rFonts w:ascii="宋体" w:hAnsi="宋体" w:cs="仿宋_GB2312"/>
          <w:sz w:val="30"/>
          <w:szCs w:val="30"/>
        </w:rPr>
      </w:pPr>
      <w:r>
        <w:rPr>
          <w:rFonts w:hint="eastAsia" w:ascii="宋体" w:hAnsi="宋体" w:cs="仿宋_GB2312"/>
          <w:sz w:val="30"/>
          <w:szCs w:val="30"/>
        </w:rPr>
        <w:t>四、部门整体支出绩效情况</w:t>
      </w:r>
    </w:p>
    <w:p>
      <w:pPr>
        <w:ind w:firstLine="600" w:firstLineChars="200"/>
        <w:rPr>
          <w:rFonts w:ascii="宋体" w:hAnsi="宋体" w:cs="仿宋_GB2312"/>
          <w:sz w:val="30"/>
          <w:szCs w:val="30"/>
        </w:rPr>
      </w:pPr>
      <w:r>
        <w:rPr>
          <w:rFonts w:hint="eastAsia" w:ascii="宋体" w:hAnsi="宋体" w:cs="仿宋_GB2312"/>
          <w:sz w:val="30"/>
          <w:szCs w:val="30"/>
        </w:rPr>
        <w:t>2019年，根据局年初工作规划和重点性工作，围绕县委、县政府中心工作，积极履职，强化管理，较好的完成了年度工作目标。通过加强预算收支的管理，不断建立健全内部管理制度，理顺内部管理流程，部门整体支出管理情况得到了提升。部门整体支出绩效情况如下：</w:t>
      </w:r>
    </w:p>
    <w:p>
      <w:pPr>
        <w:ind w:firstLine="600" w:firstLineChars="200"/>
        <w:rPr>
          <w:rFonts w:ascii="宋体" w:hAnsi="宋体" w:cs="仿宋_GB2312"/>
          <w:sz w:val="30"/>
          <w:szCs w:val="30"/>
        </w:rPr>
      </w:pPr>
      <w:r>
        <w:rPr>
          <w:rFonts w:hint="eastAsia" w:ascii="宋体" w:hAnsi="宋体" w:cs="仿宋_GB2312"/>
          <w:sz w:val="30"/>
          <w:szCs w:val="30"/>
        </w:rPr>
        <w:t xml:space="preserve">（一）经济性评价 </w:t>
      </w:r>
    </w:p>
    <w:p>
      <w:pPr>
        <w:ind w:firstLine="600" w:firstLineChars="200"/>
        <w:rPr>
          <w:rFonts w:ascii="宋体" w:hAnsi="宋体" w:cs="仿宋_GB2312"/>
          <w:sz w:val="30"/>
          <w:szCs w:val="30"/>
        </w:rPr>
      </w:pPr>
      <w:r>
        <w:rPr>
          <w:rFonts w:hint="eastAsia" w:ascii="宋体" w:hAnsi="宋体" w:cs="仿宋_GB2312"/>
          <w:sz w:val="30"/>
          <w:szCs w:val="30"/>
        </w:rPr>
        <w:t xml:space="preserve"> 1、本年预算安排控制较好，财政供养人员控制率100%，编制内在职人员控制率小于100%，控制在预算编制以内；“三公”经费预算总额未突破上年。</w:t>
      </w:r>
    </w:p>
    <w:p>
      <w:pPr>
        <w:ind w:firstLine="600" w:firstLineChars="200"/>
        <w:rPr>
          <w:rFonts w:ascii="宋体" w:hAnsi="宋体" w:cs="仿宋_GB2312"/>
          <w:sz w:val="30"/>
          <w:szCs w:val="30"/>
        </w:rPr>
      </w:pPr>
      <w:r>
        <w:rPr>
          <w:rFonts w:hint="eastAsia" w:ascii="宋体" w:hAnsi="宋体" w:cs="仿宋_GB2312"/>
          <w:sz w:val="30"/>
          <w:szCs w:val="30"/>
        </w:rPr>
        <w:t xml:space="preserve">　2、预算执行方面，支出总额控制在预算总额以内。 </w:t>
      </w:r>
    </w:p>
    <w:p>
      <w:pPr>
        <w:ind w:firstLine="600" w:firstLineChars="200"/>
        <w:rPr>
          <w:rFonts w:ascii="宋体" w:hAnsi="宋体" w:cs="仿宋_GB2312"/>
          <w:sz w:val="30"/>
          <w:szCs w:val="30"/>
        </w:rPr>
      </w:pPr>
      <w:r>
        <w:rPr>
          <w:rFonts w:hint="eastAsia" w:ascii="宋体" w:hAnsi="宋体" w:cs="仿宋_GB2312"/>
          <w:sz w:val="30"/>
          <w:szCs w:val="30"/>
        </w:rPr>
        <w:t>（二）项目产出及社会效益评价</w:t>
      </w:r>
    </w:p>
    <w:p>
      <w:pPr>
        <w:spacing w:line="600" w:lineRule="exact"/>
        <w:ind w:firstLine="200"/>
        <w:rPr>
          <w:rFonts w:ascii="宋体" w:hAnsi="宋体" w:cs="仿宋_GB2312"/>
          <w:sz w:val="30"/>
          <w:szCs w:val="30"/>
        </w:rPr>
      </w:pPr>
      <w:r>
        <w:rPr>
          <w:rFonts w:hint="eastAsia" w:ascii="宋体" w:hAnsi="宋体" w:cs="仿宋_GB2312"/>
          <w:sz w:val="30"/>
          <w:szCs w:val="30"/>
        </w:rPr>
        <w:t>2019年，通过我局专项工作的开展，我们狠抓重点工作，较好的完成了各项目标任务，取得了较好的社会效益。主要绩效如下：</w:t>
      </w:r>
    </w:p>
    <w:p>
      <w:pPr>
        <w:ind w:firstLine="600" w:firstLineChars="200"/>
        <w:rPr>
          <w:rFonts w:ascii="宋体" w:hAnsi="宋体" w:cs="仿宋_GB2312"/>
          <w:sz w:val="30"/>
          <w:szCs w:val="30"/>
        </w:rPr>
      </w:pPr>
      <w:r>
        <w:rPr>
          <w:rFonts w:hint="eastAsia" w:ascii="宋体" w:hAnsi="宋体" w:cs="仿宋_GB2312"/>
          <w:sz w:val="30"/>
          <w:szCs w:val="30"/>
        </w:rPr>
        <w:t>1、人民调解工作</w:t>
      </w:r>
    </w:p>
    <w:p>
      <w:pPr>
        <w:ind w:firstLine="600" w:firstLineChars="200"/>
        <w:rPr>
          <w:rFonts w:ascii="宋体" w:hAnsi="宋体" w:cs="仿宋_GB2312"/>
          <w:sz w:val="30"/>
          <w:szCs w:val="30"/>
        </w:rPr>
      </w:pPr>
      <w:r>
        <w:rPr>
          <w:rFonts w:hint="eastAsia" w:ascii="宋体" w:hAnsi="宋体" w:cs="仿宋_GB2312"/>
          <w:sz w:val="30"/>
          <w:szCs w:val="30"/>
        </w:rPr>
        <w:t>按照“预防在先、主动参与、积极化解”的原则，主动开展矛盾纠纷排查化解活动，全力维护社会稳定。今年来，全县各级人民调解组织共调处矛盾纠纷2992起，成功调处2975起，调解成功率为99%。</w:t>
      </w:r>
    </w:p>
    <w:p>
      <w:pPr>
        <w:ind w:firstLine="600" w:firstLineChars="200"/>
        <w:rPr>
          <w:rFonts w:ascii="宋体" w:hAnsi="宋体" w:cs="仿宋_GB2312"/>
          <w:sz w:val="30"/>
          <w:szCs w:val="30"/>
        </w:rPr>
      </w:pPr>
      <w:r>
        <w:rPr>
          <w:rFonts w:hint="eastAsia" w:ascii="宋体" w:hAnsi="宋体" w:cs="仿宋_GB2312"/>
          <w:sz w:val="30"/>
          <w:szCs w:val="30"/>
        </w:rPr>
        <w:t>2、社区矫正和安置帮教</w:t>
      </w:r>
    </w:p>
    <w:p>
      <w:pPr>
        <w:ind w:firstLine="600" w:firstLineChars="200"/>
        <w:rPr>
          <w:rFonts w:ascii="宋体" w:hAnsi="宋体" w:cs="仿宋_GB2312"/>
          <w:sz w:val="30"/>
          <w:szCs w:val="30"/>
        </w:rPr>
      </w:pPr>
      <w:r>
        <w:rPr>
          <w:rFonts w:hint="eastAsia" w:ascii="宋体" w:hAnsi="宋体" w:cs="仿宋_GB2312"/>
          <w:sz w:val="30"/>
          <w:szCs w:val="30"/>
        </w:rPr>
        <w:t>2019年，县社区矫正工作局开展社区矫正社会调查评估255起，累计接收社区矫正人员269人。全县目前在矫对象共357人，缓刑330人，管制3人，假释6人，暂予监外执行18人；开展社区矫正、安置帮教对象中精神病患者的摸排工作，并对摸排出的3名患者重点管控，有效防范治安风险；严格执行社区矫正人员监管制度。积极开展社区矫正“防脱管”专项活动以及社区矫正监管安全隐患排查整治专项活动，期间市局和县检察院多次督查我县社区矫正监管工作，认为我县社区矫正工作总体状况良好，无漏管、脱管，未出现重新犯罪。</w:t>
      </w:r>
    </w:p>
    <w:p>
      <w:pPr>
        <w:ind w:firstLine="600" w:firstLineChars="200"/>
        <w:rPr>
          <w:rFonts w:ascii="宋体" w:hAnsi="宋体" w:cs="仿宋_GB2312"/>
          <w:sz w:val="30"/>
          <w:szCs w:val="30"/>
        </w:rPr>
      </w:pPr>
      <w:r>
        <w:rPr>
          <w:rFonts w:hint="eastAsia" w:ascii="宋体" w:hAnsi="宋体" w:cs="仿宋_GB2312"/>
          <w:sz w:val="30"/>
          <w:szCs w:val="30"/>
        </w:rPr>
        <w:t>3、法治宣传</w:t>
      </w:r>
    </w:p>
    <w:p>
      <w:pPr>
        <w:ind w:firstLine="600" w:firstLineChars="200"/>
        <w:rPr>
          <w:rFonts w:ascii="宋体" w:hAnsi="宋体" w:cs="仿宋_GB2312"/>
          <w:sz w:val="30"/>
          <w:szCs w:val="30"/>
        </w:rPr>
      </w:pPr>
      <w:r>
        <w:rPr>
          <w:rFonts w:hint="eastAsia" w:ascii="宋体" w:hAnsi="宋体" w:cs="仿宋_GB2312"/>
          <w:sz w:val="30"/>
          <w:szCs w:val="30"/>
        </w:rPr>
        <w:t>（1）组织出台了《关于进一步加强领导干部和国家工作人员学法用法工作的意见》，建立了领导干部年终学法考评制度，将领导干部学法考评纳入年度考核的重要内容。</w:t>
      </w:r>
    </w:p>
    <w:p>
      <w:pPr>
        <w:ind w:firstLine="600" w:firstLineChars="200"/>
        <w:rPr>
          <w:rFonts w:ascii="宋体" w:hAnsi="宋体" w:cs="仿宋_GB2312"/>
          <w:sz w:val="30"/>
          <w:szCs w:val="30"/>
        </w:rPr>
      </w:pPr>
      <w:r>
        <w:rPr>
          <w:rFonts w:hint="eastAsia" w:ascii="宋体" w:hAnsi="宋体" w:cs="仿宋_GB2312"/>
          <w:sz w:val="30"/>
          <w:szCs w:val="30"/>
        </w:rPr>
        <w:t>（2）组织公职人员学法用法。根据上级统一部署安 排，于7月启动一年一度的国家工作人员学法用法考试工作，县普法办下发了《关于做好2019年度全县国家工作人员学法考法工作的通知》，安排专人对全县二百多个单位管理员进行考前业务指导，全县共有367单位报名参加了普法考试，参学人数17900，参学率100%，参考人数17700，参考率99%，通过率为97%，圆满完成年度普法学习、考试任务。</w:t>
      </w:r>
    </w:p>
    <w:p>
      <w:pPr>
        <w:ind w:firstLine="600" w:firstLineChars="200"/>
        <w:rPr>
          <w:rFonts w:ascii="宋体" w:hAnsi="宋体" w:cs="仿宋_GB2312"/>
          <w:sz w:val="30"/>
          <w:szCs w:val="30"/>
        </w:rPr>
      </w:pPr>
      <w:r>
        <w:rPr>
          <w:rFonts w:hint="eastAsia" w:ascii="宋体" w:hAnsi="宋体" w:cs="仿宋_GB2312"/>
          <w:sz w:val="30"/>
          <w:szCs w:val="30"/>
        </w:rPr>
        <w:t>（3）整合资源开展普法宣传以“法律六进”为载体，采取以案说法、组织学法、专家讲法、入户送法等形式，积极开展法治宣传活动。全年共岀动宣传车100余台次，发放宣传资料10万余份，宣传读本2万余本，在茶市镇怡海村成功举办了湖南省元旦-春节送法下乡启动仪式并建成了法治文化广场。各次阶段性、重点性的法制宣传活动做到了与重点工程、与社会治安综合治理、与专项治理和与解决突发事件相结合，法治宣传教育的服务保障作用得到了有效发挥。</w:t>
      </w:r>
    </w:p>
    <w:p>
      <w:pPr>
        <w:ind w:firstLine="600" w:firstLineChars="200"/>
        <w:rPr>
          <w:rFonts w:ascii="宋体" w:hAnsi="宋体" w:cs="仿宋_GB2312"/>
          <w:sz w:val="30"/>
          <w:szCs w:val="30"/>
        </w:rPr>
      </w:pPr>
      <w:r>
        <w:rPr>
          <w:rFonts w:hint="eastAsia" w:ascii="宋体" w:hAnsi="宋体" w:cs="仿宋_GB2312"/>
          <w:sz w:val="30"/>
          <w:szCs w:val="30"/>
        </w:rPr>
        <w:t xml:space="preserve">通过上述工作的开展，社会法治环境逐步优化，社会公众的法治意识得到加强，社会的安定团结得到保障，社会公众的满意度得到了提高，也推进了全县司法机关信息建设。 </w:t>
      </w:r>
    </w:p>
    <w:p>
      <w:pPr>
        <w:ind w:firstLine="600" w:firstLineChars="200"/>
        <w:rPr>
          <w:rFonts w:ascii="宋体" w:hAnsi="宋体" w:cs="仿宋_GB2312"/>
          <w:sz w:val="30"/>
          <w:szCs w:val="30"/>
        </w:rPr>
      </w:pPr>
      <w:r>
        <w:rPr>
          <w:rFonts w:hint="eastAsia" w:ascii="宋体" w:hAnsi="宋体" w:cs="仿宋_GB2312"/>
          <w:sz w:val="30"/>
          <w:szCs w:val="30"/>
        </w:rPr>
        <w:t>4、法律援助和公证工作。</w:t>
      </w:r>
    </w:p>
    <w:p>
      <w:pPr>
        <w:ind w:firstLine="600" w:firstLineChars="200"/>
        <w:rPr>
          <w:rFonts w:ascii="宋体" w:hAnsi="宋体" w:cs="仿宋_GB2312"/>
          <w:sz w:val="30"/>
          <w:szCs w:val="30"/>
        </w:rPr>
      </w:pPr>
      <w:r>
        <w:rPr>
          <w:rFonts w:hint="eastAsia" w:ascii="宋体" w:hAnsi="宋体" w:cs="仿宋_GB2312"/>
          <w:sz w:val="30"/>
          <w:szCs w:val="30"/>
        </w:rPr>
        <w:t>县法律援助中心组织安排了12名社会律师、4名法律援助律师、3名基层法律工作者和5名局机关工作人员共24人下沉到24个乡镇公共法律服务工作站开展“志愿者坐班日”活动。县法律援助中心共受理各类法律援助案件393件，完成全年重点民生实事全年目标任务的128%。其中民事案件330件，刑事案件63件。为受援对象免除律师服务费等180余万元，为237名受援群众获得赔偿款或挽回经济损失350余万元。共接待群众来访来电来信咨询2000余人次。案件办理满意率、案件和信息录登率、办结案件归档率、业务档案合格率、解答咨询满意率均比往年有较大提高；县公证处办理各类公证共计357件, 其中国内民事公证事项248件，涉外公证事项81件，涉港澳台公证事项28件。切实提高了人民群众对公共法律服务的获得感，同时收到了良好的法律效果和社会效果。</w:t>
      </w:r>
    </w:p>
    <w:p>
      <w:pPr>
        <w:ind w:firstLine="600" w:firstLineChars="200"/>
        <w:rPr>
          <w:rFonts w:ascii="宋体" w:hAnsi="宋体" w:cs="仿宋_GB2312"/>
          <w:sz w:val="30"/>
          <w:szCs w:val="30"/>
        </w:rPr>
      </w:pPr>
      <w:r>
        <w:rPr>
          <w:rFonts w:hint="eastAsia" w:ascii="宋体" w:hAnsi="宋体" w:cs="仿宋_GB2312"/>
          <w:sz w:val="30"/>
          <w:szCs w:val="30"/>
        </w:rPr>
        <w:t>（三）社会公众满意度评价</w:t>
      </w:r>
    </w:p>
    <w:p>
      <w:pPr>
        <w:ind w:firstLine="600" w:firstLineChars="200"/>
        <w:rPr>
          <w:rFonts w:ascii="宋体" w:hAnsi="宋体" w:cs="仿宋_GB2312"/>
          <w:sz w:val="30"/>
          <w:szCs w:val="30"/>
        </w:rPr>
      </w:pPr>
      <w:r>
        <w:rPr>
          <w:rFonts w:hint="eastAsia" w:ascii="宋体" w:hAnsi="宋体" w:cs="仿宋_GB2312"/>
          <w:sz w:val="30"/>
          <w:szCs w:val="30"/>
        </w:rPr>
        <w:t>通过上述工作的开展，省内法治环境逐步优化，社会公众的法制意识得到加强，社会的安定团结得到保障，社会公众的满意度得到了提高。</w:t>
      </w:r>
    </w:p>
    <w:p>
      <w:pPr>
        <w:ind w:firstLine="600" w:firstLineChars="200"/>
        <w:rPr>
          <w:rFonts w:ascii="宋体" w:hAnsi="宋体" w:cs="仿宋_GB2312"/>
          <w:sz w:val="30"/>
          <w:szCs w:val="30"/>
        </w:rPr>
      </w:pPr>
      <w:r>
        <w:rPr>
          <w:rFonts w:hint="eastAsia" w:ascii="宋体" w:hAnsi="宋体" w:cs="仿宋_GB2312"/>
          <w:sz w:val="30"/>
          <w:szCs w:val="30"/>
        </w:rPr>
        <w:t>五、存在的主要问题</w:t>
      </w:r>
    </w:p>
    <w:p>
      <w:pPr>
        <w:ind w:firstLine="600" w:firstLineChars="200"/>
        <w:rPr>
          <w:rFonts w:ascii="宋体" w:hAnsi="宋体" w:cs="仿宋_GB2312"/>
          <w:sz w:val="30"/>
          <w:szCs w:val="30"/>
        </w:rPr>
      </w:pPr>
      <w:r>
        <w:rPr>
          <w:rFonts w:hint="eastAsia" w:ascii="宋体" w:hAnsi="宋体" w:cs="仿宋_GB2312"/>
          <w:sz w:val="30"/>
          <w:szCs w:val="30"/>
        </w:rPr>
        <w:t>年初预算的编制较为精细，按照费用支出的使用范围和内容，进行了类、款、项三个层级的明细预算，进行了基本支出、项目支出的严格区分，同时在基本支出和项目支出中又进行了更为明细的预算，并按照预算的最末级明细进行预算支出管理，专款专用。但对于追加的项目支出、上年结余结转的项目资金，没有进行预算分解，编制明细预算，因此涉及上年结转和追加预算的项目支出的预算管理均仅从总额进行控制，不便于对其进行精细化的预算管理和分析评价。</w:t>
      </w:r>
    </w:p>
    <w:p>
      <w:pPr>
        <w:ind w:firstLine="600" w:firstLineChars="200"/>
        <w:rPr>
          <w:rFonts w:ascii="宋体" w:hAnsi="宋体" w:cs="仿宋_GB2312"/>
          <w:sz w:val="30"/>
          <w:szCs w:val="30"/>
        </w:rPr>
      </w:pPr>
      <w:r>
        <w:rPr>
          <w:rFonts w:hint="eastAsia" w:ascii="宋体" w:hAnsi="宋体" w:cs="仿宋_GB2312"/>
          <w:sz w:val="30"/>
          <w:szCs w:val="30"/>
        </w:rPr>
        <w:t>六、改进措施和建议</w:t>
      </w:r>
    </w:p>
    <w:p>
      <w:pPr>
        <w:ind w:firstLine="600" w:firstLineChars="200"/>
        <w:rPr>
          <w:rFonts w:ascii="宋体" w:hAnsi="宋体" w:cs="仿宋_GB2312"/>
          <w:sz w:val="30"/>
          <w:szCs w:val="30"/>
        </w:rPr>
      </w:pPr>
      <w:r>
        <w:rPr>
          <w:rFonts w:hint="eastAsia" w:ascii="宋体" w:hAnsi="宋体" w:cs="仿宋_GB2312"/>
          <w:sz w:val="30"/>
          <w:szCs w:val="30"/>
        </w:rPr>
        <w:t>1、细化预算编制工作，认真做好预算的编制。进一步加强内部机构的预算管理意识，严格按照预算编制的相关制度和要求，本着“勤俭节约、保障运转”的原则进行预算的编制；编制范围尽可能的全面、不漏项，进一步提高预算编制的科学性、合理性、严谨性和可控性。</w:t>
      </w:r>
    </w:p>
    <w:p>
      <w:pPr>
        <w:ind w:firstLine="600" w:firstLineChars="200"/>
        <w:rPr>
          <w:rFonts w:ascii="宋体" w:hAnsi="宋体" w:cs="仿宋_GB2312"/>
          <w:sz w:val="30"/>
          <w:szCs w:val="30"/>
        </w:rPr>
      </w:pPr>
      <w:r>
        <w:rPr>
          <w:rFonts w:hint="eastAsia" w:ascii="宋体" w:hAnsi="宋体" w:cs="仿宋_GB2312"/>
          <w:sz w:val="30"/>
          <w:szCs w:val="30"/>
        </w:rPr>
        <w:t>2、在日常预算管理过程中，进一步加强预算支出的审核、跟踪及预算执行情况分析。</w:t>
      </w:r>
    </w:p>
    <w:p>
      <w:pPr>
        <w:widowControl/>
        <w:shd w:val="clear" w:color="auto" w:fill="FFFFFF"/>
        <w:spacing w:line="560" w:lineRule="atLeast"/>
        <w:ind w:firstLine="640"/>
        <w:rPr>
          <w:rFonts w:ascii="宋体" w:hAnsi="宋体" w:cs="仿宋_GB2312"/>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600E2E"/>
    <w:multiLevelType w:val="multilevel"/>
    <w:tmpl w:val="29600E2E"/>
    <w:lvl w:ilvl="0" w:tentative="0">
      <w:start w:val="1"/>
      <w:numFmt w:val="japaneseCounting"/>
      <w:lvlText w:val="%1，"/>
      <w:lvlJc w:val="left"/>
      <w:pPr>
        <w:ind w:left="1423" w:hanging="720"/>
      </w:pPr>
      <w:rPr>
        <w:rFonts w:hint="default"/>
      </w:rPr>
    </w:lvl>
    <w:lvl w:ilvl="1" w:tentative="0">
      <w:start w:val="1"/>
      <w:numFmt w:val="lowerLetter"/>
      <w:lvlText w:val="%2)"/>
      <w:lvlJc w:val="left"/>
      <w:pPr>
        <w:ind w:left="1543" w:hanging="420"/>
      </w:pPr>
    </w:lvl>
    <w:lvl w:ilvl="2" w:tentative="0">
      <w:start w:val="1"/>
      <w:numFmt w:val="lowerRoman"/>
      <w:lvlText w:val="%3."/>
      <w:lvlJc w:val="right"/>
      <w:pPr>
        <w:ind w:left="1963" w:hanging="420"/>
      </w:pPr>
    </w:lvl>
    <w:lvl w:ilvl="3" w:tentative="0">
      <w:start w:val="1"/>
      <w:numFmt w:val="decimal"/>
      <w:lvlText w:val="%4."/>
      <w:lvlJc w:val="left"/>
      <w:pPr>
        <w:ind w:left="2383" w:hanging="420"/>
      </w:pPr>
    </w:lvl>
    <w:lvl w:ilvl="4" w:tentative="0">
      <w:start w:val="1"/>
      <w:numFmt w:val="lowerLetter"/>
      <w:lvlText w:val="%5)"/>
      <w:lvlJc w:val="left"/>
      <w:pPr>
        <w:ind w:left="2803" w:hanging="420"/>
      </w:pPr>
    </w:lvl>
    <w:lvl w:ilvl="5" w:tentative="0">
      <w:start w:val="1"/>
      <w:numFmt w:val="lowerRoman"/>
      <w:lvlText w:val="%6."/>
      <w:lvlJc w:val="right"/>
      <w:pPr>
        <w:ind w:left="3223" w:hanging="420"/>
      </w:pPr>
    </w:lvl>
    <w:lvl w:ilvl="6" w:tentative="0">
      <w:start w:val="1"/>
      <w:numFmt w:val="decimal"/>
      <w:lvlText w:val="%7."/>
      <w:lvlJc w:val="left"/>
      <w:pPr>
        <w:ind w:left="3643" w:hanging="420"/>
      </w:pPr>
    </w:lvl>
    <w:lvl w:ilvl="7" w:tentative="0">
      <w:start w:val="1"/>
      <w:numFmt w:val="lowerLetter"/>
      <w:lvlText w:val="%8)"/>
      <w:lvlJc w:val="left"/>
      <w:pPr>
        <w:ind w:left="4063" w:hanging="420"/>
      </w:pPr>
    </w:lvl>
    <w:lvl w:ilvl="8" w:tentative="0">
      <w:start w:val="1"/>
      <w:numFmt w:val="lowerRoman"/>
      <w:lvlText w:val="%9."/>
      <w:lvlJc w:val="right"/>
      <w:pPr>
        <w:ind w:left="4483" w:hanging="420"/>
      </w:pPr>
    </w:lvl>
  </w:abstractNum>
  <w:abstractNum w:abstractNumId="1">
    <w:nsid w:val="43376078"/>
    <w:multiLevelType w:val="multilevel"/>
    <w:tmpl w:val="43376078"/>
    <w:lvl w:ilvl="0" w:tentative="0">
      <w:start w:val="1"/>
      <w:numFmt w:val="decimal"/>
      <w:lvlText w:val="%1."/>
      <w:lvlJc w:val="left"/>
      <w:pPr>
        <w:ind w:left="960" w:hanging="36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E09B3"/>
    <w:rsid w:val="00062C1A"/>
    <w:rsid w:val="000A329A"/>
    <w:rsid w:val="00104217"/>
    <w:rsid w:val="00177775"/>
    <w:rsid w:val="00287BED"/>
    <w:rsid w:val="003144EA"/>
    <w:rsid w:val="0032592F"/>
    <w:rsid w:val="00372F5E"/>
    <w:rsid w:val="0044538A"/>
    <w:rsid w:val="004A7F46"/>
    <w:rsid w:val="005E09B3"/>
    <w:rsid w:val="0062648E"/>
    <w:rsid w:val="006B4755"/>
    <w:rsid w:val="006D0CF8"/>
    <w:rsid w:val="007721E7"/>
    <w:rsid w:val="007E0B36"/>
    <w:rsid w:val="007E4353"/>
    <w:rsid w:val="007F763B"/>
    <w:rsid w:val="00811B30"/>
    <w:rsid w:val="008430F7"/>
    <w:rsid w:val="008874CE"/>
    <w:rsid w:val="008C7326"/>
    <w:rsid w:val="0095335B"/>
    <w:rsid w:val="00954B80"/>
    <w:rsid w:val="0095508E"/>
    <w:rsid w:val="009A6AE9"/>
    <w:rsid w:val="00A1788F"/>
    <w:rsid w:val="00A7572C"/>
    <w:rsid w:val="00A828A4"/>
    <w:rsid w:val="00A95250"/>
    <w:rsid w:val="00AB002A"/>
    <w:rsid w:val="00B77F8E"/>
    <w:rsid w:val="00C34CB2"/>
    <w:rsid w:val="00C65212"/>
    <w:rsid w:val="00CF7BBA"/>
    <w:rsid w:val="00D601A5"/>
    <w:rsid w:val="00D65337"/>
    <w:rsid w:val="00D82C5E"/>
    <w:rsid w:val="00E014F6"/>
    <w:rsid w:val="00E16ED7"/>
    <w:rsid w:val="00E37236"/>
    <w:rsid w:val="00E76DD1"/>
    <w:rsid w:val="00E86606"/>
    <w:rsid w:val="00F06898"/>
    <w:rsid w:val="00F941A2"/>
    <w:rsid w:val="00F971CD"/>
    <w:rsid w:val="00FE2C7C"/>
    <w:rsid w:val="00FF6FFA"/>
    <w:rsid w:val="1E4C4726"/>
    <w:rsid w:val="5C0F2C6A"/>
    <w:rsid w:val="675A2EA9"/>
    <w:rsid w:val="7C8D51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nhideWhenUsed="0" w:uiPriority="1"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5"/>
    <w:basedOn w:val="1"/>
    <w:next w:val="1"/>
    <w:link w:val="12"/>
    <w:qFormat/>
    <w:uiPriority w:val="1"/>
    <w:pPr>
      <w:autoSpaceDE w:val="0"/>
      <w:autoSpaceDN w:val="0"/>
      <w:ind w:left="100"/>
      <w:jc w:val="left"/>
      <w:outlineLvl w:val="4"/>
    </w:pPr>
    <w:rPr>
      <w:rFonts w:ascii="宋体" w:hAnsi="宋体" w:cs="宋体"/>
      <w:b/>
      <w:bCs/>
      <w:kern w:val="0"/>
      <w:sz w:val="28"/>
      <w:szCs w:val="28"/>
      <w:lang w:val="zh-CN" w:bidi="zh-CN"/>
    </w:rPr>
  </w:style>
  <w:style w:type="character" w:default="1" w:styleId="8">
    <w:name w:val="Default Paragraph Font"/>
    <w:semiHidden/>
    <w:unhideWhenUsed/>
    <w:qFormat/>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3">
    <w:name w:val="Body Text"/>
    <w:basedOn w:val="1"/>
    <w:link w:val="13"/>
    <w:qFormat/>
    <w:uiPriority w:val="1"/>
    <w:pPr>
      <w:autoSpaceDE w:val="0"/>
      <w:autoSpaceDN w:val="0"/>
      <w:jc w:val="left"/>
    </w:pPr>
    <w:rPr>
      <w:rFonts w:ascii="宋体" w:hAnsi="宋体" w:cs="宋体"/>
      <w:kern w:val="0"/>
      <w:sz w:val="28"/>
      <w:szCs w:val="28"/>
      <w:lang w:val="zh-CN" w:bidi="zh-CN"/>
    </w:rPr>
  </w:style>
  <w:style w:type="paragraph" w:styleId="4">
    <w:name w:val="footer"/>
    <w:basedOn w:val="1"/>
    <w:link w:val="11"/>
    <w:semiHidden/>
    <w:unhideWhenUsed/>
    <w:qFormat/>
    <w:uiPriority w:val="99"/>
    <w:pPr>
      <w:tabs>
        <w:tab w:val="center" w:pos="4153"/>
        <w:tab w:val="right" w:pos="8306"/>
      </w:tabs>
      <w:snapToGrid w:val="0"/>
      <w:jc w:val="left"/>
    </w:pPr>
    <w:rPr>
      <w:sz w:val="18"/>
      <w:szCs w:val="18"/>
    </w:rPr>
  </w:style>
  <w:style w:type="paragraph" w:styleId="5">
    <w:name w:val="header"/>
    <w:basedOn w:val="1"/>
    <w:link w:val="10"/>
    <w:semiHidden/>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uiPriority w:val="99"/>
    <w:pPr>
      <w:widowControl/>
      <w:spacing w:before="100" w:beforeAutospacing="1" w:after="100" w:afterAutospacing="1"/>
      <w:jc w:val="left"/>
    </w:pPr>
    <w:rPr>
      <w:rFonts w:ascii="宋体" w:hAnsi="宋体" w:cs="宋体"/>
      <w:kern w:val="0"/>
      <w:sz w:val="24"/>
    </w:rPr>
  </w:style>
  <w:style w:type="paragraph" w:customStyle="1" w:styleId="9">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character" w:customStyle="1" w:styleId="10">
    <w:name w:val="页眉 Char"/>
    <w:basedOn w:val="8"/>
    <w:link w:val="5"/>
    <w:semiHidden/>
    <w:uiPriority w:val="99"/>
    <w:rPr>
      <w:rFonts w:ascii="Times New Roman" w:hAnsi="Times New Roman" w:eastAsia="宋体" w:cs="Times New Roman"/>
      <w:sz w:val="18"/>
      <w:szCs w:val="18"/>
    </w:rPr>
  </w:style>
  <w:style w:type="character" w:customStyle="1" w:styleId="11">
    <w:name w:val="页脚 Char"/>
    <w:basedOn w:val="8"/>
    <w:link w:val="4"/>
    <w:semiHidden/>
    <w:uiPriority w:val="99"/>
    <w:rPr>
      <w:rFonts w:ascii="Times New Roman" w:hAnsi="Times New Roman" w:eastAsia="宋体" w:cs="Times New Roman"/>
      <w:sz w:val="18"/>
      <w:szCs w:val="18"/>
    </w:rPr>
  </w:style>
  <w:style w:type="character" w:customStyle="1" w:styleId="12">
    <w:name w:val="标题 5 Char"/>
    <w:basedOn w:val="8"/>
    <w:link w:val="2"/>
    <w:uiPriority w:val="1"/>
    <w:rPr>
      <w:rFonts w:ascii="宋体" w:hAnsi="宋体" w:eastAsia="宋体" w:cs="宋体"/>
      <w:b/>
      <w:bCs/>
      <w:kern w:val="0"/>
      <w:sz w:val="28"/>
      <w:szCs w:val="28"/>
      <w:lang w:val="zh-CN" w:bidi="zh-CN"/>
    </w:rPr>
  </w:style>
  <w:style w:type="character" w:customStyle="1" w:styleId="13">
    <w:name w:val="正文文本 Char"/>
    <w:basedOn w:val="8"/>
    <w:link w:val="3"/>
    <w:uiPriority w:val="1"/>
    <w:rPr>
      <w:rFonts w:ascii="宋体" w:hAnsi="宋体" w:eastAsia="宋体" w:cs="宋体"/>
      <w:kern w:val="0"/>
      <w:sz w:val="28"/>
      <w:szCs w:val="28"/>
      <w:lang w:val="zh-CN" w:bidi="zh-CN"/>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814091C-0CF3-481F-AA25-FC9B5E48B734}">
  <ds:schemaRefs/>
</ds:datastoreItem>
</file>

<file path=docProps/app.xml><?xml version="1.0" encoding="utf-8"?>
<Properties xmlns="http://schemas.openxmlformats.org/officeDocument/2006/extended-properties" xmlns:vt="http://schemas.openxmlformats.org/officeDocument/2006/docPropsVTypes">
  <Template>Normal</Template>
  <Pages>1</Pages>
  <Words>1278</Words>
  <Characters>7287</Characters>
  <Lines>60</Lines>
  <Paragraphs>17</Paragraphs>
  <TotalTime>3</TotalTime>
  <ScaleCrop>false</ScaleCrop>
  <LinksUpToDate>false</LinksUpToDate>
  <CharactersWithSpaces>8548</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2020-09-24T08:37:00Z</dcterms:created>
  <dc:creator>Administrator</dc:creator>
  <cp:lastModifiedBy>茜茜</cp:lastModifiedBy>
  <dcterms:modified xsi:type="dcterms:W3CDTF">2024-01-12T08:12:04Z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y fmtid="{D5CDD505-2E9C-101B-9397-08002B2CF9AE}" pid="3" name="ICV">
    <vt:lpwstr>40FFB8F398624DF2AF7D2E728AF31908</vt:lpwstr>
  </property>
</Properties>
</file>