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4"/>
        <w:spacing w:before="0" w:beforeAutospacing="0"/>
        <w:jc w:val="center"/>
        <w:rPr>
          <w:rFonts w:hint="default" w:ascii="方正小标宋_GBK" w:hAnsi="方正小标宋_GBK" w:eastAsia="方正小标宋_GBK" w:cs="方正小标宋_GBK"/>
          <w:shd w:val="clear" w:color="auto" w:fill="FFFFFF"/>
        </w:rPr>
      </w:pPr>
    </w:p>
    <w:p>
      <w:pPr>
        <w:pStyle w:val="14"/>
        <w:spacing w:before="0" w:beforeAutospacing="0"/>
        <w:jc w:val="center"/>
        <w:rPr>
          <w:rFonts w:hint="default" w:ascii="方正小标宋_GBK" w:hAnsi="方正小标宋_GBK" w:eastAsia="方正小标宋_GBK" w:cs="方正小标宋_GBK"/>
          <w:shd w:val="clear" w:color="auto" w:fill="FFFFFF"/>
        </w:rPr>
      </w:pPr>
      <w:r>
        <w:rPr>
          <w:rFonts w:ascii="方正小标宋_GBK" w:hAnsi="方正小标宋_GBK" w:eastAsia="方正小标宋_GBK" w:cs="方正小标宋_GBK"/>
          <w:shd w:val="clear" w:color="auto" w:fill="FFFFFF"/>
        </w:rPr>
        <w:t xml:space="preserve"> </w:t>
      </w:r>
    </w:p>
    <w:p>
      <w:pPr>
        <w:pStyle w:val="14"/>
        <w:spacing w:before="0" w:beforeAutospacing="0"/>
        <w:jc w:val="center"/>
        <w:rPr>
          <w:rFonts w:hint="default" w:ascii="方正小标宋_GBK" w:hAnsi="方正小标宋_GBK" w:eastAsia="方正小标宋_GBK" w:cs="方正小标宋_GBK"/>
          <w:shd w:val="clear" w:color="auto" w:fill="FFFFFF"/>
        </w:rPr>
      </w:pPr>
      <w:r>
        <w:rPr>
          <w:rFonts w:ascii="方正小标宋_GBK" w:hAnsi="方正小标宋_GBK" w:eastAsia="方正小标宋_GBK" w:cs="方正小标宋_GBK"/>
          <w:shd w:val="clear" w:color="auto" w:fill="FFFFFF"/>
        </w:rPr>
        <w:t xml:space="preserve"> </w:t>
      </w:r>
    </w:p>
    <w:p>
      <w:pPr>
        <w:pStyle w:val="14"/>
        <w:spacing w:before="0" w:beforeAutospacing="0"/>
        <w:jc w:val="center"/>
        <w:rPr>
          <w:rFonts w:hint="default" w:ascii="方正小标宋_GBK" w:hAnsi="方正小标宋_GBK" w:eastAsia="方正小标宋_GBK" w:cs="方正小标宋_GBK"/>
          <w:shd w:val="clear" w:color="auto" w:fill="FFFFFF"/>
        </w:rPr>
      </w:pPr>
      <w:r>
        <w:rPr>
          <w:rFonts w:ascii="方正小标宋_GBK" w:hAnsi="方正小标宋_GBK" w:eastAsia="方正小标宋_GBK" w:cs="方正小标宋_GBK"/>
          <w:shd w:val="clear" w:color="auto" w:fill="FFFFFF"/>
        </w:rPr>
        <w:t xml:space="preserve"> </w:t>
      </w:r>
    </w:p>
    <w:p>
      <w:pPr>
        <w:jc w:val="center"/>
        <w:rPr>
          <w:rFonts w:ascii="方正小标宋_GBK" w:hAnsi="方正小标宋_GBK" w:eastAsia="方正小标宋_GBK" w:cs="方正小标宋_GBK"/>
          <w:sz w:val="50"/>
          <w:szCs w:val="50"/>
        </w:rPr>
      </w:pPr>
      <w:r>
        <w:rPr>
          <w:rFonts w:ascii="方正小标宋_GBK" w:hAnsi="方正小标宋_GBK" w:eastAsia="方正小标宋_GBK" w:cs="方正小标宋_GBK"/>
          <w:sz w:val="50"/>
          <w:szCs w:val="50"/>
        </w:rPr>
        <w:t>中共</w:t>
      </w:r>
      <w:r>
        <w:rPr>
          <w:rFonts w:hint="eastAsia" w:ascii="方正小标宋_GBK" w:hAnsi="方正小标宋_GBK" w:eastAsia="方正小标宋_GBK" w:cs="方正小标宋_GBK"/>
          <w:sz w:val="50"/>
          <w:szCs w:val="50"/>
        </w:rPr>
        <w:t>衡南县</w:t>
      </w:r>
      <w:r>
        <w:rPr>
          <w:rFonts w:ascii="方正小标宋_GBK" w:hAnsi="方正小标宋_GBK" w:eastAsia="方正小标宋_GBK" w:cs="方正小标宋_GBK"/>
          <w:sz w:val="50"/>
          <w:szCs w:val="50"/>
        </w:rPr>
        <w:t>委办公</w:t>
      </w:r>
      <w:r>
        <w:rPr>
          <w:rFonts w:hint="eastAsia" w:ascii="方正小标宋_GBK" w:hAnsi="方正小标宋_GBK" w:eastAsia="方正小标宋_GBK" w:cs="方正小标宋_GBK"/>
          <w:sz w:val="50"/>
          <w:szCs w:val="50"/>
        </w:rPr>
        <w:t>室</w:t>
      </w:r>
    </w:p>
    <w:p>
      <w:pPr>
        <w:jc w:val="center"/>
        <w:rPr>
          <w:rFonts w:ascii="方正小标宋_GBK" w:hAnsi="方正小标宋_GBK" w:eastAsia="方正小标宋_GBK" w:cs="方正小标宋_GBK"/>
          <w:sz w:val="52"/>
          <w:szCs w:val="52"/>
        </w:rPr>
      </w:pPr>
    </w:p>
    <w:p>
      <w:pPr>
        <w:jc w:val="center"/>
        <w:rPr>
          <w:rFonts w:ascii="方正小标宋_GBK" w:hAnsi="方正小标宋_GBK" w:eastAsia="方正小标宋_GBK" w:cs="方正小标宋_GBK"/>
          <w:sz w:val="66"/>
          <w:szCs w:val="66"/>
        </w:rPr>
      </w:pPr>
      <w:r>
        <w:rPr>
          <w:rFonts w:ascii="方正小标宋_GBK" w:hAnsi="方正小标宋_GBK" w:eastAsia="方正小标宋_GBK" w:cs="方正小标宋_GBK"/>
          <w:sz w:val="66"/>
          <w:szCs w:val="66"/>
        </w:rPr>
        <w:t>2019年度部门决算公开材料</w:t>
      </w:r>
    </w:p>
    <w:p>
      <w:pPr>
        <w:jc w:val="center"/>
        <w:rPr>
          <w:rFonts w:ascii="Times New Roman" w:hAnsi="Times New Roman"/>
          <w:b/>
          <w:sz w:val="44"/>
          <w:szCs w:val="44"/>
        </w:rPr>
      </w:pPr>
      <w:r>
        <w:rPr>
          <w:rFonts w:ascii="Times New Roman" w:hAnsi="Times New Roman"/>
          <w:b/>
          <w:sz w:val="44"/>
          <w:szCs w:val="44"/>
        </w:rPr>
        <w:t xml:space="preserve"> </w:t>
      </w:r>
    </w:p>
    <w:p>
      <w:pPr>
        <w:pStyle w:val="14"/>
        <w:spacing w:before="0" w:beforeAutospacing="0"/>
        <w:jc w:val="center"/>
        <w:rPr>
          <w:rFonts w:hint="default" w:cs="宋体"/>
          <w:shd w:val="clear" w:color="auto" w:fill="FFFFFF"/>
        </w:rPr>
      </w:pPr>
      <w:r>
        <w:rPr>
          <w:rFonts w:cs="宋体"/>
          <w:shd w:val="clear" w:color="auto" w:fill="FFFFFF"/>
        </w:rPr>
        <w:t xml:space="preserve"> </w:t>
      </w:r>
    </w:p>
    <w:p>
      <w:pPr>
        <w:pStyle w:val="14"/>
        <w:spacing w:before="0" w:beforeAutospacing="0"/>
        <w:jc w:val="center"/>
        <w:rPr>
          <w:rFonts w:hint="default" w:cs="宋体"/>
          <w:shd w:val="clear" w:color="auto" w:fill="FFFFFF"/>
        </w:rPr>
      </w:pPr>
      <w:r>
        <w:rPr>
          <w:rFonts w:cs="宋体"/>
          <w:shd w:val="clear" w:color="auto" w:fill="FFFFFF"/>
        </w:rPr>
        <w:t xml:space="preserve"> </w:t>
      </w:r>
    </w:p>
    <w:p>
      <w:pPr>
        <w:pStyle w:val="14"/>
        <w:spacing w:before="0" w:beforeAutospacing="0"/>
        <w:jc w:val="both"/>
        <w:rPr>
          <w:rFonts w:hint="default" w:cs="宋体"/>
          <w:shd w:val="clear" w:color="auto" w:fill="FFFFFF"/>
        </w:rPr>
      </w:pPr>
      <w:r>
        <w:rPr>
          <w:rFonts w:cs="宋体"/>
          <w:shd w:val="clear" w:color="auto" w:fill="FFFFFF"/>
        </w:rPr>
        <w:t xml:space="preserve"> </w:t>
      </w:r>
    </w:p>
    <w:p>
      <w:pPr>
        <w:widowControl/>
        <w:jc w:val="left"/>
        <w:rPr>
          <w:rFonts w:ascii="宋体" w:hAnsi="宋体" w:cs="宋体"/>
          <w:kern w:val="0"/>
          <w:sz w:val="24"/>
          <w:szCs w:val="24"/>
          <w:shd w:val="clear" w:color="auto" w:fill="FFFFFF"/>
        </w:rPr>
      </w:pPr>
      <w:r>
        <w:rPr>
          <w:rFonts w:cs="宋体"/>
          <w:shd w:val="clear" w:color="auto" w:fill="FFFFFF"/>
        </w:rPr>
        <w:br w:type="page"/>
      </w:r>
    </w:p>
    <w:p>
      <w:pPr>
        <w:pStyle w:val="14"/>
        <w:spacing w:before="0" w:beforeAutospacing="0" w:line="600" w:lineRule="exact"/>
        <w:jc w:val="center"/>
        <w:rPr>
          <w:rFonts w:hint="default" w:ascii="方正小标宋_GBK" w:hAnsi="方正小标宋_GBK" w:eastAsia="方正小标宋_GBK" w:cs="方正小标宋_GBK"/>
          <w:sz w:val="44"/>
          <w:szCs w:val="44"/>
          <w:shd w:val="clear" w:color="auto" w:fill="FFFFFF"/>
        </w:rPr>
      </w:pPr>
      <w:r>
        <w:rPr>
          <w:rFonts w:ascii="方正小标宋_GBK" w:hAnsi="方正小标宋_GBK" w:eastAsia="方正小标宋_GBK" w:cs="方正小标宋_GBK"/>
          <w:sz w:val="44"/>
          <w:szCs w:val="44"/>
          <w:shd w:val="clear" w:color="auto" w:fill="FFFFFF"/>
        </w:rPr>
        <w:t>目  录</w:t>
      </w:r>
    </w:p>
    <w:p>
      <w:pPr>
        <w:pStyle w:val="14"/>
        <w:widowControl w:val="0"/>
        <w:autoSpaceDE w:val="0"/>
        <w:spacing w:before="0" w:beforeAutospacing="0" w:after="0" w:afterAutospacing="0" w:line="500" w:lineRule="exact"/>
        <w:rPr>
          <w:rFonts w:hint="default" w:ascii="楷体" w:hAnsi="楷体" w:eastAsia="楷体" w:cs="方正黑体_GBK"/>
          <w:sz w:val="30"/>
          <w:szCs w:val="30"/>
        </w:rPr>
      </w:pPr>
      <w:r>
        <w:rPr>
          <w:rStyle w:val="17"/>
          <w:rFonts w:hint="eastAsia" w:ascii="楷体" w:hAnsi="楷体" w:eastAsia="楷体" w:cs="方正黑体_GBK"/>
          <w:b w:val="0"/>
          <w:sz w:val="30"/>
          <w:szCs w:val="30"/>
          <w:shd w:val="clear" w:color="auto" w:fill="FFFFFF"/>
        </w:rPr>
        <w:t>第一部分  中共衡南县委办公室概况</w:t>
      </w:r>
    </w:p>
    <w:p>
      <w:pPr>
        <w:pStyle w:val="14"/>
        <w:widowControl w:val="0"/>
        <w:autoSpaceDE w:val="0"/>
        <w:spacing w:before="0" w:beforeAutospacing="0" w:after="0" w:afterAutospacing="0" w:line="500" w:lineRule="exact"/>
        <w:rPr>
          <w:rFonts w:hint="default" w:ascii="楷体" w:hAnsi="楷体" w:eastAsia="楷体" w:cs="方正仿宋_GBK"/>
          <w:sz w:val="30"/>
          <w:szCs w:val="30"/>
        </w:rPr>
      </w:pPr>
      <w:r>
        <w:rPr>
          <w:rFonts w:ascii="楷体" w:hAnsi="楷体" w:eastAsia="楷体" w:cs="方正仿宋_GBK"/>
          <w:sz w:val="30"/>
          <w:szCs w:val="30"/>
          <w:shd w:val="clear" w:color="auto" w:fill="FFFFFF"/>
        </w:rPr>
        <w:t>一、部门职责</w:t>
      </w:r>
    </w:p>
    <w:p>
      <w:pPr>
        <w:pStyle w:val="14"/>
        <w:widowControl w:val="0"/>
        <w:autoSpaceDE w:val="0"/>
        <w:spacing w:before="0" w:beforeAutospacing="0" w:after="0" w:afterAutospacing="0" w:line="500" w:lineRule="exact"/>
        <w:rPr>
          <w:rFonts w:hint="default" w:ascii="楷体" w:hAnsi="楷体" w:eastAsia="楷体" w:cs="方正仿宋_GBK"/>
          <w:sz w:val="30"/>
          <w:szCs w:val="30"/>
        </w:rPr>
      </w:pPr>
      <w:r>
        <w:rPr>
          <w:rFonts w:ascii="楷体" w:hAnsi="楷体" w:eastAsia="楷体" w:cs="方正仿宋_GBK"/>
          <w:sz w:val="30"/>
          <w:szCs w:val="30"/>
          <w:shd w:val="clear" w:color="auto" w:fill="FFFFFF"/>
        </w:rPr>
        <w:t>二、机构设置</w:t>
      </w:r>
    </w:p>
    <w:p>
      <w:pPr>
        <w:pStyle w:val="14"/>
        <w:widowControl w:val="0"/>
        <w:autoSpaceDE w:val="0"/>
        <w:spacing w:before="0" w:beforeAutospacing="0" w:after="0" w:afterAutospacing="0" w:line="500" w:lineRule="exact"/>
        <w:rPr>
          <w:rFonts w:hint="default" w:ascii="楷体" w:hAnsi="楷体" w:eastAsia="楷体" w:cs="方正黑体_GBK"/>
          <w:sz w:val="30"/>
          <w:szCs w:val="30"/>
          <w:shd w:val="clear" w:color="auto" w:fill="FFFFFF"/>
        </w:rPr>
      </w:pPr>
      <w:r>
        <w:rPr>
          <w:rStyle w:val="17"/>
          <w:rFonts w:hint="eastAsia" w:ascii="楷体" w:hAnsi="楷体" w:eastAsia="楷体" w:cs="方正黑体_GBK"/>
          <w:b w:val="0"/>
          <w:sz w:val="30"/>
          <w:szCs w:val="30"/>
          <w:shd w:val="clear" w:color="auto" w:fill="FFFFFF"/>
        </w:rPr>
        <w:t>第二部分  2019年度部门决算表</w:t>
      </w:r>
    </w:p>
    <w:p>
      <w:pPr>
        <w:pStyle w:val="14"/>
        <w:widowControl w:val="0"/>
        <w:autoSpaceDE w:val="0"/>
        <w:spacing w:before="0" w:beforeAutospacing="0" w:after="0" w:afterAutospacing="0" w:line="500" w:lineRule="exact"/>
        <w:rPr>
          <w:rFonts w:hint="default" w:ascii="楷体" w:hAnsi="楷体" w:eastAsia="楷体" w:cs="方正仿宋_GBK"/>
          <w:sz w:val="30"/>
          <w:szCs w:val="30"/>
          <w:shd w:val="clear" w:color="auto" w:fill="FFFFFF"/>
        </w:rPr>
      </w:pPr>
      <w:r>
        <w:rPr>
          <w:rFonts w:ascii="楷体" w:hAnsi="楷体" w:eastAsia="楷体" w:cs="方正仿宋_GBK"/>
          <w:sz w:val="30"/>
          <w:szCs w:val="30"/>
          <w:shd w:val="clear" w:color="auto" w:fill="FFFFFF"/>
        </w:rPr>
        <w:t>一、收入支出决算总表</w:t>
      </w:r>
    </w:p>
    <w:p>
      <w:pPr>
        <w:pStyle w:val="14"/>
        <w:widowControl w:val="0"/>
        <w:autoSpaceDE w:val="0"/>
        <w:spacing w:before="0" w:beforeAutospacing="0" w:after="0" w:afterAutospacing="0" w:line="500" w:lineRule="exact"/>
        <w:rPr>
          <w:rFonts w:hint="default" w:ascii="楷体" w:hAnsi="楷体" w:eastAsia="楷体" w:cs="方正仿宋_GBK"/>
          <w:sz w:val="30"/>
          <w:szCs w:val="30"/>
          <w:shd w:val="clear" w:color="auto" w:fill="FFFFFF"/>
        </w:rPr>
      </w:pPr>
      <w:r>
        <w:rPr>
          <w:rFonts w:ascii="楷体" w:hAnsi="楷体" w:eastAsia="楷体" w:cs="方正仿宋_GBK"/>
          <w:sz w:val="30"/>
          <w:szCs w:val="30"/>
          <w:shd w:val="clear" w:color="auto" w:fill="FFFFFF"/>
        </w:rPr>
        <w:t>二、收入决算表</w:t>
      </w:r>
    </w:p>
    <w:p>
      <w:pPr>
        <w:pStyle w:val="14"/>
        <w:widowControl w:val="0"/>
        <w:autoSpaceDE w:val="0"/>
        <w:spacing w:before="0" w:beforeAutospacing="0" w:after="0" w:afterAutospacing="0" w:line="500" w:lineRule="exact"/>
        <w:rPr>
          <w:rFonts w:hint="default" w:ascii="楷体" w:hAnsi="楷体" w:eastAsia="楷体" w:cs="方正仿宋_GBK"/>
          <w:sz w:val="30"/>
          <w:szCs w:val="30"/>
          <w:shd w:val="clear" w:color="auto" w:fill="FFFFFF"/>
        </w:rPr>
      </w:pPr>
      <w:r>
        <w:rPr>
          <w:rFonts w:ascii="楷体" w:hAnsi="楷体" w:eastAsia="楷体" w:cs="方正仿宋_GBK"/>
          <w:sz w:val="30"/>
          <w:szCs w:val="30"/>
          <w:shd w:val="clear" w:color="auto" w:fill="FFFFFF"/>
        </w:rPr>
        <w:t>三、支出决算表</w:t>
      </w:r>
    </w:p>
    <w:p>
      <w:pPr>
        <w:pStyle w:val="14"/>
        <w:widowControl w:val="0"/>
        <w:autoSpaceDE w:val="0"/>
        <w:spacing w:before="0" w:beforeAutospacing="0" w:after="0" w:afterAutospacing="0" w:line="500" w:lineRule="exact"/>
        <w:rPr>
          <w:rFonts w:hint="default" w:ascii="楷体" w:hAnsi="楷体" w:eastAsia="楷体" w:cs="方正仿宋_GBK"/>
          <w:sz w:val="30"/>
          <w:szCs w:val="30"/>
          <w:shd w:val="clear" w:color="auto" w:fill="FFFFFF"/>
        </w:rPr>
      </w:pPr>
      <w:r>
        <w:rPr>
          <w:rFonts w:ascii="楷体" w:hAnsi="楷体" w:eastAsia="楷体" w:cs="方正仿宋_GBK"/>
          <w:sz w:val="30"/>
          <w:szCs w:val="30"/>
          <w:shd w:val="clear" w:color="auto" w:fill="FFFFFF"/>
        </w:rPr>
        <w:t>四、财政拨款收入支出决算总表</w:t>
      </w:r>
    </w:p>
    <w:p>
      <w:pPr>
        <w:pStyle w:val="14"/>
        <w:widowControl w:val="0"/>
        <w:autoSpaceDE w:val="0"/>
        <w:spacing w:before="0" w:beforeAutospacing="0" w:after="0" w:afterAutospacing="0" w:line="500" w:lineRule="exact"/>
        <w:rPr>
          <w:rFonts w:hint="default" w:ascii="楷体" w:hAnsi="楷体" w:eastAsia="楷体" w:cs="方正仿宋_GBK"/>
          <w:sz w:val="30"/>
          <w:szCs w:val="30"/>
          <w:shd w:val="clear" w:color="auto" w:fill="FFFFFF"/>
        </w:rPr>
      </w:pPr>
      <w:r>
        <w:rPr>
          <w:rFonts w:ascii="楷体" w:hAnsi="楷体" w:eastAsia="楷体" w:cs="方正仿宋_GBK"/>
          <w:sz w:val="30"/>
          <w:szCs w:val="30"/>
          <w:shd w:val="clear" w:color="auto" w:fill="FFFFFF"/>
        </w:rPr>
        <w:t>五、一般公共预算财政拨款支出决算表</w:t>
      </w:r>
    </w:p>
    <w:p>
      <w:pPr>
        <w:pStyle w:val="14"/>
        <w:widowControl w:val="0"/>
        <w:autoSpaceDE w:val="0"/>
        <w:spacing w:before="0" w:beforeAutospacing="0" w:after="0" w:afterAutospacing="0" w:line="500" w:lineRule="exact"/>
        <w:rPr>
          <w:rFonts w:hint="default" w:ascii="楷体" w:hAnsi="楷体" w:eastAsia="楷体" w:cs="方正仿宋_GBK"/>
          <w:sz w:val="30"/>
          <w:szCs w:val="30"/>
          <w:shd w:val="clear" w:color="auto" w:fill="FFFFFF"/>
        </w:rPr>
      </w:pPr>
      <w:r>
        <w:rPr>
          <w:rFonts w:ascii="楷体" w:hAnsi="楷体" w:eastAsia="楷体" w:cs="方正仿宋_GBK"/>
          <w:sz w:val="30"/>
          <w:szCs w:val="30"/>
          <w:shd w:val="clear" w:color="auto" w:fill="FFFFFF"/>
        </w:rPr>
        <w:t>六、一般公共预算财政拨款基本支出决算表</w:t>
      </w:r>
    </w:p>
    <w:p>
      <w:pPr>
        <w:pStyle w:val="14"/>
        <w:widowControl w:val="0"/>
        <w:autoSpaceDE w:val="0"/>
        <w:spacing w:before="0" w:beforeAutospacing="0" w:after="0" w:afterAutospacing="0" w:line="500" w:lineRule="exact"/>
        <w:rPr>
          <w:rFonts w:hint="default" w:ascii="楷体" w:hAnsi="楷体" w:eastAsia="楷体" w:cs="方正仿宋_GBK"/>
          <w:sz w:val="30"/>
          <w:szCs w:val="30"/>
          <w:shd w:val="clear" w:color="auto" w:fill="FFFFFF"/>
        </w:rPr>
      </w:pPr>
      <w:r>
        <w:rPr>
          <w:rFonts w:ascii="楷体" w:hAnsi="楷体" w:eastAsia="楷体" w:cs="方正仿宋_GBK"/>
          <w:sz w:val="30"/>
          <w:szCs w:val="30"/>
          <w:shd w:val="clear" w:color="auto" w:fill="FFFFFF"/>
        </w:rPr>
        <w:t>七、一般公共预算财政拨款“三公”经费支出决算表</w:t>
      </w:r>
    </w:p>
    <w:p>
      <w:pPr>
        <w:pStyle w:val="14"/>
        <w:widowControl w:val="0"/>
        <w:autoSpaceDE w:val="0"/>
        <w:spacing w:before="0" w:beforeAutospacing="0" w:after="0" w:afterAutospacing="0" w:line="500" w:lineRule="exact"/>
        <w:rPr>
          <w:rFonts w:hint="default" w:ascii="楷体" w:hAnsi="楷体" w:eastAsia="楷体" w:cs="方正仿宋_GBK"/>
          <w:sz w:val="30"/>
          <w:szCs w:val="30"/>
          <w:shd w:val="clear" w:color="auto" w:fill="FFFFFF"/>
        </w:rPr>
      </w:pPr>
      <w:r>
        <w:rPr>
          <w:rFonts w:ascii="楷体" w:hAnsi="楷体" w:eastAsia="楷体" w:cs="方正仿宋_GBK"/>
          <w:sz w:val="30"/>
          <w:szCs w:val="30"/>
          <w:shd w:val="clear" w:color="auto" w:fill="FFFFFF"/>
        </w:rPr>
        <w:t>八、政府性基金预算财政拨款收入支出决算表</w:t>
      </w:r>
    </w:p>
    <w:p>
      <w:pPr>
        <w:pStyle w:val="14"/>
        <w:widowControl w:val="0"/>
        <w:autoSpaceDE w:val="0"/>
        <w:spacing w:before="0" w:beforeAutospacing="0" w:after="0" w:afterAutospacing="0" w:line="500" w:lineRule="exact"/>
        <w:rPr>
          <w:rFonts w:hint="default" w:ascii="楷体" w:hAnsi="楷体" w:eastAsia="楷体" w:cs="方正黑体_GBK"/>
          <w:sz w:val="30"/>
          <w:szCs w:val="30"/>
          <w:shd w:val="clear" w:color="auto" w:fill="FFFFFF"/>
        </w:rPr>
      </w:pPr>
      <w:r>
        <w:rPr>
          <w:rStyle w:val="17"/>
          <w:rFonts w:hint="eastAsia" w:ascii="楷体" w:hAnsi="楷体" w:eastAsia="楷体" w:cs="方正黑体_GBK"/>
          <w:b w:val="0"/>
          <w:sz w:val="30"/>
          <w:szCs w:val="30"/>
          <w:shd w:val="clear" w:color="auto" w:fill="FFFFFF"/>
        </w:rPr>
        <w:t>第三部分  2019年度部门决算情况说明</w:t>
      </w:r>
    </w:p>
    <w:p>
      <w:pPr>
        <w:pStyle w:val="14"/>
        <w:widowControl w:val="0"/>
        <w:autoSpaceDE w:val="0"/>
        <w:spacing w:before="0" w:beforeAutospacing="0" w:after="0" w:afterAutospacing="0" w:line="500" w:lineRule="exact"/>
        <w:rPr>
          <w:rFonts w:hint="default" w:ascii="楷体" w:hAnsi="楷体" w:eastAsia="楷体" w:cs="方正仿宋_GBK"/>
          <w:sz w:val="30"/>
          <w:szCs w:val="30"/>
          <w:shd w:val="clear" w:color="auto" w:fill="FFFFFF"/>
        </w:rPr>
      </w:pPr>
      <w:r>
        <w:rPr>
          <w:rFonts w:ascii="楷体" w:hAnsi="楷体" w:eastAsia="楷体" w:cs="方正仿宋_GBK"/>
          <w:sz w:val="30"/>
          <w:szCs w:val="30"/>
          <w:shd w:val="clear" w:color="auto" w:fill="FFFFFF"/>
        </w:rPr>
        <w:t>一、收入支出决算总体情况说明</w:t>
      </w:r>
    </w:p>
    <w:p>
      <w:pPr>
        <w:pStyle w:val="14"/>
        <w:widowControl w:val="0"/>
        <w:autoSpaceDE w:val="0"/>
        <w:spacing w:before="0" w:beforeAutospacing="0" w:after="0" w:afterAutospacing="0" w:line="500" w:lineRule="exact"/>
        <w:rPr>
          <w:rFonts w:hint="default" w:ascii="楷体" w:hAnsi="楷体" w:eastAsia="楷体" w:cs="方正仿宋_GBK"/>
          <w:sz w:val="30"/>
          <w:szCs w:val="30"/>
          <w:shd w:val="clear" w:color="auto" w:fill="FFFFFF"/>
        </w:rPr>
      </w:pPr>
      <w:r>
        <w:rPr>
          <w:rFonts w:ascii="楷体" w:hAnsi="楷体" w:eastAsia="楷体" w:cs="方正仿宋_GBK"/>
          <w:sz w:val="30"/>
          <w:szCs w:val="30"/>
          <w:shd w:val="clear" w:color="auto" w:fill="FFFFFF"/>
        </w:rPr>
        <w:t>二、收入决算情况说明</w:t>
      </w:r>
    </w:p>
    <w:p>
      <w:pPr>
        <w:pStyle w:val="14"/>
        <w:widowControl w:val="0"/>
        <w:autoSpaceDE w:val="0"/>
        <w:spacing w:before="0" w:beforeAutospacing="0" w:after="0" w:afterAutospacing="0" w:line="500" w:lineRule="exact"/>
        <w:rPr>
          <w:rFonts w:hint="default" w:ascii="楷体" w:hAnsi="楷体" w:eastAsia="楷体" w:cs="方正仿宋_GBK"/>
          <w:sz w:val="30"/>
          <w:szCs w:val="30"/>
          <w:shd w:val="clear" w:color="auto" w:fill="FFFFFF"/>
        </w:rPr>
      </w:pPr>
      <w:r>
        <w:rPr>
          <w:rFonts w:ascii="楷体" w:hAnsi="楷体" w:eastAsia="楷体" w:cs="方正仿宋_GBK"/>
          <w:sz w:val="30"/>
          <w:szCs w:val="30"/>
          <w:shd w:val="clear" w:color="auto" w:fill="FFFFFF"/>
        </w:rPr>
        <w:t>三、支出决算情况说明</w:t>
      </w:r>
    </w:p>
    <w:p>
      <w:pPr>
        <w:pStyle w:val="14"/>
        <w:widowControl w:val="0"/>
        <w:autoSpaceDE w:val="0"/>
        <w:spacing w:before="0" w:beforeAutospacing="0" w:after="0" w:afterAutospacing="0" w:line="500" w:lineRule="exact"/>
        <w:rPr>
          <w:rFonts w:hint="default" w:ascii="楷体" w:hAnsi="楷体" w:eastAsia="楷体" w:cs="方正仿宋_GBK"/>
          <w:sz w:val="30"/>
          <w:szCs w:val="30"/>
          <w:shd w:val="clear" w:color="auto" w:fill="FFFFFF"/>
        </w:rPr>
      </w:pPr>
      <w:r>
        <w:rPr>
          <w:rFonts w:ascii="楷体" w:hAnsi="楷体" w:eastAsia="楷体" w:cs="方正仿宋_GBK"/>
          <w:sz w:val="30"/>
          <w:szCs w:val="30"/>
          <w:shd w:val="clear" w:color="auto" w:fill="FFFFFF"/>
        </w:rPr>
        <w:t>四、财政拨款收入支出决算总体情况说明</w:t>
      </w:r>
    </w:p>
    <w:p>
      <w:pPr>
        <w:pStyle w:val="14"/>
        <w:widowControl w:val="0"/>
        <w:autoSpaceDE w:val="0"/>
        <w:spacing w:before="0" w:beforeAutospacing="0" w:after="0" w:afterAutospacing="0" w:line="500" w:lineRule="exact"/>
        <w:rPr>
          <w:rFonts w:hint="default" w:ascii="楷体" w:hAnsi="楷体" w:eastAsia="楷体" w:cs="方正仿宋_GBK"/>
          <w:sz w:val="30"/>
          <w:szCs w:val="30"/>
          <w:shd w:val="clear" w:color="auto" w:fill="FFFFFF"/>
        </w:rPr>
      </w:pPr>
      <w:r>
        <w:rPr>
          <w:rFonts w:ascii="楷体" w:hAnsi="楷体" w:eastAsia="楷体" w:cs="方正仿宋_GBK"/>
          <w:sz w:val="30"/>
          <w:szCs w:val="30"/>
          <w:shd w:val="clear" w:color="auto" w:fill="FFFFFF"/>
        </w:rPr>
        <w:t>五、一般公共预算财政拨款支出决算情况说明</w:t>
      </w:r>
    </w:p>
    <w:p>
      <w:pPr>
        <w:pStyle w:val="14"/>
        <w:widowControl w:val="0"/>
        <w:autoSpaceDE w:val="0"/>
        <w:spacing w:before="0" w:beforeAutospacing="0" w:after="0" w:afterAutospacing="0" w:line="500" w:lineRule="exact"/>
        <w:rPr>
          <w:rFonts w:hint="default" w:ascii="楷体" w:hAnsi="楷体" w:eastAsia="楷体" w:cs="方正仿宋_GBK"/>
          <w:sz w:val="30"/>
          <w:szCs w:val="30"/>
          <w:shd w:val="clear" w:color="auto" w:fill="FFFFFF"/>
        </w:rPr>
      </w:pPr>
      <w:r>
        <w:rPr>
          <w:rFonts w:ascii="楷体" w:hAnsi="楷体" w:eastAsia="楷体" w:cs="方正仿宋_GBK"/>
          <w:sz w:val="30"/>
          <w:szCs w:val="30"/>
          <w:shd w:val="clear" w:color="auto" w:fill="FFFFFF"/>
        </w:rPr>
        <w:t>六、一般公共预算财政拨款基本支出决算情况说明</w:t>
      </w:r>
    </w:p>
    <w:p>
      <w:pPr>
        <w:pStyle w:val="14"/>
        <w:widowControl w:val="0"/>
        <w:autoSpaceDE w:val="0"/>
        <w:spacing w:before="0" w:beforeAutospacing="0" w:after="0" w:afterAutospacing="0" w:line="500" w:lineRule="exact"/>
        <w:rPr>
          <w:rFonts w:hint="default" w:ascii="楷体" w:hAnsi="楷体" w:eastAsia="楷体" w:cs="方正仿宋_GBK"/>
          <w:sz w:val="30"/>
          <w:szCs w:val="30"/>
          <w:shd w:val="clear" w:color="auto" w:fill="FFFFFF"/>
        </w:rPr>
      </w:pPr>
      <w:r>
        <w:rPr>
          <w:rFonts w:ascii="楷体" w:hAnsi="楷体" w:eastAsia="楷体" w:cs="方正仿宋_GBK"/>
          <w:sz w:val="30"/>
          <w:szCs w:val="30"/>
          <w:shd w:val="clear" w:color="auto" w:fill="FFFFFF"/>
        </w:rPr>
        <w:t>七、一般公共预算财政拨款三公经费支出决算情况说明</w:t>
      </w:r>
    </w:p>
    <w:p>
      <w:pPr>
        <w:pStyle w:val="14"/>
        <w:widowControl w:val="0"/>
        <w:autoSpaceDE w:val="0"/>
        <w:spacing w:before="0" w:beforeAutospacing="0" w:after="0" w:afterAutospacing="0" w:line="500" w:lineRule="exact"/>
        <w:rPr>
          <w:rFonts w:hint="default" w:ascii="楷体" w:hAnsi="楷体" w:eastAsia="楷体" w:cs="方正仿宋_GBK"/>
          <w:sz w:val="30"/>
          <w:szCs w:val="30"/>
          <w:shd w:val="clear" w:color="auto" w:fill="FFFFFF"/>
        </w:rPr>
      </w:pPr>
      <w:r>
        <w:rPr>
          <w:rFonts w:ascii="楷体" w:hAnsi="楷体" w:eastAsia="楷体" w:cs="方正仿宋_GBK"/>
          <w:sz w:val="30"/>
          <w:szCs w:val="30"/>
          <w:shd w:val="clear" w:color="auto" w:fill="FFFFFF"/>
        </w:rPr>
        <w:t>八、政府性基金预算收入支出决算情况</w:t>
      </w:r>
    </w:p>
    <w:p>
      <w:pPr>
        <w:pStyle w:val="14"/>
        <w:widowControl w:val="0"/>
        <w:autoSpaceDE w:val="0"/>
        <w:spacing w:before="0" w:beforeAutospacing="0" w:after="0" w:afterAutospacing="0" w:line="500" w:lineRule="exact"/>
        <w:rPr>
          <w:rFonts w:hint="default" w:ascii="楷体" w:hAnsi="楷体" w:eastAsia="楷体" w:cs="方正仿宋_GBK"/>
          <w:sz w:val="30"/>
          <w:szCs w:val="30"/>
          <w:shd w:val="clear" w:color="auto" w:fill="FFFFFF"/>
        </w:rPr>
      </w:pPr>
      <w:r>
        <w:rPr>
          <w:rFonts w:ascii="楷体" w:hAnsi="楷体" w:eastAsia="楷体" w:cs="方正仿宋_GBK"/>
          <w:sz w:val="30"/>
          <w:szCs w:val="30"/>
          <w:shd w:val="clear" w:color="auto" w:fill="FFFFFF"/>
        </w:rPr>
        <w:t>九、预算绩效情况说明</w:t>
      </w:r>
    </w:p>
    <w:p>
      <w:pPr>
        <w:pStyle w:val="14"/>
        <w:widowControl w:val="0"/>
        <w:autoSpaceDE w:val="0"/>
        <w:spacing w:before="0" w:beforeAutospacing="0" w:after="0" w:afterAutospacing="0" w:line="500" w:lineRule="exact"/>
        <w:rPr>
          <w:rFonts w:hint="default" w:ascii="楷体" w:hAnsi="楷体" w:eastAsia="楷体" w:cs="方正仿宋_GBK"/>
          <w:sz w:val="30"/>
          <w:szCs w:val="30"/>
          <w:shd w:val="clear" w:color="auto" w:fill="FFFFFF"/>
        </w:rPr>
      </w:pPr>
      <w:r>
        <w:rPr>
          <w:rFonts w:ascii="楷体" w:hAnsi="楷体" w:eastAsia="楷体" w:cs="方正仿宋_GBK"/>
          <w:sz w:val="30"/>
          <w:szCs w:val="30"/>
          <w:shd w:val="clear" w:color="auto" w:fill="FFFFFF"/>
        </w:rPr>
        <w:t>十、其他重要事项情况说明</w:t>
      </w:r>
    </w:p>
    <w:p>
      <w:pPr>
        <w:pStyle w:val="14"/>
        <w:widowControl w:val="0"/>
        <w:autoSpaceDE w:val="0"/>
        <w:spacing w:before="0" w:beforeAutospacing="0" w:after="0" w:afterAutospacing="0" w:line="500" w:lineRule="exact"/>
        <w:rPr>
          <w:rFonts w:hint="default" w:ascii="楷体" w:hAnsi="楷体" w:eastAsia="楷体" w:cs="方正黑体_GBK"/>
          <w:sz w:val="30"/>
          <w:szCs w:val="30"/>
          <w:shd w:val="clear" w:color="auto" w:fill="FFFFFF"/>
        </w:rPr>
      </w:pPr>
      <w:r>
        <w:rPr>
          <w:rStyle w:val="17"/>
          <w:rFonts w:hint="eastAsia" w:ascii="楷体" w:hAnsi="楷体" w:eastAsia="楷体" w:cs="方正黑体_GBK"/>
          <w:b w:val="0"/>
          <w:sz w:val="30"/>
          <w:szCs w:val="30"/>
          <w:shd w:val="clear" w:color="auto" w:fill="FFFFFF"/>
        </w:rPr>
        <w:t>第四部分  名词解释</w:t>
      </w:r>
    </w:p>
    <w:p>
      <w:pPr>
        <w:widowControl/>
        <w:jc w:val="left"/>
        <w:rPr>
          <w:rFonts w:ascii="楷体" w:hAnsi="楷体" w:eastAsia="楷体" w:cs="宋体"/>
          <w:sz w:val="30"/>
          <w:szCs w:val="30"/>
        </w:rPr>
        <w:sectPr>
          <w:footerReference r:id="rId3" w:type="default"/>
          <w:pgSz w:w="11906" w:h="16838"/>
          <w:pgMar w:top="1588" w:right="1418" w:bottom="1247" w:left="1418" w:header="851" w:footer="1134" w:gutter="0"/>
          <w:pgNumType w:start="1"/>
          <w:cols w:space="425" w:num="1"/>
          <w:docGrid w:type="lines" w:linePitch="312" w:charSpace="0"/>
        </w:sectPr>
      </w:pPr>
      <w:r>
        <w:rPr>
          <w:rStyle w:val="17"/>
          <w:rFonts w:hint="eastAsia" w:ascii="楷体" w:hAnsi="楷体" w:eastAsia="楷体" w:cs="方正黑体_GBK"/>
          <w:b w:val="0"/>
          <w:sz w:val="30"/>
          <w:szCs w:val="30"/>
          <w:shd w:val="clear" w:color="auto" w:fill="FFFFFF"/>
        </w:rPr>
        <w:t>第五部分  附件</w:t>
      </w:r>
      <w:r>
        <w:rPr>
          <w:rFonts w:ascii="楷体" w:hAnsi="楷体" w:eastAsia="楷体" w:cs="宋体"/>
          <w:sz w:val="30"/>
          <w:szCs w:val="30"/>
        </w:rPr>
        <w:t xml:space="preserve"> </w:t>
      </w:r>
    </w:p>
    <w:p>
      <w:pPr>
        <w:spacing w:line="560" w:lineRule="exact"/>
        <w:jc w:val="center"/>
        <w:rPr>
          <w:rFonts w:ascii="方正大标宋简体" w:eastAsia="方正大标宋简体"/>
          <w:sz w:val="44"/>
          <w:szCs w:val="44"/>
        </w:rPr>
      </w:pPr>
      <w:r>
        <w:rPr>
          <w:rFonts w:hint="eastAsia" w:ascii="方正大标宋简体" w:eastAsia="方正大标宋简体"/>
          <w:sz w:val="44"/>
          <w:szCs w:val="44"/>
        </w:rPr>
        <w:t>衡南县委办2019年度部门决算公开说明</w:t>
      </w:r>
    </w:p>
    <w:p>
      <w:pPr>
        <w:spacing w:line="560" w:lineRule="exact"/>
        <w:rPr>
          <w:rFonts w:ascii="仿宋_GB2312" w:eastAsia="仿宋_GB2312"/>
          <w:sz w:val="30"/>
          <w:szCs w:val="30"/>
        </w:rPr>
      </w:pPr>
    </w:p>
    <w:p>
      <w:pPr>
        <w:spacing w:line="560" w:lineRule="exact"/>
        <w:jc w:val="center"/>
        <w:rPr>
          <w:rFonts w:ascii="黑体" w:hAnsi="黑体" w:eastAsia="黑体"/>
          <w:sz w:val="36"/>
          <w:szCs w:val="36"/>
        </w:rPr>
      </w:pPr>
      <w:r>
        <w:rPr>
          <w:rFonts w:hint="eastAsia" w:ascii="黑体" w:hAnsi="黑体" w:eastAsia="黑体"/>
          <w:sz w:val="36"/>
          <w:szCs w:val="36"/>
        </w:rPr>
        <w:t>第一部分  单位概况</w:t>
      </w:r>
    </w:p>
    <w:p>
      <w:pPr>
        <w:spacing w:line="400" w:lineRule="exact"/>
        <w:jc w:val="center"/>
        <w:rPr>
          <w:rFonts w:ascii="黑体" w:hAnsi="黑体" w:eastAsia="黑体"/>
          <w:sz w:val="30"/>
          <w:szCs w:val="30"/>
        </w:rPr>
      </w:pPr>
    </w:p>
    <w:p>
      <w:pPr>
        <w:spacing w:line="560" w:lineRule="exact"/>
        <w:ind w:firstLine="600" w:firstLineChars="200"/>
        <w:rPr>
          <w:rFonts w:ascii="黑体" w:hAnsi="黑体" w:eastAsia="黑体"/>
          <w:sz w:val="30"/>
          <w:szCs w:val="30"/>
        </w:rPr>
      </w:pPr>
      <w:r>
        <w:rPr>
          <w:rFonts w:hint="eastAsia" w:ascii="黑体" w:hAnsi="黑体" w:eastAsia="黑体"/>
          <w:sz w:val="30"/>
          <w:szCs w:val="30"/>
        </w:rPr>
        <w:t>一、部门职能职责</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1.负责县委会议的准备和组织协调工作，统筹协调县委领导同志公务活动，办理县委领导同志交办的事项。</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2.围绕县委工作部署，对涉及全县经济建设、社会发展、党的自身建设等全局性的重大问题进行调查研究，为县委科学决策提出建议、预案和依据。</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3.负责县委文件和县委领导同志文稿的起草、校核、印发工作，负责文书处理工作；负责中央文件和党政军领导机关机要件的传递工作。</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4.负责党内规范性文件的审核、报送、备案、清理，协调县委法律顾问服务相关工作。</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5.研究、审核县委各部门、县直单位、乡镇党委（党组）向县委的请示、报告，提出处理意见报县委领导同志审批。</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6.负责以县委名义向市委请示报告工作的归口和把关，负责统筹、指导、督促全县党组织重大事项报告工作。</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7.负责向中央、省委、市委、县委报送信息，反映有关动态；负责全县办公室系统的业务指导。</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8.负责中央、省委、市委、县委重大方针政策、重要工作部署和领导同志重要批示、批件（含重点交办事项）贯彻落实情况的督促检查工作；组织督办人大代表有关建议、政协委员有关提案；负责县委领导民情调查的服务和全县民情调查工作的组织指导工作。</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9.负责县委及县委各部门、县直单位年度督查检查考核划的归口审核和全县性年度督查检查考核计划的统一报批、监督实施。</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10.承担县绩效评估委员会办公室的日常工作，组织、协调、指导全县绩效评估工作。</w:t>
      </w:r>
    </w:p>
    <w:p>
      <w:pPr>
        <w:spacing w:line="580" w:lineRule="exact"/>
        <w:ind w:firstLine="624" w:firstLineChars="200"/>
        <w:rPr>
          <w:rFonts w:ascii="仿宋" w:hAnsi="仿宋" w:eastAsia="仿宋"/>
          <w:spacing w:val="-4"/>
          <w:sz w:val="32"/>
          <w:szCs w:val="32"/>
        </w:rPr>
      </w:pPr>
      <w:r>
        <w:rPr>
          <w:rFonts w:hint="eastAsia" w:ascii="仿宋" w:hAnsi="仿宋" w:eastAsia="仿宋"/>
          <w:spacing w:val="-4"/>
          <w:sz w:val="32"/>
          <w:szCs w:val="32"/>
        </w:rPr>
        <w:t>11.负责编制、实施全县外事、港澳工作发展规划;负责重要外宾、重要港澳同胞的来访接待;负责全县涉外涉港澳活动的组织管理、联络协调，涉外涉港澳事件的处理工作;负责县级领导因公组团出访、外事接待相关事项:审核全县因公出国、赴港澳等有关工作。</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12.负责全县对台联络、经贸、交流、重宾接待、宣传教育的组织、指导、协调、检查、督促，审核全县因公赴台事项、负责涉台事件处理等工作。</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13.负责中央、省委省政府、市委市政府等领导同志来衡南县视察期间的政务活动统筹安排与协调。</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14.负责全县档案事业的发展规划、组织协调；负责全县档案工作的监督和指导；负责全县档案法规的宣传教育以及依法查处档案违法行为。</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15.负责县委值班工作，及时向县委领导同志报告重要情况，协助处理县直机关单位和乡镇向县委反映的重要问题。</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16.负责贯彻执行保密工作的方针政策和法律法规，指导、协调党、政、军、人民团体机关、大中专院校及企事业单位的保密工作，负责监督、检查《中华人民共和国保守国家秘密法</w:t>
      </w:r>
      <w:r>
        <w:rPr>
          <w:rFonts w:hint="eastAsia" w:ascii="仿宋" w:hAnsi="仿宋" w:eastAsia="仿宋"/>
          <w:sz w:val="32"/>
          <w:szCs w:val="32"/>
        </w:rPr>
        <w:t>》及其他保密法律法规、规章制度在全县的贯彻实施、宣传教育、指导协调、监督管理和失泄密案件查处工作；制订全县保密工作年度计划，并负责督促落实；向县委、县政府和上级保密工作部门报告全县保密工作情况，提出改进和加强保密工作的意见建议；依法履行保密行政管理职能；负责组织、指导经常性的保密宣传教育工作；组织全县保密干部业务培训，开展保密工作调查研究；参与制订全县重大活动、重要会议、重要项目的保密工作预案，协同有关部门做好专项保密工作；组织、参与泄密事件的查处工作，督促有关单位对泄露和可能泄露的国家秘密事项采取补教措施；依法开展保密检查，加强对全县党政机关保密要害部门部位的管理；办理县委、县政府交办的保密工作事项，处理县委保密委员会的日常工作。</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17.完成县委和县委领导同志交办的其他任务。</w:t>
      </w:r>
    </w:p>
    <w:p>
      <w:pPr>
        <w:snapToGrid w:val="0"/>
        <w:spacing w:line="600" w:lineRule="exact"/>
        <w:ind w:firstLine="600" w:firstLineChars="200"/>
        <w:rPr>
          <w:rFonts w:ascii="方正黑体_GBK" w:hAnsi="方正黑体_GBK" w:eastAsia="方正黑体_GBK" w:cs="方正黑体_GBK"/>
          <w:sz w:val="34"/>
          <w:szCs w:val="34"/>
        </w:rPr>
      </w:pPr>
      <w:r>
        <w:rPr>
          <w:rFonts w:hint="eastAsia" w:ascii="黑体" w:hAnsi="黑体" w:eastAsia="黑体"/>
          <w:sz w:val="30"/>
          <w:szCs w:val="30"/>
        </w:rPr>
        <w:t>二、</w:t>
      </w:r>
      <w:r>
        <w:rPr>
          <w:rFonts w:ascii="黑体" w:hAnsi="黑体" w:eastAsia="黑体"/>
          <w:sz w:val="30"/>
          <w:szCs w:val="30"/>
        </w:rPr>
        <w:t>机构设置及决算单位构成</w:t>
      </w:r>
    </w:p>
    <w:p>
      <w:pPr>
        <w:snapToGrid w:val="0"/>
        <w:spacing w:line="600" w:lineRule="exact"/>
        <w:ind w:firstLine="600" w:firstLineChars="200"/>
        <w:rPr>
          <w:rFonts w:ascii="黑体" w:hAnsi="黑体" w:eastAsia="黑体"/>
          <w:sz w:val="30"/>
          <w:szCs w:val="30"/>
        </w:rPr>
      </w:pPr>
      <w:r>
        <w:rPr>
          <w:rFonts w:ascii="黑体" w:hAnsi="黑体" w:eastAsia="黑体"/>
          <w:sz w:val="30"/>
          <w:szCs w:val="30"/>
        </w:rPr>
        <w:t>（一）内设机构设置</w:t>
      </w:r>
    </w:p>
    <w:p>
      <w:pPr>
        <w:spacing w:line="580" w:lineRule="exact"/>
        <w:ind w:firstLine="600" w:firstLineChars="200"/>
        <w:rPr>
          <w:rFonts w:ascii="仿宋" w:hAnsi="仿宋" w:eastAsia="仿宋"/>
          <w:sz w:val="30"/>
          <w:szCs w:val="30"/>
        </w:rPr>
      </w:pPr>
      <w:r>
        <w:rPr>
          <w:rFonts w:hint="eastAsia" w:ascii="仿宋" w:hAnsi="仿宋" w:eastAsia="仿宋"/>
          <w:sz w:val="30"/>
          <w:szCs w:val="30"/>
        </w:rPr>
        <w:t>根据上述职能，我办设内设组室16个，</w:t>
      </w:r>
      <w:r>
        <w:rPr>
          <w:rFonts w:hint="eastAsia" w:ascii="仿宋" w:hAnsi="仿宋" w:eastAsia="仿宋" w:cs="仿宋_GB2312"/>
          <w:sz w:val="32"/>
          <w:szCs w:val="32"/>
        </w:rPr>
        <w:t>分别为</w:t>
      </w:r>
      <w:r>
        <w:rPr>
          <w:rFonts w:hint="eastAsia" w:ascii="仿宋" w:hAnsi="仿宋" w:eastAsia="仿宋"/>
          <w:sz w:val="32"/>
          <w:szCs w:val="32"/>
        </w:rPr>
        <w:t>县委总值班室、秘书组、综合信息组、办文法规室、督查室（对外称中共衡南县委督查室）、绩效考核组（县全面建成小康社会推进工作领导小组办公室）、密码通信室、电子政务管理室、保密办、组织人事组、行政后勤组、财务室、档</w:t>
      </w:r>
      <w:r>
        <w:rPr>
          <w:rFonts w:hint="eastAsia" w:ascii="仿宋" w:hAnsi="仿宋" w:eastAsia="仿宋"/>
          <w:spacing w:val="-6"/>
          <w:sz w:val="32"/>
          <w:szCs w:val="32"/>
        </w:rPr>
        <w:t>案行政管理组、外事和港澳事务组、台湾事务组、机关党建指导组。</w:t>
      </w:r>
    </w:p>
    <w:p>
      <w:pPr>
        <w:autoSpaceDE w:val="0"/>
        <w:snapToGrid w:val="0"/>
        <w:spacing w:line="600" w:lineRule="exact"/>
        <w:ind w:firstLine="600" w:firstLineChars="200"/>
        <w:rPr>
          <w:rFonts w:ascii="黑体" w:hAnsi="黑体" w:eastAsia="黑体"/>
          <w:sz w:val="30"/>
          <w:szCs w:val="30"/>
        </w:rPr>
      </w:pPr>
      <w:r>
        <w:rPr>
          <w:rFonts w:ascii="黑体" w:hAnsi="黑体" w:eastAsia="黑体"/>
          <w:sz w:val="30"/>
          <w:szCs w:val="30"/>
        </w:rPr>
        <w:t>（二）决算单位构成</w:t>
      </w:r>
    </w:p>
    <w:p>
      <w:pPr>
        <w:spacing w:line="580" w:lineRule="exact"/>
        <w:ind w:firstLine="616" w:firstLineChars="200"/>
        <w:rPr>
          <w:rFonts w:ascii="仿宋" w:hAnsi="仿宋" w:eastAsia="仿宋"/>
          <w:spacing w:val="-6"/>
          <w:sz w:val="32"/>
          <w:szCs w:val="32"/>
        </w:rPr>
      </w:pPr>
      <w:r>
        <w:rPr>
          <w:rFonts w:ascii="仿宋" w:hAnsi="仿宋" w:eastAsia="仿宋"/>
          <w:spacing w:val="-6"/>
          <w:sz w:val="32"/>
          <w:szCs w:val="32"/>
        </w:rPr>
        <w:t>2019年部门决算汇总公开单位构成包括：</w:t>
      </w:r>
      <w:r>
        <w:rPr>
          <w:rFonts w:hint="eastAsia" w:ascii="仿宋" w:hAnsi="仿宋" w:eastAsia="仿宋"/>
          <w:spacing w:val="-6"/>
          <w:sz w:val="32"/>
          <w:szCs w:val="32"/>
        </w:rPr>
        <w:t>县委办公室</w:t>
      </w:r>
      <w:r>
        <w:rPr>
          <w:rFonts w:ascii="仿宋" w:hAnsi="仿宋" w:eastAsia="仿宋"/>
          <w:spacing w:val="-6"/>
          <w:sz w:val="32"/>
          <w:szCs w:val="32"/>
        </w:rPr>
        <w:t>本级、</w:t>
      </w:r>
      <w:r>
        <w:rPr>
          <w:rFonts w:hint="eastAsia" w:ascii="仿宋" w:hAnsi="仿宋" w:eastAsia="仿宋"/>
          <w:sz w:val="30"/>
          <w:szCs w:val="30"/>
        </w:rPr>
        <w:t>县科学界联合会、老干管理中心</w:t>
      </w:r>
    </w:p>
    <w:p>
      <w:pPr>
        <w:spacing w:line="580" w:lineRule="exact"/>
        <w:ind w:firstLine="600" w:firstLineChars="200"/>
        <w:rPr>
          <w:rFonts w:ascii="仿宋" w:hAnsi="仿宋" w:eastAsia="仿宋"/>
          <w:sz w:val="30"/>
          <w:szCs w:val="30"/>
        </w:rPr>
      </w:pPr>
    </w:p>
    <w:p>
      <w:pPr>
        <w:spacing w:line="560" w:lineRule="exact"/>
        <w:rPr>
          <w:rFonts w:ascii="黑体" w:hAnsi="黑体" w:eastAsia="黑体"/>
          <w:sz w:val="34"/>
          <w:szCs w:val="34"/>
        </w:rPr>
      </w:pPr>
    </w:p>
    <w:p>
      <w:pPr>
        <w:widowControl/>
        <w:numPr>
          <w:ilvl w:val="0"/>
          <w:numId w:val="1"/>
        </w:numPr>
        <w:spacing w:line="600" w:lineRule="exact"/>
        <w:jc w:val="center"/>
        <w:rPr>
          <w:rFonts w:ascii="方正小标宋_GBK" w:hAnsi="方正小标宋_GBK" w:eastAsia="方正小标宋_GBK" w:cs="方正小标宋_GBK"/>
          <w:kern w:val="0"/>
          <w:sz w:val="40"/>
          <w:szCs w:val="40"/>
        </w:rPr>
      </w:pPr>
      <w:r>
        <w:rPr>
          <w:rFonts w:hint="eastAsia" w:ascii="方正小标宋_GBK" w:hAnsi="方正小标宋_GBK" w:eastAsia="方正小标宋_GBK" w:cs="方正小标宋_GBK"/>
          <w:kern w:val="0"/>
          <w:sz w:val="40"/>
          <w:szCs w:val="40"/>
        </w:rPr>
        <w:t>2019年度部门决算表</w:t>
      </w:r>
    </w:p>
    <w:p>
      <w:pPr>
        <w:pStyle w:val="14"/>
        <w:spacing w:before="0" w:beforeAutospacing="0"/>
        <w:jc w:val="both"/>
        <w:rPr>
          <w:rFonts w:hint="default" w:ascii="方正小标宋_GBK" w:hAnsi="方正小标宋_GBK" w:eastAsia="方正小标宋_GBK" w:cs="方正小标宋_GBK"/>
          <w:sz w:val="40"/>
          <w:szCs w:val="40"/>
          <w:shd w:val="clear" w:color="auto" w:fill="FFFFFF"/>
        </w:rPr>
      </w:pPr>
      <w:r>
        <w:rPr>
          <w:rFonts w:ascii="方正小标宋_GBK" w:hAnsi="方正小标宋_GBK" w:eastAsia="方正小标宋_GBK" w:cs="方正小标宋_GBK"/>
          <w:sz w:val="40"/>
          <w:szCs w:val="40"/>
          <w:shd w:val="clear" w:color="auto" w:fill="FFFFFF"/>
        </w:rPr>
        <w:t xml:space="preserve"> </w:t>
      </w:r>
    </w:p>
    <w:p>
      <w:pPr>
        <w:pStyle w:val="14"/>
        <w:spacing w:before="0" w:beforeAutospacing="0"/>
        <w:jc w:val="both"/>
        <w:rPr>
          <w:rFonts w:hint="default" w:ascii="方正小标宋_GBK" w:hAnsi="方正小标宋_GBK" w:eastAsia="方正小标宋_GBK" w:cs="方正小标宋_GBK"/>
          <w:sz w:val="40"/>
          <w:szCs w:val="40"/>
          <w:shd w:val="clear" w:color="auto" w:fill="FFFFFF"/>
        </w:rPr>
      </w:pPr>
    </w:p>
    <w:p>
      <w:pPr>
        <w:jc w:val="center"/>
        <w:rPr>
          <w:sz w:val="36"/>
          <w:szCs w:val="36"/>
        </w:rPr>
      </w:pPr>
      <w:r>
        <w:rPr>
          <w:rFonts w:hint="eastAsia"/>
          <w:sz w:val="36"/>
          <w:szCs w:val="36"/>
        </w:rPr>
        <w:t>(部门决算公示表附后)</w:t>
      </w:r>
    </w:p>
    <w:p>
      <w:pPr>
        <w:widowControl/>
        <w:jc w:val="left"/>
        <w:rPr>
          <w:sz w:val="36"/>
          <w:szCs w:val="36"/>
        </w:rPr>
      </w:pPr>
      <w:r>
        <w:rPr>
          <w:sz w:val="36"/>
          <w:szCs w:val="36"/>
        </w:rPr>
        <w:br w:type="page"/>
      </w:r>
      <w:r>
        <w:rPr>
          <w:szCs w:val="36"/>
        </w:rPr>
        <w:drawing>
          <wp:inline distT="0" distB="0" distL="0" distR="0">
            <wp:extent cx="5794375" cy="8519160"/>
            <wp:effectExtent l="19050" t="0" r="0" b="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noChangeArrowheads="1"/>
                    </pic:cNvPicPr>
                  </pic:nvPicPr>
                  <pic:blipFill>
                    <a:blip r:embed="rId5" cstate="print"/>
                    <a:srcRect/>
                    <a:stretch>
                      <a:fillRect/>
                    </a:stretch>
                  </pic:blipFill>
                  <pic:spPr>
                    <a:xfrm>
                      <a:off x="0" y="0"/>
                      <a:ext cx="5797423" cy="8523486"/>
                    </a:xfrm>
                    <a:prstGeom prst="rect">
                      <a:avLst/>
                    </a:prstGeom>
                    <a:noFill/>
                    <a:ln w="9525">
                      <a:noFill/>
                      <a:miter lim="800000"/>
                      <a:headEnd/>
                      <a:tailEnd/>
                    </a:ln>
                  </pic:spPr>
                </pic:pic>
              </a:graphicData>
            </a:graphic>
          </wp:inline>
        </w:drawing>
      </w:r>
      <w:r>
        <w:rPr>
          <w:szCs w:val="36"/>
        </w:rPr>
        <w:drawing>
          <wp:inline distT="0" distB="0" distL="0" distR="0">
            <wp:extent cx="5759450" cy="8611870"/>
            <wp:effectExtent l="19050" t="0" r="0" b="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noChangeArrowheads="1"/>
                    </pic:cNvPicPr>
                  </pic:nvPicPr>
                  <pic:blipFill>
                    <a:blip r:embed="rId6" cstate="print"/>
                    <a:srcRect/>
                    <a:stretch>
                      <a:fillRect/>
                    </a:stretch>
                  </pic:blipFill>
                  <pic:spPr>
                    <a:xfrm>
                      <a:off x="0" y="0"/>
                      <a:ext cx="5759450" cy="8612214"/>
                    </a:xfrm>
                    <a:prstGeom prst="rect">
                      <a:avLst/>
                    </a:prstGeom>
                    <a:noFill/>
                    <a:ln w="9525">
                      <a:noFill/>
                      <a:miter lim="800000"/>
                      <a:headEnd/>
                      <a:tailEnd/>
                    </a:ln>
                  </pic:spPr>
                </pic:pic>
              </a:graphicData>
            </a:graphic>
          </wp:inline>
        </w:drawing>
      </w:r>
      <w:r>
        <w:rPr>
          <w:szCs w:val="36"/>
        </w:rPr>
        <w:drawing>
          <wp:inline distT="0" distB="0" distL="0" distR="0">
            <wp:extent cx="5918200" cy="8645525"/>
            <wp:effectExtent l="19050" t="0" r="5969" b="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noChangeArrowheads="1"/>
                    </pic:cNvPicPr>
                  </pic:nvPicPr>
                  <pic:blipFill>
                    <a:blip r:embed="rId7" cstate="print"/>
                    <a:srcRect/>
                    <a:stretch>
                      <a:fillRect/>
                    </a:stretch>
                  </pic:blipFill>
                  <pic:spPr>
                    <a:xfrm>
                      <a:off x="0" y="0"/>
                      <a:ext cx="5917219" cy="8643866"/>
                    </a:xfrm>
                    <a:prstGeom prst="rect">
                      <a:avLst/>
                    </a:prstGeom>
                    <a:noFill/>
                    <a:ln w="9525">
                      <a:noFill/>
                      <a:miter lim="800000"/>
                      <a:headEnd/>
                      <a:tailEnd/>
                    </a:ln>
                  </pic:spPr>
                </pic:pic>
              </a:graphicData>
            </a:graphic>
          </wp:inline>
        </w:drawing>
      </w:r>
      <w:r>
        <w:rPr>
          <w:szCs w:val="36"/>
        </w:rPr>
        <w:drawing>
          <wp:inline distT="0" distB="0" distL="0" distR="0">
            <wp:extent cx="5760720" cy="7608570"/>
            <wp:effectExtent l="19050" t="0" r="0"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noChangeArrowheads="1"/>
                    </pic:cNvPicPr>
                  </pic:nvPicPr>
                  <pic:blipFill>
                    <a:blip r:embed="rId8" cstate="print"/>
                    <a:srcRect/>
                    <a:stretch>
                      <a:fillRect/>
                    </a:stretch>
                  </pic:blipFill>
                  <pic:spPr>
                    <a:xfrm>
                      <a:off x="0" y="0"/>
                      <a:ext cx="5759450" cy="7606875"/>
                    </a:xfrm>
                    <a:prstGeom prst="rect">
                      <a:avLst/>
                    </a:prstGeom>
                    <a:noFill/>
                    <a:ln w="9525">
                      <a:noFill/>
                      <a:miter lim="800000"/>
                      <a:headEnd/>
                      <a:tailEnd/>
                    </a:ln>
                  </pic:spPr>
                </pic:pic>
              </a:graphicData>
            </a:graphic>
          </wp:inline>
        </w:drawing>
      </w:r>
      <w:r>
        <w:rPr>
          <w:sz w:val="36"/>
          <w:szCs w:val="36"/>
        </w:rPr>
        <w:br w:type="page"/>
      </w:r>
    </w:p>
    <w:p>
      <w:pPr>
        <w:widowControl/>
        <w:jc w:val="left"/>
        <w:rPr>
          <w:sz w:val="36"/>
          <w:szCs w:val="36"/>
        </w:rPr>
      </w:pPr>
      <w:r>
        <w:rPr>
          <w:szCs w:val="36"/>
        </w:rPr>
        <w:drawing>
          <wp:inline distT="0" distB="0" distL="0" distR="0">
            <wp:extent cx="5760720" cy="8672830"/>
            <wp:effectExtent l="19050" t="0" r="0" b="0"/>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pic:cNvPicPr>
                      <a:picLocks noChangeAspect="1" noChangeArrowheads="1"/>
                    </pic:cNvPicPr>
                  </pic:nvPicPr>
                  <pic:blipFill>
                    <a:blip r:embed="rId9" cstate="print"/>
                    <a:srcRect/>
                    <a:stretch>
                      <a:fillRect/>
                    </a:stretch>
                  </pic:blipFill>
                  <pic:spPr>
                    <a:xfrm>
                      <a:off x="0" y="0"/>
                      <a:ext cx="5759450" cy="8671154"/>
                    </a:xfrm>
                    <a:prstGeom prst="rect">
                      <a:avLst/>
                    </a:prstGeom>
                    <a:noFill/>
                    <a:ln w="9525">
                      <a:noFill/>
                      <a:miter lim="800000"/>
                      <a:headEnd/>
                      <a:tailEnd/>
                    </a:ln>
                  </pic:spPr>
                </pic:pic>
              </a:graphicData>
            </a:graphic>
          </wp:inline>
        </w:drawing>
      </w:r>
    </w:p>
    <w:p>
      <w:pPr>
        <w:widowControl/>
        <w:jc w:val="left"/>
        <w:rPr>
          <w:sz w:val="36"/>
          <w:szCs w:val="36"/>
        </w:rPr>
      </w:pPr>
      <w:r>
        <w:rPr>
          <w:szCs w:val="36"/>
        </w:rPr>
        <w:drawing>
          <wp:inline distT="0" distB="0" distL="0" distR="0">
            <wp:extent cx="5828665" cy="7840345"/>
            <wp:effectExtent l="19050" t="0" r="284" b="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pic:cNvPicPr>
                      <a:picLocks noChangeAspect="1" noChangeArrowheads="1"/>
                    </pic:cNvPicPr>
                  </pic:nvPicPr>
                  <pic:blipFill>
                    <a:blip r:embed="rId10" cstate="print"/>
                    <a:srcRect/>
                    <a:stretch>
                      <a:fillRect/>
                    </a:stretch>
                  </pic:blipFill>
                  <pic:spPr>
                    <a:xfrm>
                      <a:off x="0" y="0"/>
                      <a:ext cx="5831840" cy="7844438"/>
                    </a:xfrm>
                    <a:prstGeom prst="rect">
                      <a:avLst/>
                    </a:prstGeom>
                    <a:noFill/>
                    <a:ln w="9525">
                      <a:noFill/>
                      <a:miter lim="800000"/>
                      <a:headEnd/>
                      <a:tailEnd/>
                    </a:ln>
                  </pic:spPr>
                </pic:pic>
              </a:graphicData>
            </a:graphic>
          </wp:inline>
        </w:drawing>
      </w:r>
      <w:r>
        <w:rPr>
          <w:sz w:val="36"/>
          <w:szCs w:val="36"/>
        </w:rPr>
        <w:br w:type="page"/>
      </w:r>
    </w:p>
    <w:p>
      <w:pPr>
        <w:widowControl/>
        <w:jc w:val="left"/>
        <w:rPr>
          <w:sz w:val="36"/>
          <w:szCs w:val="36"/>
        </w:rPr>
      </w:pPr>
      <w:r>
        <w:rPr>
          <w:rFonts w:hint="eastAsia"/>
          <w:szCs w:val="36"/>
        </w:rPr>
        <w:drawing>
          <wp:inline distT="0" distB="0" distL="0" distR="0">
            <wp:extent cx="5828665" cy="3357245"/>
            <wp:effectExtent l="19050" t="0" r="284" b="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noChangeArrowheads="1"/>
                    </pic:cNvPicPr>
                  </pic:nvPicPr>
                  <pic:blipFill>
                    <a:blip r:embed="rId11" cstate="print"/>
                    <a:srcRect/>
                    <a:stretch>
                      <a:fillRect/>
                    </a:stretch>
                  </pic:blipFill>
                  <pic:spPr>
                    <a:xfrm>
                      <a:off x="0" y="0"/>
                      <a:ext cx="5831840" cy="3358977"/>
                    </a:xfrm>
                    <a:prstGeom prst="rect">
                      <a:avLst/>
                    </a:prstGeom>
                    <a:noFill/>
                    <a:ln w="9525">
                      <a:noFill/>
                      <a:miter lim="800000"/>
                      <a:headEnd/>
                      <a:tailEnd/>
                    </a:ln>
                  </pic:spPr>
                </pic:pic>
              </a:graphicData>
            </a:graphic>
          </wp:inline>
        </w:drawing>
      </w:r>
    </w:p>
    <w:p>
      <w:pPr>
        <w:widowControl/>
        <w:jc w:val="left"/>
        <w:rPr>
          <w:sz w:val="36"/>
          <w:szCs w:val="36"/>
        </w:rPr>
      </w:pPr>
    </w:p>
    <w:p>
      <w:pPr>
        <w:widowControl/>
        <w:jc w:val="left"/>
        <w:rPr>
          <w:sz w:val="36"/>
          <w:szCs w:val="36"/>
        </w:rPr>
      </w:pPr>
    </w:p>
    <w:p>
      <w:pPr>
        <w:widowControl/>
        <w:jc w:val="left"/>
        <w:rPr>
          <w:sz w:val="36"/>
          <w:szCs w:val="36"/>
        </w:rPr>
      </w:pPr>
    </w:p>
    <w:p>
      <w:pPr>
        <w:widowControl/>
        <w:jc w:val="left"/>
        <w:rPr>
          <w:sz w:val="36"/>
          <w:szCs w:val="36"/>
        </w:rPr>
      </w:pPr>
    </w:p>
    <w:p>
      <w:pPr>
        <w:widowControl/>
        <w:jc w:val="left"/>
        <w:rPr>
          <w:sz w:val="36"/>
          <w:szCs w:val="36"/>
        </w:rPr>
      </w:pPr>
      <w:r>
        <w:rPr>
          <w:szCs w:val="36"/>
        </w:rPr>
        <w:drawing>
          <wp:inline distT="0" distB="0" distL="0" distR="0">
            <wp:extent cx="5828665" cy="3091180"/>
            <wp:effectExtent l="19050" t="0" r="284" b="0"/>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pic:cNvPicPr>
                      <a:picLocks noChangeAspect="1" noChangeArrowheads="1"/>
                    </pic:cNvPicPr>
                  </pic:nvPicPr>
                  <pic:blipFill>
                    <a:blip r:embed="rId12" cstate="print"/>
                    <a:srcRect/>
                    <a:stretch>
                      <a:fillRect/>
                    </a:stretch>
                  </pic:blipFill>
                  <pic:spPr>
                    <a:xfrm>
                      <a:off x="0" y="0"/>
                      <a:ext cx="5831840" cy="3092716"/>
                    </a:xfrm>
                    <a:prstGeom prst="rect">
                      <a:avLst/>
                    </a:prstGeom>
                    <a:noFill/>
                    <a:ln w="9525">
                      <a:noFill/>
                      <a:miter lim="800000"/>
                      <a:headEnd/>
                      <a:tailEnd/>
                    </a:ln>
                  </pic:spPr>
                </pic:pic>
              </a:graphicData>
            </a:graphic>
          </wp:inline>
        </w:drawing>
      </w:r>
      <w:r>
        <w:rPr>
          <w:sz w:val="36"/>
          <w:szCs w:val="36"/>
        </w:rPr>
        <w:br w:type="page"/>
      </w:r>
    </w:p>
    <w:p>
      <w:pPr>
        <w:spacing w:line="560" w:lineRule="exact"/>
        <w:jc w:val="center"/>
        <w:rPr>
          <w:rFonts w:ascii="黑体" w:hAnsi="黑体" w:eastAsia="黑体"/>
          <w:sz w:val="36"/>
          <w:szCs w:val="36"/>
        </w:rPr>
      </w:pPr>
      <w:r>
        <w:rPr>
          <w:rFonts w:hint="eastAsia" w:ascii="黑体" w:hAnsi="黑体" w:eastAsia="黑体"/>
          <w:sz w:val="36"/>
          <w:szCs w:val="36"/>
        </w:rPr>
        <w:t>第三部分  2019年度部门决算情况说明</w:t>
      </w:r>
    </w:p>
    <w:p>
      <w:pPr>
        <w:spacing w:line="560" w:lineRule="exact"/>
        <w:jc w:val="center"/>
        <w:rPr>
          <w:rFonts w:ascii="黑体" w:hAnsi="黑体" w:eastAsia="黑体"/>
          <w:sz w:val="32"/>
          <w:szCs w:val="32"/>
        </w:rPr>
      </w:pPr>
    </w:p>
    <w:p>
      <w:pPr>
        <w:spacing w:line="540" w:lineRule="exact"/>
        <w:ind w:firstLine="600" w:firstLineChars="200"/>
        <w:rPr>
          <w:rFonts w:ascii="黑体" w:hAnsi="黑体" w:eastAsia="黑体"/>
          <w:sz w:val="30"/>
          <w:szCs w:val="30"/>
        </w:rPr>
      </w:pPr>
      <w:r>
        <w:rPr>
          <w:rFonts w:hint="eastAsia" w:ascii="黑体" w:hAnsi="黑体" w:eastAsia="黑体"/>
          <w:sz w:val="30"/>
          <w:szCs w:val="30"/>
        </w:rPr>
        <w:t>一、收入支出决算总体情况说明</w:t>
      </w:r>
    </w:p>
    <w:p>
      <w:pPr>
        <w:spacing w:line="540" w:lineRule="exact"/>
        <w:ind w:firstLine="600" w:firstLineChars="200"/>
        <w:rPr>
          <w:rFonts w:ascii="仿宋" w:hAnsi="仿宋" w:eastAsia="仿宋" w:cs="宋体"/>
          <w:kern w:val="0"/>
          <w:sz w:val="30"/>
          <w:szCs w:val="30"/>
        </w:rPr>
      </w:pPr>
      <w:r>
        <w:rPr>
          <w:rFonts w:hint="eastAsia" w:ascii="仿宋" w:hAnsi="仿宋" w:eastAsia="仿宋" w:cs="宋体"/>
          <w:kern w:val="0"/>
          <w:sz w:val="30"/>
          <w:szCs w:val="30"/>
        </w:rPr>
        <w:t>2019年度收入总计1587.39万元，较上年决算数增加43.2万元，增长2.7 %。主要是因为机构改革，台办职能划入我单位，其相关经费同步划入。</w:t>
      </w:r>
    </w:p>
    <w:p>
      <w:pPr>
        <w:spacing w:line="540" w:lineRule="exact"/>
        <w:ind w:firstLine="600" w:firstLineChars="200"/>
        <w:rPr>
          <w:rFonts w:ascii="仿宋" w:hAnsi="仿宋" w:eastAsia="仿宋" w:cs="宋体"/>
          <w:kern w:val="0"/>
          <w:sz w:val="30"/>
          <w:szCs w:val="30"/>
        </w:rPr>
      </w:pPr>
      <w:r>
        <w:rPr>
          <w:rFonts w:hint="eastAsia" w:ascii="仿宋" w:hAnsi="仿宋" w:eastAsia="仿宋" w:cs="宋体"/>
          <w:kern w:val="0"/>
          <w:sz w:val="30"/>
          <w:szCs w:val="30"/>
        </w:rPr>
        <w:t>2019年度支出总计1571.11万元，较上年决算数增加27.34万元，增长1.7%。主要是因为机构改革，台办职能划入我单位，其相关经费同步划入。</w:t>
      </w:r>
    </w:p>
    <w:p>
      <w:pPr>
        <w:spacing w:line="540" w:lineRule="exact"/>
        <w:ind w:firstLine="600" w:firstLineChars="200"/>
        <w:rPr>
          <w:rFonts w:ascii="黑体" w:hAnsi="黑体" w:eastAsia="黑体"/>
          <w:sz w:val="30"/>
          <w:szCs w:val="30"/>
        </w:rPr>
      </w:pPr>
      <w:r>
        <w:rPr>
          <w:rFonts w:hint="eastAsia" w:ascii="黑体" w:hAnsi="黑体" w:eastAsia="黑体"/>
          <w:sz w:val="30"/>
          <w:szCs w:val="30"/>
        </w:rPr>
        <w:t>二、收入决算情况说明</w:t>
      </w:r>
    </w:p>
    <w:p>
      <w:pPr>
        <w:spacing w:line="540" w:lineRule="exact"/>
        <w:ind w:firstLine="600"/>
        <w:rPr>
          <w:rFonts w:ascii="仿宋" w:hAnsi="仿宋" w:eastAsia="仿宋" w:cs="宋体"/>
          <w:kern w:val="0"/>
          <w:sz w:val="30"/>
          <w:szCs w:val="30"/>
        </w:rPr>
      </w:pPr>
      <w:r>
        <w:rPr>
          <w:rFonts w:hint="eastAsia" w:ascii="仿宋" w:hAnsi="仿宋" w:eastAsia="仿宋" w:cs="宋体"/>
          <w:kern w:val="0"/>
          <w:sz w:val="30"/>
          <w:szCs w:val="30"/>
        </w:rPr>
        <w:t>2019年收入合计1587.39万元，较上年决算数增加43.2万元，增长2.7 %，本年收入决算全部为财政拨款收入1587.39万元。</w:t>
      </w:r>
    </w:p>
    <w:p>
      <w:pPr>
        <w:spacing w:line="540" w:lineRule="exact"/>
        <w:ind w:firstLine="600"/>
        <w:rPr>
          <w:rFonts w:ascii="仿宋" w:hAnsi="仿宋" w:eastAsia="仿宋" w:cs="宋体"/>
          <w:kern w:val="0"/>
          <w:sz w:val="30"/>
          <w:szCs w:val="30"/>
        </w:rPr>
      </w:pPr>
      <w:r>
        <w:rPr>
          <w:rFonts w:hint="eastAsia" w:ascii="黑体" w:hAnsi="黑体" w:eastAsia="黑体"/>
          <w:sz w:val="30"/>
          <w:szCs w:val="30"/>
        </w:rPr>
        <w:t>三、支出决算情况说明</w:t>
      </w:r>
    </w:p>
    <w:p>
      <w:pPr>
        <w:spacing w:line="540" w:lineRule="exact"/>
        <w:ind w:firstLine="600" w:firstLineChars="200"/>
        <w:rPr>
          <w:rFonts w:ascii="仿宋" w:hAnsi="仿宋" w:eastAsia="仿宋" w:cs="宋体"/>
          <w:kern w:val="0"/>
          <w:sz w:val="30"/>
          <w:szCs w:val="30"/>
        </w:rPr>
      </w:pPr>
      <w:r>
        <w:rPr>
          <w:rFonts w:hint="eastAsia" w:ascii="仿宋" w:hAnsi="仿宋" w:eastAsia="仿宋" w:cs="宋体"/>
          <w:kern w:val="0"/>
          <w:sz w:val="30"/>
          <w:szCs w:val="30"/>
        </w:rPr>
        <w:t>2019年支出合计1571.11万元，较上年决算数增加27.34万元，增长1.7%。</w:t>
      </w:r>
      <w:r>
        <w:rPr>
          <w:rFonts w:ascii="仿宋" w:hAnsi="仿宋" w:eastAsia="仿宋" w:cs="宋体"/>
          <w:kern w:val="0"/>
          <w:sz w:val="30"/>
          <w:szCs w:val="30"/>
        </w:rPr>
        <w:t>本年支出按支出性质和经济分类基本支出</w:t>
      </w:r>
      <w:r>
        <w:rPr>
          <w:rFonts w:hint="eastAsia" w:ascii="仿宋" w:hAnsi="仿宋" w:eastAsia="仿宋" w:cs="宋体"/>
          <w:kern w:val="0"/>
          <w:sz w:val="30"/>
          <w:szCs w:val="30"/>
        </w:rPr>
        <w:t>774.91万元，占总支出的49.32%，项目支出796.2万元，占总支出的50.68%。</w:t>
      </w:r>
      <w:r>
        <w:rPr>
          <w:rFonts w:ascii="仿宋" w:hAnsi="仿宋" w:eastAsia="仿宋" w:cs="宋体"/>
          <w:kern w:val="0"/>
          <w:sz w:val="30"/>
          <w:szCs w:val="30"/>
        </w:rPr>
        <w:t>本年支出按功能分类各项构成及占比情况如下：</w:t>
      </w:r>
    </w:p>
    <w:p>
      <w:pPr>
        <w:spacing w:line="540" w:lineRule="exact"/>
        <w:ind w:firstLine="600" w:firstLineChars="200"/>
        <w:rPr>
          <w:rFonts w:ascii="仿宋" w:hAnsi="仿宋" w:eastAsia="仿宋" w:cs="宋体"/>
          <w:kern w:val="0"/>
          <w:sz w:val="30"/>
          <w:szCs w:val="30"/>
        </w:rPr>
      </w:pPr>
      <w:r>
        <w:rPr>
          <w:rFonts w:ascii="仿宋" w:hAnsi="仿宋" w:eastAsia="仿宋" w:cs="宋体"/>
          <w:kern w:val="0"/>
          <w:sz w:val="30"/>
          <w:szCs w:val="30"/>
        </w:rPr>
        <w:t>（一）一般公共服务支出</w:t>
      </w:r>
      <w:r>
        <w:rPr>
          <w:rFonts w:hint="eastAsia" w:ascii="仿宋" w:hAnsi="仿宋" w:eastAsia="仿宋" w:cs="宋体"/>
          <w:kern w:val="0"/>
          <w:sz w:val="30"/>
          <w:szCs w:val="30"/>
        </w:rPr>
        <w:t>1311.96</w:t>
      </w:r>
      <w:r>
        <w:rPr>
          <w:rFonts w:ascii="仿宋" w:hAnsi="仿宋" w:eastAsia="仿宋" w:cs="宋体"/>
          <w:kern w:val="0"/>
          <w:sz w:val="30"/>
          <w:szCs w:val="30"/>
        </w:rPr>
        <w:t>万元，占本年</w:t>
      </w:r>
      <w:r>
        <w:rPr>
          <w:rFonts w:hint="eastAsia" w:ascii="仿宋" w:hAnsi="仿宋" w:eastAsia="仿宋" w:cs="宋体"/>
          <w:kern w:val="0"/>
          <w:sz w:val="30"/>
          <w:szCs w:val="30"/>
        </w:rPr>
        <w:t>总</w:t>
      </w:r>
      <w:r>
        <w:rPr>
          <w:rFonts w:ascii="仿宋" w:hAnsi="仿宋" w:eastAsia="仿宋" w:cs="宋体"/>
          <w:kern w:val="0"/>
          <w:sz w:val="30"/>
          <w:szCs w:val="30"/>
        </w:rPr>
        <w:t>支出的</w:t>
      </w:r>
      <w:r>
        <w:rPr>
          <w:rFonts w:hint="eastAsia" w:ascii="仿宋" w:hAnsi="仿宋" w:eastAsia="仿宋" w:cs="宋体"/>
          <w:kern w:val="0"/>
          <w:sz w:val="30"/>
          <w:szCs w:val="30"/>
        </w:rPr>
        <w:t>83.5</w:t>
      </w:r>
      <w:r>
        <w:rPr>
          <w:rFonts w:ascii="仿宋" w:hAnsi="仿宋" w:eastAsia="仿宋" w:cs="宋体"/>
          <w:kern w:val="0"/>
          <w:sz w:val="30"/>
          <w:szCs w:val="30"/>
        </w:rPr>
        <w:t>%。</w:t>
      </w:r>
    </w:p>
    <w:p>
      <w:pPr>
        <w:spacing w:line="540" w:lineRule="exact"/>
        <w:ind w:firstLine="600" w:firstLineChars="200"/>
        <w:rPr>
          <w:rFonts w:ascii="仿宋" w:hAnsi="仿宋" w:eastAsia="仿宋" w:cs="宋体"/>
          <w:kern w:val="0"/>
          <w:sz w:val="30"/>
          <w:szCs w:val="30"/>
        </w:rPr>
      </w:pPr>
      <w:r>
        <w:rPr>
          <w:rFonts w:ascii="仿宋" w:hAnsi="仿宋" w:eastAsia="仿宋" w:cs="宋体"/>
          <w:kern w:val="0"/>
          <w:sz w:val="30"/>
          <w:szCs w:val="30"/>
        </w:rPr>
        <w:t>（二）</w:t>
      </w:r>
      <w:r>
        <w:rPr>
          <w:rFonts w:hint="eastAsia" w:ascii="仿宋" w:hAnsi="仿宋" w:eastAsia="仿宋" w:cs="宋体"/>
          <w:kern w:val="0"/>
          <w:sz w:val="30"/>
          <w:szCs w:val="30"/>
        </w:rPr>
        <w:t>科学技术</w:t>
      </w:r>
      <w:r>
        <w:rPr>
          <w:rFonts w:ascii="仿宋" w:hAnsi="仿宋" w:eastAsia="仿宋" w:cs="宋体"/>
          <w:kern w:val="0"/>
          <w:sz w:val="30"/>
          <w:szCs w:val="30"/>
        </w:rPr>
        <w:t>支出</w:t>
      </w:r>
      <w:r>
        <w:rPr>
          <w:rFonts w:hint="eastAsia" w:ascii="仿宋" w:hAnsi="仿宋" w:eastAsia="仿宋" w:cs="宋体"/>
          <w:kern w:val="0"/>
          <w:sz w:val="30"/>
          <w:szCs w:val="30"/>
        </w:rPr>
        <w:t>8</w:t>
      </w:r>
      <w:r>
        <w:rPr>
          <w:rFonts w:ascii="仿宋" w:hAnsi="仿宋" w:eastAsia="仿宋" w:cs="宋体"/>
          <w:kern w:val="0"/>
          <w:sz w:val="30"/>
          <w:szCs w:val="30"/>
        </w:rPr>
        <w:t>万元，占本年</w:t>
      </w:r>
      <w:r>
        <w:rPr>
          <w:rFonts w:hint="eastAsia" w:ascii="仿宋" w:hAnsi="仿宋" w:eastAsia="仿宋" w:cs="宋体"/>
          <w:kern w:val="0"/>
          <w:sz w:val="30"/>
          <w:szCs w:val="30"/>
        </w:rPr>
        <w:t>总</w:t>
      </w:r>
      <w:r>
        <w:rPr>
          <w:rFonts w:ascii="仿宋" w:hAnsi="仿宋" w:eastAsia="仿宋" w:cs="宋体"/>
          <w:kern w:val="0"/>
          <w:sz w:val="30"/>
          <w:szCs w:val="30"/>
        </w:rPr>
        <w:t>支出的</w:t>
      </w:r>
      <w:r>
        <w:rPr>
          <w:rFonts w:hint="eastAsia" w:ascii="仿宋" w:hAnsi="仿宋" w:eastAsia="仿宋" w:cs="宋体"/>
          <w:kern w:val="0"/>
          <w:sz w:val="30"/>
          <w:szCs w:val="30"/>
        </w:rPr>
        <w:t xml:space="preserve"> 0.51</w:t>
      </w:r>
      <w:r>
        <w:rPr>
          <w:rFonts w:ascii="仿宋" w:hAnsi="仿宋" w:eastAsia="仿宋" w:cs="宋体"/>
          <w:kern w:val="0"/>
          <w:sz w:val="30"/>
          <w:szCs w:val="30"/>
        </w:rPr>
        <w:t>%。</w:t>
      </w:r>
    </w:p>
    <w:p>
      <w:pPr>
        <w:spacing w:line="540" w:lineRule="exact"/>
        <w:ind w:firstLine="600" w:firstLineChars="200"/>
        <w:rPr>
          <w:rFonts w:ascii="仿宋" w:hAnsi="仿宋" w:eastAsia="仿宋" w:cs="宋体"/>
          <w:kern w:val="0"/>
          <w:sz w:val="30"/>
          <w:szCs w:val="30"/>
        </w:rPr>
      </w:pPr>
      <w:r>
        <w:rPr>
          <w:rFonts w:ascii="仿宋" w:hAnsi="仿宋" w:eastAsia="仿宋" w:cs="宋体"/>
          <w:kern w:val="0"/>
          <w:sz w:val="30"/>
          <w:szCs w:val="30"/>
        </w:rPr>
        <w:t>（三）社会保障和就业支出</w:t>
      </w:r>
      <w:r>
        <w:rPr>
          <w:rFonts w:hint="eastAsia" w:ascii="仿宋" w:hAnsi="仿宋" w:eastAsia="仿宋" w:cs="宋体"/>
          <w:kern w:val="0"/>
          <w:sz w:val="30"/>
          <w:szCs w:val="30"/>
        </w:rPr>
        <w:t>176.37</w:t>
      </w:r>
      <w:r>
        <w:rPr>
          <w:rFonts w:ascii="仿宋" w:hAnsi="仿宋" w:eastAsia="仿宋" w:cs="宋体"/>
          <w:kern w:val="0"/>
          <w:sz w:val="30"/>
          <w:szCs w:val="30"/>
        </w:rPr>
        <w:t>万元，占本年</w:t>
      </w:r>
      <w:r>
        <w:rPr>
          <w:rFonts w:hint="eastAsia" w:ascii="仿宋" w:hAnsi="仿宋" w:eastAsia="仿宋" w:cs="宋体"/>
          <w:kern w:val="0"/>
          <w:sz w:val="30"/>
          <w:szCs w:val="30"/>
        </w:rPr>
        <w:t>总</w:t>
      </w:r>
      <w:r>
        <w:rPr>
          <w:rFonts w:ascii="仿宋" w:hAnsi="仿宋" w:eastAsia="仿宋" w:cs="宋体"/>
          <w:kern w:val="0"/>
          <w:sz w:val="30"/>
          <w:szCs w:val="30"/>
        </w:rPr>
        <w:t>支出的</w:t>
      </w:r>
      <w:r>
        <w:rPr>
          <w:rFonts w:hint="eastAsia" w:ascii="仿宋" w:hAnsi="仿宋" w:eastAsia="仿宋" w:cs="宋体"/>
          <w:kern w:val="0"/>
          <w:sz w:val="30"/>
          <w:szCs w:val="30"/>
        </w:rPr>
        <w:t xml:space="preserve"> 11.22</w:t>
      </w:r>
      <w:r>
        <w:rPr>
          <w:rFonts w:ascii="仿宋" w:hAnsi="仿宋" w:eastAsia="仿宋" w:cs="宋体"/>
          <w:kern w:val="0"/>
          <w:sz w:val="30"/>
          <w:szCs w:val="30"/>
        </w:rPr>
        <w:t>%。</w:t>
      </w:r>
    </w:p>
    <w:p>
      <w:pPr>
        <w:spacing w:line="540" w:lineRule="exact"/>
        <w:ind w:firstLine="600" w:firstLineChars="200"/>
        <w:rPr>
          <w:rFonts w:ascii="仿宋" w:hAnsi="仿宋" w:eastAsia="仿宋" w:cs="宋体"/>
          <w:kern w:val="0"/>
          <w:sz w:val="30"/>
          <w:szCs w:val="30"/>
        </w:rPr>
      </w:pPr>
      <w:r>
        <w:rPr>
          <w:rFonts w:ascii="仿宋" w:hAnsi="仿宋" w:eastAsia="仿宋" w:cs="宋体"/>
          <w:kern w:val="0"/>
          <w:sz w:val="30"/>
          <w:szCs w:val="30"/>
        </w:rPr>
        <w:t>（四）卫生健康支出</w:t>
      </w:r>
      <w:r>
        <w:rPr>
          <w:rFonts w:hint="eastAsia" w:ascii="仿宋" w:hAnsi="仿宋" w:eastAsia="仿宋" w:cs="宋体"/>
          <w:kern w:val="0"/>
          <w:sz w:val="30"/>
          <w:szCs w:val="30"/>
        </w:rPr>
        <w:t>24.62</w:t>
      </w:r>
      <w:r>
        <w:rPr>
          <w:rFonts w:ascii="仿宋" w:hAnsi="仿宋" w:eastAsia="仿宋" w:cs="宋体"/>
          <w:kern w:val="0"/>
          <w:sz w:val="30"/>
          <w:szCs w:val="30"/>
        </w:rPr>
        <w:t>万元，占本年支出合计的</w:t>
      </w:r>
      <w:r>
        <w:rPr>
          <w:rFonts w:hint="eastAsia" w:ascii="仿宋" w:hAnsi="仿宋" w:eastAsia="仿宋" w:cs="宋体"/>
          <w:kern w:val="0"/>
          <w:sz w:val="30"/>
          <w:szCs w:val="30"/>
        </w:rPr>
        <w:t>1.57</w:t>
      </w:r>
      <w:r>
        <w:rPr>
          <w:rFonts w:ascii="仿宋" w:hAnsi="仿宋" w:eastAsia="仿宋" w:cs="宋体"/>
          <w:kern w:val="0"/>
          <w:sz w:val="30"/>
          <w:szCs w:val="30"/>
        </w:rPr>
        <w:t>%。</w:t>
      </w:r>
    </w:p>
    <w:p>
      <w:pPr>
        <w:spacing w:line="540" w:lineRule="exact"/>
        <w:rPr>
          <w:rFonts w:ascii="仿宋" w:hAnsi="仿宋" w:eastAsia="仿宋" w:cs="宋体"/>
          <w:kern w:val="0"/>
          <w:sz w:val="30"/>
          <w:szCs w:val="30"/>
        </w:rPr>
      </w:pPr>
      <w:r>
        <w:rPr>
          <w:rFonts w:ascii="仿宋" w:hAnsi="仿宋" w:eastAsia="仿宋" w:cs="宋体"/>
          <w:kern w:val="0"/>
          <w:sz w:val="30"/>
          <w:szCs w:val="30"/>
        </w:rPr>
        <w:t xml:space="preserve">    （五）住房保障支出</w:t>
      </w:r>
      <w:r>
        <w:rPr>
          <w:rFonts w:hint="eastAsia" w:ascii="仿宋" w:hAnsi="仿宋" w:eastAsia="仿宋" w:cs="宋体"/>
          <w:kern w:val="0"/>
          <w:sz w:val="30"/>
          <w:szCs w:val="30"/>
        </w:rPr>
        <w:t>50.16</w:t>
      </w:r>
      <w:r>
        <w:rPr>
          <w:rFonts w:ascii="仿宋" w:hAnsi="仿宋" w:eastAsia="仿宋" w:cs="宋体"/>
          <w:kern w:val="0"/>
          <w:sz w:val="30"/>
          <w:szCs w:val="30"/>
        </w:rPr>
        <w:t>万元，占本年</w:t>
      </w:r>
      <w:r>
        <w:rPr>
          <w:rFonts w:hint="eastAsia" w:ascii="仿宋" w:hAnsi="仿宋" w:eastAsia="仿宋" w:cs="宋体"/>
          <w:kern w:val="0"/>
          <w:sz w:val="30"/>
          <w:szCs w:val="30"/>
        </w:rPr>
        <w:t>总</w:t>
      </w:r>
      <w:r>
        <w:rPr>
          <w:rFonts w:ascii="仿宋" w:hAnsi="仿宋" w:eastAsia="仿宋" w:cs="宋体"/>
          <w:kern w:val="0"/>
          <w:sz w:val="30"/>
          <w:szCs w:val="30"/>
        </w:rPr>
        <w:t>支出的</w:t>
      </w:r>
      <w:r>
        <w:rPr>
          <w:rFonts w:hint="eastAsia" w:ascii="仿宋" w:hAnsi="仿宋" w:eastAsia="仿宋" w:cs="宋体"/>
          <w:kern w:val="0"/>
          <w:sz w:val="30"/>
          <w:szCs w:val="30"/>
        </w:rPr>
        <w:t>3.2</w:t>
      </w:r>
      <w:r>
        <w:rPr>
          <w:rFonts w:ascii="仿宋" w:hAnsi="仿宋" w:eastAsia="仿宋" w:cs="宋体"/>
          <w:kern w:val="0"/>
          <w:sz w:val="30"/>
          <w:szCs w:val="30"/>
        </w:rPr>
        <w:t>%。</w:t>
      </w:r>
    </w:p>
    <w:p>
      <w:pPr>
        <w:spacing w:line="540" w:lineRule="exact"/>
        <w:rPr>
          <w:rFonts w:ascii="仿宋" w:hAnsi="仿宋" w:eastAsia="仿宋" w:cs="宋体"/>
          <w:kern w:val="0"/>
          <w:sz w:val="30"/>
          <w:szCs w:val="30"/>
        </w:rPr>
      </w:pPr>
      <w:r>
        <w:rPr>
          <w:rFonts w:hint="eastAsia" w:ascii="仿宋" w:hAnsi="仿宋" w:eastAsia="仿宋" w:cs="宋体"/>
          <w:kern w:val="0"/>
          <w:sz w:val="30"/>
          <w:szCs w:val="30"/>
        </w:rPr>
        <w:t>　　</w:t>
      </w:r>
      <w:r>
        <w:rPr>
          <w:rFonts w:hint="eastAsia" w:ascii="黑体" w:hAnsi="黑体" w:eastAsia="黑体"/>
          <w:sz w:val="30"/>
          <w:szCs w:val="30"/>
        </w:rPr>
        <w:t>四、财政拨款收入支出决算总体情况说明</w:t>
      </w:r>
    </w:p>
    <w:p>
      <w:pPr>
        <w:spacing w:line="540" w:lineRule="exact"/>
        <w:rPr>
          <w:rFonts w:ascii="仿宋" w:hAnsi="仿宋" w:eastAsia="仿宋" w:cs="宋体"/>
          <w:kern w:val="0"/>
          <w:sz w:val="30"/>
          <w:szCs w:val="30"/>
        </w:rPr>
      </w:pPr>
      <w:r>
        <w:rPr>
          <w:rFonts w:hint="eastAsia" w:ascii="仿宋" w:hAnsi="仿宋" w:eastAsia="仿宋" w:cs="宋体"/>
          <w:kern w:val="0"/>
          <w:sz w:val="30"/>
          <w:szCs w:val="30"/>
        </w:rPr>
        <w:t>　　2019年度财政拨款收入、支出总计3158.5万元。较上年决算数3087.96万元增加70.54万元，增长2.23%。主要是因为机构改革，台办职能划入我单位，其相关经费同步划入。</w:t>
      </w:r>
    </w:p>
    <w:p>
      <w:pPr>
        <w:spacing w:line="540" w:lineRule="exact"/>
        <w:rPr>
          <w:rFonts w:ascii="仿宋" w:hAnsi="仿宋" w:eastAsia="仿宋" w:cs="宋体"/>
          <w:kern w:val="0"/>
          <w:sz w:val="30"/>
          <w:szCs w:val="30"/>
        </w:rPr>
      </w:pPr>
      <w:r>
        <w:rPr>
          <w:rFonts w:hint="eastAsia" w:ascii="仿宋" w:hAnsi="仿宋" w:eastAsia="仿宋" w:cs="宋体"/>
          <w:kern w:val="0"/>
          <w:sz w:val="30"/>
          <w:szCs w:val="30"/>
        </w:rPr>
        <w:t>　　</w:t>
      </w:r>
      <w:r>
        <w:rPr>
          <w:rFonts w:hint="eastAsia" w:ascii="黑体" w:hAnsi="黑体" w:eastAsia="黑体"/>
          <w:sz w:val="30"/>
          <w:szCs w:val="30"/>
        </w:rPr>
        <w:t>五、一般公共预算财政拨款支出决算情况说明</w:t>
      </w:r>
    </w:p>
    <w:p>
      <w:pPr>
        <w:spacing w:line="540" w:lineRule="exact"/>
        <w:rPr>
          <w:rFonts w:ascii="楷体" w:hAnsi="楷体" w:eastAsia="楷体" w:cs="宋体"/>
          <w:b/>
          <w:kern w:val="0"/>
          <w:sz w:val="30"/>
          <w:szCs w:val="30"/>
        </w:rPr>
      </w:pPr>
      <w:r>
        <w:rPr>
          <w:rFonts w:hint="eastAsia" w:ascii="仿宋" w:hAnsi="仿宋" w:eastAsia="仿宋" w:cs="宋体"/>
          <w:kern w:val="0"/>
          <w:sz w:val="30"/>
          <w:szCs w:val="30"/>
        </w:rPr>
        <w:t>　　</w:t>
      </w:r>
      <w:r>
        <w:rPr>
          <w:rFonts w:hint="eastAsia" w:ascii="楷体" w:hAnsi="楷体" w:eastAsia="楷体" w:cs="宋体"/>
          <w:b/>
          <w:kern w:val="0"/>
          <w:sz w:val="30"/>
          <w:szCs w:val="30"/>
        </w:rPr>
        <w:t>（一）财政拨款支出决算总体情况。</w:t>
      </w:r>
    </w:p>
    <w:p>
      <w:pPr>
        <w:spacing w:line="540" w:lineRule="exact"/>
        <w:rPr>
          <w:rFonts w:ascii="仿宋" w:hAnsi="仿宋" w:eastAsia="仿宋" w:cs="宋体"/>
          <w:kern w:val="0"/>
          <w:sz w:val="30"/>
          <w:szCs w:val="30"/>
        </w:rPr>
      </w:pPr>
      <w:r>
        <w:rPr>
          <w:rFonts w:hint="eastAsia" w:ascii="仿宋" w:hAnsi="仿宋" w:eastAsia="仿宋" w:cs="宋体"/>
          <w:kern w:val="0"/>
          <w:sz w:val="30"/>
          <w:szCs w:val="30"/>
        </w:rPr>
        <w:t>　　2019年度财政拨款支出1571.11万元，全部是财政拨款支出，较上年决算数1543.77万元增加27.34万元，增长1.7%。主要是因为机构改革，台办职能划入我单位所致。</w:t>
      </w:r>
    </w:p>
    <w:p>
      <w:pPr>
        <w:spacing w:line="540" w:lineRule="exact"/>
        <w:rPr>
          <w:rFonts w:ascii="楷体" w:hAnsi="楷体" w:eastAsia="楷体" w:cs="宋体"/>
          <w:b/>
          <w:kern w:val="0"/>
          <w:sz w:val="30"/>
          <w:szCs w:val="30"/>
        </w:rPr>
      </w:pPr>
      <w:r>
        <w:rPr>
          <w:rFonts w:hint="eastAsia" w:ascii="仿宋" w:hAnsi="仿宋" w:eastAsia="仿宋" w:cs="宋体"/>
          <w:kern w:val="0"/>
          <w:sz w:val="30"/>
          <w:szCs w:val="30"/>
        </w:rPr>
        <w:t>　　</w:t>
      </w:r>
      <w:r>
        <w:rPr>
          <w:rFonts w:hint="eastAsia" w:ascii="楷体" w:hAnsi="楷体" w:eastAsia="楷体" w:cs="宋体"/>
          <w:b/>
          <w:kern w:val="0"/>
          <w:sz w:val="30"/>
          <w:szCs w:val="30"/>
        </w:rPr>
        <w:t>（二）财政拨款支出决算结构情况。</w:t>
      </w:r>
    </w:p>
    <w:p>
      <w:pPr>
        <w:spacing w:line="540" w:lineRule="exact"/>
        <w:ind w:firstLine="645"/>
        <w:rPr>
          <w:rFonts w:ascii="仿宋" w:hAnsi="仿宋" w:eastAsia="仿宋" w:cs="宋体"/>
          <w:kern w:val="0"/>
          <w:sz w:val="30"/>
          <w:szCs w:val="30"/>
        </w:rPr>
      </w:pPr>
      <w:r>
        <w:rPr>
          <w:rFonts w:hint="eastAsia" w:ascii="仿宋" w:hAnsi="仿宋" w:eastAsia="仿宋" w:cs="宋体"/>
          <w:kern w:val="0"/>
          <w:sz w:val="30"/>
          <w:szCs w:val="30"/>
        </w:rPr>
        <w:t>2019年度财政拨款支出1571.11万元，均为一般公共预算财政拨款支出，其中，基本支出774.91万元，占49.32%；项目支出796.2万元，占比50.68%。</w:t>
      </w:r>
    </w:p>
    <w:p>
      <w:pPr>
        <w:spacing w:line="540" w:lineRule="exact"/>
        <w:ind w:firstLine="600" w:firstLineChars="200"/>
        <w:rPr>
          <w:rFonts w:ascii="仿宋" w:hAnsi="仿宋" w:eastAsia="仿宋" w:cs="宋体"/>
          <w:kern w:val="0"/>
          <w:sz w:val="30"/>
          <w:szCs w:val="30"/>
        </w:rPr>
      </w:pPr>
      <w:r>
        <w:rPr>
          <w:rFonts w:ascii="仿宋" w:hAnsi="仿宋" w:eastAsia="仿宋" w:cs="宋体"/>
          <w:kern w:val="0"/>
          <w:sz w:val="30"/>
          <w:szCs w:val="30"/>
        </w:rPr>
        <w:t>按功能分类各项构成及占比情况如下：</w:t>
      </w:r>
    </w:p>
    <w:p>
      <w:pPr>
        <w:spacing w:line="540" w:lineRule="exact"/>
        <w:ind w:firstLine="600" w:firstLineChars="200"/>
        <w:rPr>
          <w:rFonts w:ascii="仿宋" w:hAnsi="仿宋" w:eastAsia="仿宋" w:cs="宋体"/>
          <w:kern w:val="0"/>
          <w:sz w:val="30"/>
          <w:szCs w:val="30"/>
        </w:rPr>
      </w:pPr>
      <w:r>
        <w:rPr>
          <w:rFonts w:ascii="仿宋" w:hAnsi="仿宋" w:eastAsia="仿宋" w:cs="宋体"/>
          <w:kern w:val="0"/>
          <w:sz w:val="30"/>
          <w:szCs w:val="30"/>
        </w:rPr>
        <w:t>（一）一般公共服务支出</w:t>
      </w:r>
      <w:r>
        <w:rPr>
          <w:rFonts w:hint="eastAsia" w:ascii="仿宋" w:hAnsi="仿宋" w:eastAsia="仿宋" w:cs="宋体"/>
          <w:kern w:val="0"/>
          <w:sz w:val="30"/>
          <w:szCs w:val="30"/>
        </w:rPr>
        <w:t>1311.96</w:t>
      </w:r>
      <w:r>
        <w:rPr>
          <w:rFonts w:ascii="仿宋" w:hAnsi="仿宋" w:eastAsia="仿宋" w:cs="宋体"/>
          <w:kern w:val="0"/>
          <w:sz w:val="30"/>
          <w:szCs w:val="30"/>
        </w:rPr>
        <w:t>万元，占</w:t>
      </w:r>
      <w:r>
        <w:rPr>
          <w:rFonts w:hint="eastAsia" w:ascii="仿宋" w:hAnsi="仿宋" w:eastAsia="仿宋" w:cs="宋体"/>
          <w:kern w:val="0"/>
          <w:sz w:val="30"/>
          <w:szCs w:val="30"/>
        </w:rPr>
        <w:t>财政拨款</w:t>
      </w:r>
      <w:r>
        <w:rPr>
          <w:rFonts w:ascii="仿宋" w:hAnsi="仿宋" w:eastAsia="仿宋" w:cs="宋体"/>
          <w:kern w:val="0"/>
          <w:sz w:val="30"/>
          <w:szCs w:val="30"/>
        </w:rPr>
        <w:t>本年支出合计的</w:t>
      </w:r>
      <w:r>
        <w:rPr>
          <w:rFonts w:hint="eastAsia" w:ascii="仿宋" w:hAnsi="仿宋" w:eastAsia="仿宋" w:cs="宋体"/>
          <w:kern w:val="0"/>
          <w:sz w:val="30"/>
          <w:szCs w:val="30"/>
        </w:rPr>
        <w:t>83.5</w:t>
      </w:r>
      <w:r>
        <w:rPr>
          <w:rFonts w:ascii="仿宋" w:hAnsi="仿宋" w:eastAsia="仿宋" w:cs="宋体"/>
          <w:kern w:val="0"/>
          <w:sz w:val="30"/>
          <w:szCs w:val="30"/>
        </w:rPr>
        <w:t>%。</w:t>
      </w:r>
    </w:p>
    <w:p>
      <w:pPr>
        <w:spacing w:line="540" w:lineRule="exact"/>
        <w:ind w:firstLine="600" w:firstLineChars="200"/>
        <w:rPr>
          <w:rFonts w:ascii="仿宋" w:hAnsi="仿宋" w:eastAsia="仿宋" w:cs="宋体"/>
          <w:kern w:val="0"/>
          <w:sz w:val="30"/>
          <w:szCs w:val="30"/>
        </w:rPr>
      </w:pPr>
      <w:r>
        <w:rPr>
          <w:rFonts w:ascii="仿宋" w:hAnsi="仿宋" w:eastAsia="仿宋" w:cs="宋体"/>
          <w:kern w:val="0"/>
          <w:sz w:val="30"/>
          <w:szCs w:val="30"/>
        </w:rPr>
        <w:t>（二）</w:t>
      </w:r>
      <w:r>
        <w:rPr>
          <w:rFonts w:hint="eastAsia" w:ascii="仿宋" w:hAnsi="仿宋" w:eastAsia="仿宋" w:cs="宋体"/>
          <w:kern w:val="0"/>
          <w:sz w:val="30"/>
          <w:szCs w:val="30"/>
        </w:rPr>
        <w:t>科学技术</w:t>
      </w:r>
      <w:r>
        <w:rPr>
          <w:rFonts w:ascii="仿宋" w:hAnsi="仿宋" w:eastAsia="仿宋" w:cs="宋体"/>
          <w:kern w:val="0"/>
          <w:sz w:val="30"/>
          <w:szCs w:val="30"/>
        </w:rPr>
        <w:t>支出</w:t>
      </w:r>
      <w:r>
        <w:rPr>
          <w:rFonts w:hint="eastAsia" w:ascii="仿宋" w:hAnsi="仿宋" w:eastAsia="仿宋" w:cs="宋体"/>
          <w:kern w:val="0"/>
          <w:sz w:val="30"/>
          <w:szCs w:val="30"/>
        </w:rPr>
        <w:t>8</w:t>
      </w:r>
      <w:r>
        <w:rPr>
          <w:rFonts w:ascii="仿宋" w:hAnsi="仿宋" w:eastAsia="仿宋" w:cs="宋体"/>
          <w:kern w:val="0"/>
          <w:sz w:val="30"/>
          <w:szCs w:val="30"/>
        </w:rPr>
        <w:t>万元，占</w:t>
      </w:r>
      <w:r>
        <w:rPr>
          <w:rFonts w:hint="eastAsia" w:ascii="仿宋" w:hAnsi="仿宋" w:eastAsia="仿宋" w:cs="宋体"/>
          <w:kern w:val="0"/>
          <w:sz w:val="30"/>
          <w:szCs w:val="30"/>
        </w:rPr>
        <w:t>财政拨款</w:t>
      </w:r>
      <w:r>
        <w:rPr>
          <w:rFonts w:ascii="仿宋" w:hAnsi="仿宋" w:eastAsia="仿宋" w:cs="宋体"/>
          <w:kern w:val="0"/>
          <w:sz w:val="30"/>
          <w:szCs w:val="30"/>
        </w:rPr>
        <w:t>本年支出合计的</w:t>
      </w:r>
      <w:r>
        <w:rPr>
          <w:rFonts w:hint="eastAsia" w:ascii="仿宋" w:hAnsi="仿宋" w:eastAsia="仿宋" w:cs="宋体"/>
          <w:kern w:val="0"/>
          <w:sz w:val="30"/>
          <w:szCs w:val="30"/>
        </w:rPr>
        <w:t xml:space="preserve"> 0.51</w:t>
      </w:r>
      <w:r>
        <w:rPr>
          <w:rFonts w:ascii="仿宋" w:hAnsi="仿宋" w:eastAsia="仿宋" w:cs="宋体"/>
          <w:kern w:val="0"/>
          <w:sz w:val="30"/>
          <w:szCs w:val="30"/>
        </w:rPr>
        <w:t>%。</w:t>
      </w:r>
    </w:p>
    <w:p>
      <w:pPr>
        <w:spacing w:line="540" w:lineRule="exact"/>
        <w:ind w:firstLine="600" w:firstLineChars="200"/>
        <w:rPr>
          <w:rFonts w:ascii="仿宋" w:hAnsi="仿宋" w:eastAsia="仿宋" w:cs="宋体"/>
          <w:kern w:val="0"/>
          <w:sz w:val="30"/>
          <w:szCs w:val="30"/>
        </w:rPr>
      </w:pPr>
      <w:r>
        <w:rPr>
          <w:rFonts w:ascii="仿宋" w:hAnsi="仿宋" w:eastAsia="仿宋" w:cs="宋体"/>
          <w:kern w:val="0"/>
          <w:sz w:val="30"/>
          <w:szCs w:val="30"/>
        </w:rPr>
        <w:t>（三）社会保障和就业支出</w:t>
      </w:r>
      <w:r>
        <w:rPr>
          <w:rFonts w:hint="eastAsia" w:ascii="仿宋" w:hAnsi="仿宋" w:eastAsia="仿宋" w:cs="宋体"/>
          <w:kern w:val="0"/>
          <w:sz w:val="30"/>
          <w:szCs w:val="30"/>
        </w:rPr>
        <w:t>176.37</w:t>
      </w:r>
      <w:r>
        <w:rPr>
          <w:rFonts w:ascii="仿宋" w:hAnsi="仿宋" w:eastAsia="仿宋" w:cs="宋体"/>
          <w:kern w:val="0"/>
          <w:sz w:val="30"/>
          <w:szCs w:val="30"/>
        </w:rPr>
        <w:t>万元，占</w:t>
      </w:r>
      <w:r>
        <w:rPr>
          <w:rFonts w:hint="eastAsia" w:ascii="仿宋" w:hAnsi="仿宋" w:eastAsia="仿宋" w:cs="宋体"/>
          <w:kern w:val="0"/>
          <w:sz w:val="30"/>
          <w:szCs w:val="30"/>
        </w:rPr>
        <w:t>财政拨款</w:t>
      </w:r>
      <w:r>
        <w:rPr>
          <w:rFonts w:ascii="仿宋" w:hAnsi="仿宋" w:eastAsia="仿宋" w:cs="宋体"/>
          <w:kern w:val="0"/>
          <w:sz w:val="30"/>
          <w:szCs w:val="30"/>
        </w:rPr>
        <w:t>本年支出合计的</w:t>
      </w:r>
      <w:r>
        <w:rPr>
          <w:rFonts w:hint="eastAsia" w:ascii="仿宋" w:hAnsi="仿宋" w:eastAsia="仿宋" w:cs="宋体"/>
          <w:kern w:val="0"/>
          <w:sz w:val="30"/>
          <w:szCs w:val="30"/>
        </w:rPr>
        <w:t xml:space="preserve"> 11.22</w:t>
      </w:r>
      <w:r>
        <w:rPr>
          <w:rFonts w:ascii="仿宋" w:hAnsi="仿宋" w:eastAsia="仿宋" w:cs="宋体"/>
          <w:kern w:val="0"/>
          <w:sz w:val="30"/>
          <w:szCs w:val="30"/>
        </w:rPr>
        <w:t>%。</w:t>
      </w:r>
    </w:p>
    <w:p>
      <w:pPr>
        <w:spacing w:line="540" w:lineRule="exact"/>
        <w:ind w:firstLine="600" w:firstLineChars="200"/>
        <w:rPr>
          <w:rFonts w:ascii="仿宋" w:hAnsi="仿宋" w:eastAsia="仿宋" w:cs="宋体"/>
          <w:kern w:val="0"/>
          <w:sz w:val="30"/>
          <w:szCs w:val="30"/>
        </w:rPr>
      </w:pPr>
      <w:r>
        <w:rPr>
          <w:rFonts w:ascii="仿宋" w:hAnsi="仿宋" w:eastAsia="仿宋" w:cs="宋体"/>
          <w:kern w:val="0"/>
          <w:sz w:val="30"/>
          <w:szCs w:val="30"/>
        </w:rPr>
        <w:t>（四）卫生健康支出</w:t>
      </w:r>
      <w:r>
        <w:rPr>
          <w:rFonts w:hint="eastAsia" w:ascii="仿宋" w:hAnsi="仿宋" w:eastAsia="仿宋" w:cs="宋体"/>
          <w:kern w:val="0"/>
          <w:sz w:val="30"/>
          <w:szCs w:val="30"/>
        </w:rPr>
        <w:t>24.62</w:t>
      </w:r>
      <w:r>
        <w:rPr>
          <w:rFonts w:ascii="仿宋" w:hAnsi="仿宋" w:eastAsia="仿宋" w:cs="宋体"/>
          <w:kern w:val="0"/>
          <w:sz w:val="30"/>
          <w:szCs w:val="30"/>
        </w:rPr>
        <w:t>万元，占</w:t>
      </w:r>
      <w:r>
        <w:rPr>
          <w:rFonts w:hint="eastAsia" w:ascii="仿宋" w:hAnsi="仿宋" w:eastAsia="仿宋" w:cs="宋体"/>
          <w:kern w:val="0"/>
          <w:sz w:val="30"/>
          <w:szCs w:val="30"/>
        </w:rPr>
        <w:t>财政拨款</w:t>
      </w:r>
      <w:r>
        <w:rPr>
          <w:rFonts w:ascii="仿宋" w:hAnsi="仿宋" w:eastAsia="仿宋" w:cs="宋体"/>
          <w:kern w:val="0"/>
          <w:sz w:val="30"/>
          <w:szCs w:val="30"/>
        </w:rPr>
        <w:t>本年支出合计的</w:t>
      </w:r>
      <w:r>
        <w:rPr>
          <w:rFonts w:hint="eastAsia" w:ascii="仿宋" w:hAnsi="仿宋" w:eastAsia="仿宋" w:cs="宋体"/>
          <w:kern w:val="0"/>
          <w:sz w:val="30"/>
          <w:szCs w:val="30"/>
        </w:rPr>
        <w:t>1.57</w:t>
      </w:r>
      <w:r>
        <w:rPr>
          <w:rFonts w:ascii="仿宋" w:hAnsi="仿宋" w:eastAsia="仿宋" w:cs="宋体"/>
          <w:kern w:val="0"/>
          <w:sz w:val="30"/>
          <w:szCs w:val="30"/>
        </w:rPr>
        <w:t>%。</w:t>
      </w:r>
    </w:p>
    <w:p>
      <w:pPr>
        <w:spacing w:line="540" w:lineRule="exact"/>
        <w:ind w:firstLine="600"/>
        <w:rPr>
          <w:rFonts w:ascii="仿宋" w:hAnsi="仿宋" w:eastAsia="仿宋" w:cs="宋体"/>
          <w:kern w:val="0"/>
          <w:sz w:val="30"/>
          <w:szCs w:val="30"/>
        </w:rPr>
      </w:pPr>
      <w:r>
        <w:rPr>
          <w:rFonts w:ascii="仿宋" w:hAnsi="仿宋" w:eastAsia="仿宋" w:cs="宋体"/>
          <w:kern w:val="0"/>
          <w:sz w:val="30"/>
          <w:szCs w:val="30"/>
        </w:rPr>
        <w:t>（五）住房保障支出</w:t>
      </w:r>
      <w:r>
        <w:rPr>
          <w:rFonts w:hint="eastAsia" w:ascii="仿宋" w:hAnsi="仿宋" w:eastAsia="仿宋" w:cs="宋体"/>
          <w:kern w:val="0"/>
          <w:sz w:val="30"/>
          <w:szCs w:val="30"/>
        </w:rPr>
        <w:t>50.16</w:t>
      </w:r>
      <w:r>
        <w:rPr>
          <w:rFonts w:ascii="仿宋" w:hAnsi="仿宋" w:eastAsia="仿宋" w:cs="宋体"/>
          <w:kern w:val="0"/>
          <w:sz w:val="30"/>
          <w:szCs w:val="30"/>
        </w:rPr>
        <w:t>万元，占</w:t>
      </w:r>
      <w:r>
        <w:rPr>
          <w:rFonts w:hint="eastAsia" w:ascii="仿宋" w:hAnsi="仿宋" w:eastAsia="仿宋" w:cs="宋体"/>
          <w:kern w:val="0"/>
          <w:sz w:val="30"/>
          <w:szCs w:val="30"/>
        </w:rPr>
        <w:t>财政拨款</w:t>
      </w:r>
      <w:r>
        <w:rPr>
          <w:rFonts w:ascii="仿宋" w:hAnsi="仿宋" w:eastAsia="仿宋" w:cs="宋体"/>
          <w:kern w:val="0"/>
          <w:sz w:val="30"/>
          <w:szCs w:val="30"/>
        </w:rPr>
        <w:t>本年支出合计的</w:t>
      </w:r>
      <w:r>
        <w:rPr>
          <w:rFonts w:hint="eastAsia" w:ascii="仿宋" w:hAnsi="仿宋" w:eastAsia="仿宋" w:cs="宋体"/>
          <w:kern w:val="0"/>
          <w:sz w:val="30"/>
          <w:szCs w:val="30"/>
        </w:rPr>
        <w:t>3.2</w:t>
      </w:r>
      <w:r>
        <w:rPr>
          <w:rFonts w:ascii="仿宋" w:hAnsi="仿宋" w:eastAsia="仿宋" w:cs="宋体"/>
          <w:kern w:val="0"/>
          <w:sz w:val="30"/>
          <w:szCs w:val="30"/>
        </w:rPr>
        <w:t>%。</w:t>
      </w:r>
    </w:p>
    <w:p>
      <w:pPr>
        <w:spacing w:line="540" w:lineRule="exact"/>
        <w:ind w:firstLine="600"/>
        <w:rPr>
          <w:rFonts w:ascii="楷体" w:hAnsi="楷体" w:eastAsia="楷体" w:cs="宋体"/>
          <w:b/>
          <w:kern w:val="0"/>
          <w:sz w:val="30"/>
          <w:szCs w:val="30"/>
        </w:rPr>
      </w:pPr>
      <w:r>
        <w:rPr>
          <w:rFonts w:hint="eastAsia" w:ascii="楷体" w:hAnsi="楷体" w:eastAsia="楷体" w:cs="宋体"/>
          <w:b/>
          <w:kern w:val="0"/>
          <w:sz w:val="30"/>
          <w:szCs w:val="30"/>
        </w:rPr>
        <w:t>（三）财政拨款支出决算具体情况。</w:t>
      </w:r>
    </w:p>
    <w:p>
      <w:pPr>
        <w:spacing w:line="540" w:lineRule="exact"/>
        <w:rPr>
          <w:rFonts w:ascii="仿宋" w:hAnsi="仿宋" w:eastAsia="仿宋" w:cs="宋体"/>
          <w:kern w:val="0"/>
          <w:sz w:val="30"/>
          <w:szCs w:val="30"/>
        </w:rPr>
      </w:pPr>
      <w:r>
        <w:rPr>
          <w:rFonts w:hint="eastAsia" w:ascii="仿宋" w:hAnsi="仿宋" w:eastAsia="仿宋" w:cs="宋体"/>
          <w:kern w:val="0"/>
          <w:sz w:val="30"/>
          <w:szCs w:val="30"/>
        </w:rPr>
        <w:t>　　2019年度财政拨款支出年初预算为1343.08万元，支出决算为1571.11万元。预决算差额原因主要是：一是本年度人员正常异动，增加了部分人员经费；二是对2019年老干管理中心办公费、小康社会推进工作考核奖励经费、2017年目标管理绩效考核先进乡镇和考核工作经费、督查目标管理绩效考核奖励经费等项目经费、“乡味乡情美丽衡南”三十佳评选活动经费等项目经费进行了追加。</w:t>
      </w:r>
    </w:p>
    <w:p>
      <w:pPr>
        <w:spacing w:line="540" w:lineRule="exact"/>
        <w:rPr>
          <w:rFonts w:ascii="仿宋" w:hAnsi="仿宋" w:eastAsia="仿宋" w:cs="宋体"/>
          <w:kern w:val="0"/>
          <w:sz w:val="30"/>
          <w:szCs w:val="30"/>
        </w:rPr>
      </w:pPr>
      <w:r>
        <w:rPr>
          <w:rFonts w:hint="eastAsia" w:ascii="仿宋" w:hAnsi="仿宋" w:eastAsia="仿宋" w:cs="宋体"/>
          <w:kern w:val="0"/>
          <w:sz w:val="30"/>
          <w:szCs w:val="30"/>
        </w:rPr>
        <w:t>　　1.一般公共服务（类）。年初预算为1083.93万元，支出决算为1311.96万元，完成年初预算的121.04%。决算数大于预算数的主要原因是一是本年度人员正常异动，增加了部分人员经费；二是对2019年老干管理中心办公费、小康社会推进工作考核奖励经费、2017年目标管理绩效考核先进乡镇和考核工作经费、督查目标管理绩效考核奖励经费等项目经费、“乡味乡情美丽衡南”三十佳评选活动经费等项目经费进行了追加。</w:t>
      </w:r>
    </w:p>
    <w:p>
      <w:pPr>
        <w:spacing w:line="540" w:lineRule="exact"/>
        <w:rPr>
          <w:rFonts w:ascii="仿宋" w:hAnsi="仿宋" w:eastAsia="仿宋" w:cs="宋体"/>
          <w:kern w:val="0"/>
          <w:sz w:val="30"/>
          <w:szCs w:val="30"/>
        </w:rPr>
      </w:pPr>
      <w:r>
        <w:rPr>
          <w:rFonts w:hint="eastAsia" w:ascii="仿宋" w:hAnsi="仿宋" w:eastAsia="仿宋" w:cs="宋体"/>
          <w:kern w:val="0"/>
          <w:sz w:val="30"/>
          <w:szCs w:val="30"/>
        </w:rPr>
        <w:t>　　2.社会保障和就业。年初预算为176.37万元，支出决算为176.37万元，完成年初预算的100%。</w:t>
      </w:r>
    </w:p>
    <w:p>
      <w:pPr>
        <w:spacing w:line="540" w:lineRule="exact"/>
        <w:rPr>
          <w:rFonts w:ascii="仿宋" w:hAnsi="仿宋" w:eastAsia="仿宋" w:cs="宋体"/>
          <w:kern w:val="0"/>
          <w:sz w:val="30"/>
          <w:szCs w:val="30"/>
        </w:rPr>
      </w:pPr>
      <w:r>
        <w:rPr>
          <w:rFonts w:hint="eastAsia" w:ascii="仿宋" w:hAnsi="仿宋" w:eastAsia="仿宋" w:cs="宋体"/>
          <w:kern w:val="0"/>
          <w:sz w:val="30"/>
          <w:szCs w:val="30"/>
        </w:rPr>
        <w:t>　　3.卫生健康支出。年初预算为24.62万元，支出决算为24.62万元，完成年初预算的100%。</w:t>
      </w:r>
    </w:p>
    <w:p>
      <w:pPr>
        <w:spacing w:line="540" w:lineRule="exact"/>
        <w:ind w:left="150" w:hanging="150" w:hangingChars="50"/>
        <w:rPr>
          <w:rFonts w:ascii="仿宋" w:hAnsi="仿宋" w:eastAsia="仿宋" w:cs="宋体"/>
          <w:kern w:val="0"/>
          <w:sz w:val="30"/>
          <w:szCs w:val="30"/>
        </w:rPr>
      </w:pPr>
      <w:r>
        <w:rPr>
          <w:rFonts w:hint="eastAsia" w:ascii="仿宋" w:hAnsi="仿宋" w:eastAsia="仿宋" w:cs="宋体"/>
          <w:kern w:val="0"/>
          <w:sz w:val="30"/>
          <w:szCs w:val="30"/>
        </w:rPr>
        <w:t>　　4.住房保障支出。年初预算为50.16万元，支出决算为50.16万元，完成年初预算的100%。</w:t>
      </w:r>
    </w:p>
    <w:p>
      <w:pPr>
        <w:spacing w:line="540" w:lineRule="exact"/>
        <w:ind w:left="105" w:leftChars="50" w:firstLine="450" w:firstLineChars="150"/>
        <w:rPr>
          <w:rFonts w:ascii="仿宋" w:hAnsi="仿宋" w:eastAsia="仿宋" w:cs="宋体"/>
          <w:kern w:val="0"/>
          <w:sz w:val="30"/>
          <w:szCs w:val="30"/>
        </w:rPr>
      </w:pPr>
      <w:r>
        <w:rPr>
          <w:rFonts w:hint="eastAsia" w:ascii="仿宋" w:hAnsi="仿宋" w:eastAsia="仿宋" w:cs="宋体"/>
          <w:kern w:val="0"/>
          <w:sz w:val="30"/>
          <w:szCs w:val="30"/>
        </w:rPr>
        <w:t>5.科学技术支出。年初预算为8万元，支出决算为8万元。完成年初预算的100%。</w:t>
      </w:r>
    </w:p>
    <w:p>
      <w:pPr>
        <w:spacing w:line="540" w:lineRule="exact"/>
        <w:ind w:left="105" w:leftChars="50" w:firstLine="450" w:firstLineChars="150"/>
        <w:rPr>
          <w:rFonts w:ascii="仿宋" w:hAnsi="仿宋" w:eastAsia="仿宋" w:cs="宋体"/>
          <w:kern w:val="0"/>
          <w:sz w:val="30"/>
          <w:szCs w:val="30"/>
        </w:rPr>
      </w:pPr>
      <w:r>
        <w:rPr>
          <w:rFonts w:hint="eastAsia" w:ascii="黑体" w:hAnsi="黑体" w:eastAsia="黑体"/>
          <w:sz w:val="30"/>
          <w:szCs w:val="30"/>
        </w:rPr>
        <w:t>六、一般公共预算财政拨款基本支出决算情况说明</w:t>
      </w:r>
    </w:p>
    <w:p>
      <w:pPr>
        <w:spacing w:line="540" w:lineRule="exact"/>
        <w:ind w:firstLine="600"/>
        <w:rPr>
          <w:rFonts w:ascii="仿宋" w:hAnsi="仿宋" w:eastAsia="仿宋" w:cs="宋体"/>
          <w:kern w:val="0"/>
          <w:sz w:val="30"/>
          <w:szCs w:val="30"/>
        </w:rPr>
      </w:pPr>
      <w:r>
        <w:rPr>
          <w:rFonts w:hint="eastAsia" w:ascii="仿宋" w:hAnsi="仿宋" w:eastAsia="仿宋" w:cs="宋体"/>
          <w:kern w:val="0"/>
          <w:sz w:val="30"/>
          <w:szCs w:val="30"/>
        </w:rPr>
        <w:t>2019年度一般公共预算财政拨款基本支出决算合计774.91万元，主要包括：基本工资、津贴补贴、奖金、职业年金缴费、其他社会保障缴费、其他工资福利支出、住房公积金、机关事业单位基本养老保险缴费；公用经费54.75万元，主要包括：办公费、会议费、培训费、公务接待费、劳务费、公务用车运行维护费。</w:t>
      </w:r>
    </w:p>
    <w:p>
      <w:pPr>
        <w:spacing w:line="540" w:lineRule="exact"/>
        <w:ind w:firstLine="600"/>
        <w:rPr>
          <w:rFonts w:ascii="黑体" w:hAnsi="黑体" w:eastAsia="黑体"/>
          <w:sz w:val="30"/>
          <w:szCs w:val="30"/>
        </w:rPr>
      </w:pPr>
      <w:r>
        <w:rPr>
          <w:rFonts w:hint="eastAsia" w:ascii="黑体" w:hAnsi="黑体" w:eastAsia="黑体"/>
          <w:sz w:val="30"/>
          <w:szCs w:val="30"/>
        </w:rPr>
        <w:t>七、一般公共预算财政拨款“三公”经费支出决算情况说明</w:t>
      </w:r>
    </w:p>
    <w:p>
      <w:pPr>
        <w:spacing w:line="540" w:lineRule="exact"/>
        <w:rPr>
          <w:rFonts w:ascii="楷体" w:hAnsi="楷体" w:eastAsia="楷体" w:cs="宋体"/>
          <w:b/>
          <w:kern w:val="0"/>
          <w:sz w:val="30"/>
          <w:szCs w:val="30"/>
        </w:rPr>
      </w:pPr>
      <w:r>
        <w:rPr>
          <w:rFonts w:hint="eastAsia" w:ascii="仿宋" w:hAnsi="仿宋" w:eastAsia="仿宋" w:cs="宋体"/>
          <w:kern w:val="0"/>
          <w:sz w:val="30"/>
          <w:szCs w:val="30"/>
        </w:rPr>
        <w:t>　　</w:t>
      </w:r>
      <w:r>
        <w:rPr>
          <w:rFonts w:hint="eastAsia" w:ascii="楷体" w:hAnsi="楷体" w:eastAsia="楷体" w:cs="宋体"/>
          <w:b/>
          <w:kern w:val="0"/>
          <w:sz w:val="30"/>
          <w:szCs w:val="30"/>
        </w:rPr>
        <w:t>（一）“三公”经费财政拨款支出决算总体情况说明。</w:t>
      </w:r>
    </w:p>
    <w:p>
      <w:pPr>
        <w:spacing w:line="540" w:lineRule="exact"/>
        <w:ind w:firstLine="709"/>
        <w:rPr>
          <w:rFonts w:ascii="仿宋" w:hAnsi="仿宋" w:eastAsia="仿宋" w:cs="宋体"/>
          <w:kern w:val="0"/>
          <w:sz w:val="30"/>
          <w:szCs w:val="30"/>
        </w:rPr>
      </w:pPr>
      <w:r>
        <w:rPr>
          <w:rFonts w:ascii="仿宋" w:hAnsi="仿宋" w:eastAsia="仿宋" w:cs="宋体"/>
          <w:kern w:val="0"/>
          <w:sz w:val="30"/>
          <w:szCs w:val="30"/>
        </w:rPr>
        <w:t>“三公”经费开支总额</w:t>
      </w:r>
      <w:r>
        <w:rPr>
          <w:rFonts w:hint="eastAsia" w:ascii="仿宋" w:hAnsi="仿宋" w:eastAsia="仿宋" w:cs="宋体"/>
          <w:kern w:val="0"/>
          <w:sz w:val="30"/>
          <w:szCs w:val="30"/>
        </w:rPr>
        <w:t>24.16</w:t>
      </w:r>
      <w:r>
        <w:rPr>
          <w:rFonts w:ascii="仿宋" w:hAnsi="仿宋" w:eastAsia="仿宋" w:cs="宋体"/>
          <w:kern w:val="0"/>
          <w:sz w:val="30"/>
          <w:szCs w:val="30"/>
        </w:rPr>
        <w:t>万元，年初预算数</w:t>
      </w:r>
      <w:r>
        <w:rPr>
          <w:rFonts w:hint="eastAsia" w:ascii="仿宋" w:hAnsi="仿宋" w:eastAsia="仿宋" w:cs="宋体"/>
          <w:kern w:val="0"/>
          <w:sz w:val="30"/>
          <w:szCs w:val="30"/>
        </w:rPr>
        <w:t>43.6</w:t>
      </w:r>
      <w:r>
        <w:rPr>
          <w:rFonts w:ascii="仿宋" w:hAnsi="仿宋" w:eastAsia="仿宋" w:cs="宋体"/>
          <w:kern w:val="0"/>
          <w:sz w:val="30"/>
          <w:szCs w:val="30"/>
        </w:rPr>
        <w:t>万元，预算执行率</w:t>
      </w:r>
      <w:r>
        <w:rPr>
          <w:rFonts w:hint="eastAsia" w:ascii="仿宋" w:hAnsi="仿宋" w:eastAsia="仿宋" w:cs="宋体"/>
          <w:kern w:val="0"/>
          <w:sz w:val="30"/>
          <w:szCs w:val="30"/>
        </w:rPr>
        <w:t>55.41</w:t>
      </w:r>
      <w:r>
        <w:rPr>
          <w:rFonts w:ascii="仿宋" w:hAnsi="仿宋" w:eastAsia="仿宋" w:cs="宋体"/>
          <w:kern w:val="0"/>
          <w:sz w:val="30"/>
          <w:szCs w:val="30"/>
        </w:rPr>
        <w:t>%。</w:t>
      </w:r>
    </w:p>
    <w:p>
      <w:pPr>
        <w:spacing w:line="540" w:lineRule="exact"/>
        <w:ind w:firstLine="600" w:firstLineChars="200"/>
        <w:rPr>
          <w:rFonts w:ascii="仿宋" w:hAnsi="仿宋" w:eastAsia="仿宋" w:cs="宋体"/>
          <w:kern w:val="0"/>
          <w:sz w:val="30"/>
          <w:szCs w:val="30"/>
        </w:rPr>
      </w:pPr>
      <w:r>
        <w:rPr>
          <w:rFonts w:ascii="仿宋" w:hAnsi="仿宋" w:eastAsia="仿宋" w:cs="宋体"/>
          <w:kern w:val="0"/>
          <w:sz w:val="30"/>
          <w:szCs w:val="30"/>
        </w:rPr>
        <w:t>1.公务接待费</w:t>
      </w:r>
      <w:r>
        <w:rPr>
          <w:rFonts w:hint="eastAsia" w:ascii="仿宋" w:hAnsi="仿宋" w:eastAsia="仿宋" w:cs="宋体"/>
          <w:kern w:val="0"/>
          <w:sz w:val="30"/>
          <w:szCs w:val="30"/>
        </w:rPr>
        <w:t>13.27</w:t>
      </w:r>
      <w:r>
        <w:rPr>
          <w:rFonts w:ascii="仿宋" w:hAnsi="仿宋" w:eastAsia="仿宋" w:cs="宋体"/>
          <w:kern w:val="0"/>
          <w:sz w:val="30"/>
          <w:szCs w:val="30"/>
        </w:rPr>
        <w:t>万元，年初预算数</w:t>
      </w:r>
      <w:r>
        <w:rPr>
          <w:rFonts w:hint="eastAsia" w:ascii="仿宋" w:hAnsi="仿宋" w:eastAsia="仿宋" w:cs="宋体"/>
          <w:kern w:val="0"/>
          <w:sz w:val="30"/>
          <w:szCs w:val="30"/>
        </w:rPr>
        <w:t>30</w:t>
      </w:r>
      <w:r>
        <w:rPr>
          <w:rFonts w:ascii="仿宋" w:hAnsi="仿宋" w:eastAsia="仿宋" w:cs="宋体"/>
          <w:kern w:val="0"/>
          <w:sz w:val="30"/>
          <w:szCs w:val="30"/>
        </w:rPr>
        <w:t>万元，预算执行率</w:t>
      </w:r>
      <w:r>
        <w:rPr>
          <w:rFonts w:hint="eastAsia" w:ascii="仿宋" w:hAnsi="仿宋" w:eastAsia="仿宋" w:cs="宋体"/>
          <w:kern w:val="0"/>
          <w:sz w:val="30"/>
          <w:szCs w:val="30"/>
        </w:rPr>
        <w:t>44.23</w:t>
      </w:r>
      <w:r>
        <w:rPr>
          <w:rFonts w:ascii="仿宋" w:hAnsi="仿宋" w:eastAsia="仿宋" w:cs="宋体"/>
          <w:kern w:val="0"/>
          <w:sz w:val="30"/>
          <w:szCs w:val="30"/>
        </w:rPr>
        <w:t>%，与上年相比减少</w:t>
      </w:r>
      <w:r>
        <w:rPr>
          <w:rFonts w:hint="eastAsia" w:ascii="仿宋" w:hAnsi="仿宋" w:eastAsia="仿宋" w:cs="宋体"/>
          <w:kern w:val="0"/>
          <w:sz w:val="30"/>
          <w:szCs w:val="30"/>
        </w:rPr>
        <w:t>8.58</w:t>
      </w:r>
      <w:r>
        <w:rPr>
          <w:rFonts w:ascii="仿宋" w:hAnsi="仿宋" w:eastAsia="仿宋" w:cs="宋体"/>
          <w:kern w:val="0"/>
          <w:sz w:val="30"/>
          <w:szCs w:val="30"/>
        </w:rPr>
        <w:t>万元，本年公务接待活动较上年减少。</w:t>
      </w:r>
    </w:p>
    <w:p>
      <w:pPr>
        <w:autoSpaceDE w:val="0"/>
        <w:spacing w:line="540" w:lineRule="exact"/>
        <w:ind w:firstLine="600" w:firstLineChars="200"/>
        <w:rPr>
          <w:rFonts w:ascii="仿宋" w:hAnsi="仿宋" w:eastAsia="仿宋" w:cs="宋体"/>
          <w:kern w:val="0"/>
          <w:sz w:val="30"/>
          <w:szCs w:val="30"/>
        </w:rPr>
      </w:pPr>
      <w:r>
        <w:rPr>
          <w:rFonts w:ascii="仿宋" w:hAnsi="仿宋" w:eastAsia="仿宋" w:cs="宋体"/>
          <w:kern w:val="0"/>
          <w:sz w:val="30"/>
          <w:szCs w:val="30"/>
        </w:rPr>
        <w:t>2.公务用车购置及运行维护费</w:t>
      </w:r>
      <w:r>
        <w:rPr>
          <w:rFonts w:hint="eastAsia" w:ascii="仿宋" w:hAnsi="仿宋" w:eastAsia="仿宋" w:cs="宋体"/>
          <w:kern w:val="0"/>
          <w:sz w:val="30"/>
          <w:szCs w:val="30"/>
        </w:rPr>
        <w:t>10.89</w:t>
      </w:r>
      <w:r>
        <w:rPr>
          <w:rFonts w:ascii="仿宋" w:hAnsi="仿宋" w:eastAsia="仿宋" w:cs="宋体"/>
          <w:kern w:val="0"/>
          <w:sz w:val="30"/>
          <w:szCs w:val="30"/>
        </w:rPr>
        <w:t>万元，年初预算数</w:t>
      </w:r>
      <w:r>
        <w:rPr>
          <w:rFonts w:hint="eastAsia" w:ascii="仿宋" w:hAnsi="仿宋" w:eastAsia="仿宋" w:cs="宋体"/>
          <w:kern w:val="0"/>
          <w:sz w:val="30"/>
          <w:szCs w:val="30"/>
        </w:rPr>
        <w:t>13.6</w:t>
      </w:r>
      <w:r>
        <w:rPr>
          <w:rFonts w:ascii="仿宋" w:hAnsi="仿宋" w:eastAsia="仿宋" w:cs="宋体"/>
          <w:kern w:val="0"/>
          <w:sz w:val="30"/>
          <w:szCs w:val="30"/>
        </w:rPr>
        <w:t>万元，预算执行率</w:t>
      </w:r>
      <w:r>
        <w:rPr>
          <w:rFonts w:hint="eastAsia" w:ascii="仿宋" w:hAnsi="仿宋" w:eastAsia="仿宋" w:cs="宋体"/>
          <w:kern w:val="0"/>
          <w:sz w:val="30"/>
          <w:szCs w:val="30"/>
        </w:rPr>
        <w:t>80.07</w:t>
      </w:r>
      <w:r>
        <w:rPr>
          <w:rFonts w:ascii="仿宋" w:hAnsi="仿宋" w:eastAsia="仿宋" w:cs="宋体"/>
          <w:kern w:val="0"/>
          <w:sz w:val="30"/>
          <w:szCs w:val="30"/>
        </w:rPr>
        <w:t>%，与上年相比减少</w:t>
      </w:r>
      <w:r>
        <w:rPr>
          <w:rFonts w:hint="eastAsia" w:ascii="仿宋" w:hAnsi="仿宋" w:eastAsia="仿宋" w:cs="宋体"/>
          <w:kern w:val="0"/>
          <w:sz w:val="30"/>
          <w:szCs w:val="30"/>
        </w:rPr>
        <w:t>0.88</w:t>
      </w:r>
      <w:r>
        <w:rPr>
          <w:rFonts w:ascii="仿宋" w:hAnsi="仿宋" w:eastAsia="仿宋" w:cs="宋体"/>
          <w:kern w:val="0"/>
          <w:sz w:val="30"/>
          <w:szCs w:val="30"/>
        </w:rPr>
        <w:t>万元</w:t>
      </w:r>
      <w:r>
        <w:rPr>
          <w:rFonts w:hint="eastAsia" w:ascii="仿宋" w:hAnsi="仿宋" w:eastAsia="仿宋" w:cs="宋体"/>
          <w:kern w:val="0"/>
          <w:sz w:val="30"/>
          <w:szCs w:val="30"/>
        </w:rPr>
        <w:t>。</w:t>
      </w:r>
    </w:p>
    <w:p>
      <w:pPr>
        <w:autoSpaceDE w:val="0"/>
        <w:spacing w:line="540" w:lineRule="exact"/>
        <w:ind w:firstLine="709"/>
        <w:rPr>
          <w:rFonts w:ascii="仿宋" w:hAnsi="仿宋" w:eastAsia="仿宋" w:cs="宋体"/>
          <w:kern w:val="0"/>
          <w:sz w:val="30"/>
          <w:szCs w:val="30"/>
        </w:rPr>
      </w:pPr>
      <w:r>
        <w:rPr>
          <w:rFonts w:ascii="仿宋" w:hAnsi="仿宋" w:eastAsia="仿宋" w:cs="宋体"/>
          <w:kern w:val="0"/>
          <w:sz w:val="30"/>
          <w:szCs w:val="30"/>
        </w:rPr>
        <w:t>3.因公出国（境）费</w:t>
      </w:r>
      <w:r>
        <w:rPr>
          <w:rFonts w:hint="eastAsia" w:ascii="仿宋" w:hAnsi="仿宋" w:eastAsia="仿宋" w:cs="宋体"/>
          <w:kern w:val="0"/>
          <w:sz w:val="30"/>
          <w:szCs w:val="30"/>
        </w:rPr>
        <w:t>0万</w:t>
      </w:r>
      <w:r>
        <w:rPr>
          <w:rFonts w:ascii="仿宋" w:hAnsi="仿宋" w:eastAsia="仿宋" w:cs="宋体"/>
          <w:kern w:val="0"/>
          <w:sz w:val="30"/>
          <w:szCs w:val="30"/>
        </w:rPr>
        <w:t>元，年初</w:t>
      </w:r>
      <w:r>
        <w:rPr>
          <w:rFonts w:hint="eastAsia" w:ascii="仿宋" w:hAnsi="仿宋" w:eastAsia="仿宋" w:cs="宋体"/>
          <w:kern w:val="0"/>
          <w:sz w:val="30"/>
          <w:szCs w:val="30"/>
        </w:rPr>
        <w:t>无</w:t>
      </w:r>
      <w:r>
        <w:rPr>
          <w:rFonts w:ascii="仿宋" w:hAnsi="仿宋" w:eastAsia="仿宋" w:cs="宋体"/>
          <w:kern w:val="0"/>
          <w:sz w:val="30"/>
          <w:szCs w:val="30"/>
        </w:rPr>
        <w:t>预算数，</w:t>
      </w:r>
      <w:r>
        <w:rPr>
          <w:rFonts w:hint="eastAsia" w:ascii="仿宋" w:hAnsi="仿宋" w:eastAsia="仿宋" w:cs="宋体"/>
          <w:kern w:val="0"/>
          <w:sz w:val="30"/>
          <w:szCs w:val="30"/>
        </w:rPr>
        <w:t>本年度没有发生因公出国（境）费用。</w:t>
      </w:r>
    </w:p>
    <w:p>
      <w:pPr>
        <w:autoSpaceDE w:val="0"/>
        <w:spacing w:line="540" w:lineRule="exact"/>
        <w:ind w:firstLine="709"/>
        <w:rPr>
          <w:rFonts w:ascii="仿宋" w:hAnsi="仿宋" w:eastAsia="仿宋" w:cs="宋体"/>
          <w:kern w:val="0"/>
          <w:sz w:val="30"/>
          <w:szCs w:val="30"/>
        </w:rPr>
      </w:pPr>
      <w:r>
        <w:rPr>
          <w:rFonts w:hint="eastAsia" w:ascii="楷体" w:hAnsi="楷体" w:eastAsia="楷体" w:cs="宋体"/>
          <w:b/>
          <w:kern w:val="0"/>
          <w:sz w:val="30"/>
          <w:szCs w:val="30"/>
        </w:rPr>
        <w:t>（二）“三公”经费财政拨款支出决算具体情况说明。</w:t>
      </w:r>
    </w:p>
    <w:p>
      <w:pPr>
        <w:spacing w:line="540" w:lineRule="exact"/>
        <w:ind w:firstLine="709"/>
        <w:rPr>
          <w:rFonts w:ascii="仿宋" w:hAnsi="仿宋" w:eastAsia="仿宋" w:cs="宋体"/>
          <w:kern w:val="0"/>
          <w:sz w:val="30"/>
          <w:szCs w:val="30"/>
        </w:rPr>
      </w:pPr>
      <w:r>
        <w:rPr>
          <w:rFonts w:ascii="仿宋" w:hAnsi="仿宋" w:eastAsia="仿宋" w:cs="宋体"/>
          <w:kern w:val="0"/>
          <w:sz w:val="30"/>
          <w:szCs w:val="30"/>
        </w:rPr>
        <w:t>2019年度一般公共预算财政拨款“三公”经费决算支出</w:t>
      </w:r>
      <w:r>
        <w:rPr>
          <w:rFonts w:hint="eastAsia" w:ascii="仿宋" w:hAnsi="仿宋" w:eastAsia="仿宋" w:cs="宋体"/>
          <w:kern w:val="0"/>
          <w:sz w:val="30"/>
          <w:szCs w:val="30"/>
        </w:rPr>
        <w:t>24.16</w:t>
      </w:r>
      <w:r>
        <w:rPr>
          <w:rFonts w:ascii="仿宋" w:hAnsi="仿宋" w:eastAsia="仿宋" w:cs="宋体"/>
          <w:kern w:val="0"/>
          <w:sz w:val="30"/>
          <w:szCs w:val="30"/>
        </w:rPr>
        <w:t>万元，公务接待费</w:t>
      </w:r>
      <w:r>
        <w:rPr>
          <w:rFonts w:hint="eastAsia" w:ascii="仿宋" w:hAnsi="仿宋" w:eastAsia="仿宋" w:cs="宋体"/>
          <w:kern w:val="0"/>
          <w:sz w:val="30"/>
          <w:szCs w:val="30"/>
        </w:rPr>
        <w:t>13.27</w:t>
      </w:r>
      <w:r>
        <w:rPr>
          <w:rFonts w:ascii="仿宋" w:hAnsi="仿宋" w:eastAsia="仿宋" w:cs="宋体"/>
          <w:kern w:val="0"/>
          <w:sz w:val="30"/>
          <w:szCs w:val="30"/>
        </w:rPr>
        <w:t>万元，占比</w:t>
      </w:r>
      <w:r>
        <w:rPr>
          <w:rFonts w:hint="eastAsia" w:ascii="仿宋" w:hAnsi="仿宋" w:eastAsia="仿宋" w:cs="宋体"/>
          <w:kern w:val="0"/>
          <w:sz w:val="30"/>
          <w:szCs w:val="30"/>
        </w:rPr>
        <w:t>54.92</w:t>
      </w:r>
      <w:r>
        <w:rPr>
          <w:rFonts w:ascii="仿宋" w:hAnsi="仿宋" w:eastAsia="仿宋" w:cs="宋体"/>
          <w:kern w:val="0"/>
          <w:sz w:val="30"/>
          <w:szCs w:val="30"/>
        </w:rPr>
        <w:t>%；公务用车购置及运行费</w:t>
      </w:r>
      <w:r>
        <w:rPr>
          <w:rFonts w:hint="eastAsia" w:ascii="仿宋" w:hAnsi="仿宋" w:eastAsia="仿宋" w:cs="宋体"/>
          <w:kern w:val="0"/>
          <w:sz w:val="30"/>
          <w:szCs w:val="30"/>
        </w:rPr>
        <w:t>10.89</w:t>
      </w:r>
      <w:r>
        <w:rPr>
          <w:rFonts w:ascii="仿宋" w:hAnsi="仿宋" w:eastAsia="仿宋" w:cs="宋体"/>
          <w:kern w:val="0"/>
          <w:sz w:val="30"/>
          <w:szCs w:val="30"/>
        </w:rPr>
        <w:t>万元，占比</w:t>
      </w:r>
      <w:r>
        <w:rPr>
          <w:rFonts w:hint="eastAsia" w:ascii="仿宋" w:hAnsi="仿宋" w:eastAsia="仿宋" w:cs="宋体"/>
          <w:kern w:val="0"/>
          <w:sz w:val="30"/>
          <w:szCs w:val="30"/>
        </w:rPr>
        <w:t>45.08</w:t>
      </w:r>
      <w:r>
        <w:rPr>
          <w:rFonts w:ascii="仿宋" w:hAnsi="仿宋" w:eastAsia="仿宋" w:cs="宋体"/>
          <w:kern w:val="0"/>
          <w:sz w:val="30"/>
          <w:szCs w:val="30"/>
        </w:rPr>
        <w:t>%；因公出国（境）费</w:t>
      </w:r>
      <w:r>
        <w:rPr>
          <w:rFonts w:hint="eastAsia" w:ascii="仿宋" w:hAnsi="仿宋" w:eastAsia="仿宋" w:cs="宋体"/>
          <w:kern w:val="0"/>
          <w:sz w:val="30"/>
          <w:szCs w:val="30"/>
        </w:rPr>
        <w:t xml:space="preserve"> 0</w:t>
      </w:r>
      <w:r>
        <w:rPr>
          <w:rFonts w:ascii="仿宋" w:hAnsi="仿宋" w:eastAsia="仿宋" w:cs="宋体"/>
          <w:kern w:val="0"/>
          <w:sz w:val="30"/>
          <w:szCs w:val="30"/>
        </w:rPr>
        <w:t>万元，占比</w:t>
      </w:r>
      <w:r>
        <w:rPr>
          <w:rFonts w:hint="eastAsia" w:ascii="仿宋" w:hAnsi="仿宋" w:eastAsia="仿宋" w:cs="宋体"/>
          <w:kern w:val="0"/>
          <w:sz w:val="30"/>
          <w:szCs w:val="30"/>
        </w:rPr>
        <w:t>为0</w:t>
      </w:r>
      <w:r>
        <w:rPr>
          <w:rFonts w:ascii="仿宋" w:hAnsi="仿宋" w:eastAsia="仿宋" w:cs="宋体"/>
          <w:kern w:val="0"/>
          <w:sz w:val="30"/>
          <w:szCs w:val="30"/>
        </w:rPr>
        <w:t>。具体情况如下：</w:t>
      </w:r>
    </w:p>
    <w:p>
      <w:pPr>
        <w:spacing w:line="540" w:lineRule="exact"/>
        <w:ind w:firstLine="600"/>
        <w:rPr>
          <w:rFonts w:ascii="仿宋" w:hAnsi="仿宋" w:eastAsia="仿宋" w:cs="宋体"/>
          <w:kern w:val="0"/>
          <w:sz w:val="30"/>
          <w:szCs w:val="30"/>
        </w:rPr>
      </w:pPr>
      <w:r>
        <w:rPr>
          <w:rFonts w:ascii="方正仿宋_GBK" w:hAnsi="方正仿宋_GBK" w:eastAsia="方正仿宋_GBK" w:cs="方正仿宋_GBK"/>
          <w:sz w:val="30"/>
          <w:szCs w:val="30"/>
        </w:rPr>
        <w:t>1.公务接待费</w:t>
      </w:r>
      <w:r>
        <w:rPr>
          <w:rFonts w:hint="eastAsia" w:ascii="方正仿宋_GBK" w:hAnsi="方正仿宋_GBK" w:eastAsia="方正仿宋_GBK" w:cs="方正仿宋_GBK"/>
          <w:sz w:val="30"/>
          <w:szCs w:val="30"/>
        </w:rPr>
        <w:t>13.27</w:t>
      </w:r>
      <w:r>
        <w:rPr>
          <w:rFonts w:ascii="方正仿宋_GBK" w:hAnsi="方正仿宋_GBK" w:eastAsia="方正仿宋_GBK" w:cs="方正仿宋_GBK"/>
          <w:sz w:val="30"/>
          <w:szCs w:val="30"/>
        </w:rPr>
        <w:t>万元。</w:t>
      </w:r>
      <w:r>
        <w:rPr>
          <w:rFonts w:hint="eastAsia" w:ascii="仿宋" w:hAnsi="仿宋" w:eastAsia="仿宋" w:cs="宋体"/>
          <w:kern w:val="0"/>
          <w:sz w:val="30"/>
          <w:szCs w:val="30"/>
        </w:rPr>
        <w:t>主要用于国内相关单位交流工作情况及接受相关部门检查指导工作发生的接待支出。2019年共接待国内来访团组27批次、来宾258人次（不包括陪同人员）。</w:t>
      </w:r>
    </w:p>
    <w:p>
      <w:pPr>
        <w:spacing w:line="540" w:lineRule="exact"/>
        <w:ind w:firstLine="600"/>
        <w:rPr>
          <w:rFonts w:ascii="仿宋" w:hAnsi="仿宋" w:eastAsia="仿宋" w:cs="宋体"/>
          <w:kern w:val="0"/>
          <w:sz w:val="30"/>
          <w:szCs w:val="30"/>
        </w:rPr>
      </w:pPr>
      <w:r>
        <w:rPr>
          <w:rFonts w:ascii="方正仿宋_GBK" w:hAnsi="方正仿宋_GBK" w:eastAsia="方正仿宋_GBK" w:cs="方正仿宋_GBK"/>
          <w:sz w:val="30"/>
          <w:szCs w:val="30"/>
        </w:rPr>
        <w:t>2.公务用车购置及运行费</w:t>
      </w:r>
      <w:r>
        <w:rPr>
          <w:rFonts w:hint="eastAsia" w:ascii="方正仿宋_GBK" w:hAnsi="方正仿宋_GBK" w:eastAsia="方正仿宋_GBK" w:cs="方正仿宋_GBK"/>
          <w:sz w:val="30"/>
          <w:szCs w:val="30"/>
        </w:rPr>
        <w:t>10.89</w:t>
      </w:r>
      <w:r>
        <w:rPr>
          <w:rFonts w:ascii="方正仿宋_GBK" w:hAnsi="方正仿宋_GBK" w:eastAsia="方正仿宋_GBK" w:cs="方正仿宋_GBK"/>
          <w:sz w:val="30"/>
          <w:szCs w:val="30"/>
        </w:rPr>
        <w:t>万元。</w:t>
      </w:r>
      <w:r>
        <w:rPr>
          <w:rFonts w:ascii="仿宋" w:hAnsi="仿宋" w:eastAsia="仿宋" w:cs="宋体"/>
          <w:kern w:val="0"/>
          <w:sz w:val="30"/>
          <w:szCs w:val="30"/>
        </w:rPr>
        <w:t>其中，公务用车购置费</w:t>
      </w:r>
      <w:r>
        <w:rPr>
          <w:rFonts w:hint="eastAsia" w:ascii="仿宋" w:hAnsi="仿宋" w:eastAsia="仿宋" w:cs="宋体"/>
          <w:kern w:val="0"/>
          <w:sz w:val="30"/>
          <w:szCs w:val="30"/>
        </w:rPr>
        <w:t>0</w:t>
      </w:r>
      <w:r>
        <w:rPr>
          <w:rFonts w:ascii="仿宋" w:hAnsi="仿宋" w:eastAsia="仿宋" w:cs="宋体"/>
          <w:kern w:val="0"/>
          <w:sz w:val="30"/>
          <w:szCs w:val="30"/>
        </w:rPr>
        <w:t>万元；公务用车运行费</w:t>
      </w:r>
      <w:r>
        <w:rPr>
          <w:rFonts w:hint="eastAsia" w:ascii="仿宋" w:hAnsi="仿宋" w:eastAsia="仿宋" w:cs="宋体"/>
          <w:kern w:val="0"/>
          <w:sz w:val="30"/>
          <w:szCs w:val="30"/>
        </w:rPr>
        <w:t>10.89</w:t>
      </w:r>
      <w:r>
        <w:rPr>
          <w:rFonts w:ascii="仿宋" w:hAnsi="仿宋" w:eastAsia="仿宋" w:cs="宋体"/>
          <w:kern w:val="0"/>
          <w:sz w:val="30"/>
          <w:szCs w:val="30"/>
        </w:rPr>
        <w:t>万元，</w:t>
      </w:r>
      <w:r>
        <w:rPr>
          <w:rFonts w:hint="eastAsia" w:ascii="仿宋" w:hAnsi="仿宋" w:eastAsia="仿宋" w:cs="宋体"/>
          <w:kern w:val="0"/>
          <w:sz w:val="30"/>
          <w:szCs w:val="30"/>
        </w:rPr>
        <w:t>主要用于机要文件交换、市内因公出行以及开展省内跨市（县、区）检查、督查业务所需车辆燃料费、维修费、过桥过路费、保险费等。2019年开支财政拨款的公务用车保有量为2辆。</w:t>
      </w:r>
    </w:p>
    <w:p>
      <w:pPr>
        <w:spacing w:line="540" w:lineRule="exact"/>
        <w:ind w:firstLine="600" w:firstLineChars="200"/>
        <w:rPr>
          <w:rFonts w:ascii="仿宋" w:hAnsi="仿宋" w:eastAsia="仿宋" w:cs="宋体"/>
          <w:kern w:val="0"/>
          <w:sz w:val="30"/>
          <w:szCs w:val="30"/>
        </w:rPr>
      </w:pPr>
      <w:r>
        <w:rPr>
          <w:rFonts w:ascii="方正仿宋_GBK" w:hAnsi="方正仿宋_GBK" w:eastAsia="方正仿宋_GBK" w:cs="方正仿宋_GBK"/>
          <w:sz w:val="30"/>
          <w:szCs w:val="30"/>
        </w:rPr>
        <w:t>3.因公出国（境）费</w:t>
      </w:r>
      <w:r>
        <w:rPr>
          <w:rFonts w:hint="eastAsia" w:ascii="方正仿宋_GBK" w:hAnsi="方正仿宋_GBK" w:eastAsia="方正仿宋_GBK" w:cs="方正仿宋_GBK"/>
          <w:sz w:val="30"/>
          <w:szCs w:val="30"/>
        </w:rPr>
        <w:t>0</w:t>
      </w:r>
      <w:r>
        <w:rPr>
          <w:rFonts w:ascii="方正仿宋_GBK" w:hAnsi="方正仿宋_GBK" w:eastAsia="方正仿宋_GBK" w:cs="方正仿宋_GBK"/>
          <w:sz w:val="30"/>
          <w:szCs w:val="30"/>
        </w:rPr>
        <w:t>万元。</w:t>
      </w:r>
      <w:r>
        <w:rPr>
          <w:rFonts w:ascii="仿宋" w:hAnsi="仿宋" w:eastAsia="仿宋" w:cs="宋体"/>
          <w:kern w:val="0"/>
          <w:sz w:val="30"/>
          <w:szCs w:val="30"/>
        </w:rPr>
        <w:t>年初</w:t>
      </w:r>
      <w:r>
        <w:rPr>
          <w:rFonts w:hint="eastAsia" w:ascii="仿宋" w:hAnsi="仿宋" w:eastAsia="仿宋" w:cs="宋体"/>
          <w:kern w:val="0"/>
          <w:sz w:val="30"/>
          <w:szCs w:val="30"/>
        </w:rPr>
        <w:t>无</w:t>
      </w:r>
      <w:r>
        <w:rPr>
          <w:rFonts w:ascii="仿宋" w:hAnsi="仿宋" w:eastAsia="仿宋" w:cs="宋体"/>
          <w:kern w:val="0"/>
          <w:sz w:val="30"/>
          <w:szCs w:val="30"/>
        </w:rPr>
        <w:t>预算数，</w:t>
      </w:r>
      <w:r>
        <w:rPr>
          <w:rFonts w:hint="eastAsia" w:ascii="仿宋" w:hAnsi="仿宋" w:eastAsia="仿宋" w:cs="宋体"/>
          <w:kern w:val="0"/>
          <w:sz w:val="30"/>
          <w:szCs w:val="30"/>
        </w:rPr>
        <w:t>本年度没有发生因公出国（境）费用。</w:t>
      </w:r>
    </w:p>
    <w:p>
      <w:pPr>
        <w:spacing w:line="540" w:lineRule="exact"/>
        <w:ind w:firstLine="600" w:firstLineChars="200"/>
        <w:rPr>
          <w:rFonts w:hAnsi="黑体"/>
          <w:sz w:val="30"/>
          <w:szCs w:val="30"/>
        </w:rPr>
      </w:pPr>
      <w:r>
        <w:rPr>
          <w:rFonts w:hint="eastAsia" w:ascii="黑体" w:hAnsi="黑体" w:eastAsia="黑体"/>
          <w:sz w:val="30"/>
          <w:szCs w:val="30"/>
        </w:rPr>
        <w:t>八、</w:t>
      </w:r>
      <w:r>
        <w:rPr>
          <w:rFonts w:hAnsi="黑体"/>
          <w:sz w:val="30"/>
          <w:szCs w:val="30"/>
        </w:rPr>
        <w:t>政府性基金预算收入支出决算情况</w:t>
      </w:r>
    </w:p>
    <w:p>
      <w:pPr>
        <w:pStyle w:val="16"/>
        <w:spacing w:line="540" w:lineRule="exact"/>
        <w:ind w:firstLine="600" w:firstLineChars="200"/>
        <w:rPr>
          <w:rFonts w:ascii="仿宋" w:hAnsi="仿宋" w:eastAsia="仿宋" w:cs="宋体"/>
          <w:color w:val="auto"/>
          <w:sz w:val="30"/>
          <w:szCs w:val="30"/>
        </w:rPr>
      </w:pPr>
      <w:r>
        <w:rPr>
          <w:rFonts w:hint="eastAsia" w:ascii="仿宋" w:hAnsi="仿宋" w:eastAsia="仿宋" w:cs="宋体"/>
          <w:color w:val="auto"/>
          <w:sz w:val="30"/>
          <w:szCs w:val="30"/>
        </w:rPr>
        <w:t>2019年度未发生</w:t>
      </w:r>
      <w:r>
        <w:rPr>
          <w:rFonts w:ascii="仿宋" w:hAnsi="仿宋" w:eastAsia="仿宋" w:cs="宋体"/>
          <w:color w:val="auto"/>
          <w:sz w:val="30"/>
          <w:szCs w:val="30"/>
        </w:rPr>
        <w:t>政府性基金</w:t>
      </w:r>
      <w:r>
        <w:rPr>
          <w:rFonts w:hint="eastAsia" w:ascii="仿宋" w:hAnsi="仿宋" w:eastAsia="仿宋" w:cs="宋体"/>
          <w:color w:val="auto"/>
          <w:sz w:val="30"/>
          <w:szCs w:val="30"/>
        </w:rPr>
        <w:t>预算财政拨款</w:t>
      </w:r>
      <w:r>
        <w:rPr>
          <w:rFonts w:ascii="仿宋" w:hAnsi="仿宋" w:eastAsia="仿宋" w:cs="宋体"/>
          <w:color w:val="auto"/>
          <w:sz w:val="30"/>
          <w:szCs w:val="30"/>
        </w:rPr>
        <w:t>收</w:t>
      </w:r>
      <w:r>
        <w:rPr>
          <w:rFonts w:hint="eastAsia" w:ascii="仿宋" w:hAnsi="仿宋" w:eastAsia="仿宋" w:cs="宋体"/>
          <w:color w:val="auto"/>
          <w:sz w:val="30"/>
          <w:szCs w:val="30"/>
        </w:rPr>
        <w:t>支</w:t>
      </w:r>
      <w:r>
        <w:rPr>
          <w:rFonts w:ascii="仿宋" w:hAnsi="仿宋" w:eastAsia="仿宋" w:cs="宋体"/>
          <w:color w:val="auto"/>
          <w:sz w:val="30"/>
          <w:szCs w:val="30"/>
        </w:rPr>
        <w:t>。</w:t>
      </w:r>
    </w:p>
    <w:p>
      <w:pPr>
        <w:spacing w:line="540" w:lineRule="exact"/>
        <w:rPr>
          <w:rFonts w:ascii="黑体" w:hAnsi="黑体" w:eastAsia="黑体"/>
          <w:sz w:val="30"/>
          <w:szCs w:val="30"/>
        </w:rPr>
      </w:pPr>
      <w:r>
        <w:rPr>
          <w:rFonts w:hint="eastAsia" w:ascii="仿宋" w:hAnsi="仿宋" w:eastAsia="仿宋" w:cs="宋体"/>
          <w:kern w:val="0"/>
          <w:sz w:val="30"/>
          <w:szCs w:val="30"/>
        </w:rPr>
        <w:t>　</w:t>
      </w:r>
      <w:r>
        <w:rPr>
          <w:rFonts w:hint="eastAsia" w:ascii="黑体" w:hAnsi="黑体" w:eastAsia="黑体"/>
          <w:sz w:val="30"/>
          <w:szCs w:val="30"/>
        </w:rPr>
        <w:t>　九、关于2019年度预算绩效情况说明</w:t>
      </w:r>
    </w:p>
    <w:p>
      <w:pPr>
        <w:spacing w:line="540" w:lineRule="exact"/>
        <w:rPr>
          <w:rFonts w:ascii="仿宋" w:hAnsi="仿宋" w:eastAsia="仿宋" w:cs="宋体"/>
          <w:kern w:val="0"/>
          <w:sz w:val="30"/>
          <w:szCs w:val="30"/>
        </w:rPr>
      </w:pPr>
      <w:r>
        <w:rPr>
          <w:rFonts w:hint="eastAsia" w:ascii="仿宋" w:hAnsi="仿宋" w:eastAsia="仿宋" w:cs="宋体"/>
          <w:kern w:val="0"/>
          <w:sz w:val="30"/>
          <w:szCs w:val="30"/>
        </w:rPr>
        <w:t>　　</w:t>
      </w:r>
      <w:r>
        <w:rPr>
          <w:rFonts w:ascii="仿宋" w:hAnsi="仿宋" w:eastAsia="仿宋" w:cs="宋体"/>
          <w:kern w:val="0"/>
          <w:sz w:val="30"/>
          <w:szCs w:val="30"/>
        </w:rPr>
        <w:t>为进一步规范财政资金管理、强化绩效和责任意识，切实提高财政资金使用效益，根据财政预算管理要求及</w:t>
      </w:r>
      <w:r>
        <w:rPr>
          <w:rFonts w:hint="eastAsia" w:ascii="仿宋" w:hAnsi="仿宋" w:eastAsia="仿宋" w:cs="宋体"/>
          <w:kern w:val="0"/>
          <w:sz w:val="30"/>
          <w:szCs w:val="30"/>
        </w:rPr>
        <w:t>县</w:t>
      </w:r>
      <w:r>
        <w:rPr>
          <w:rFonts w:ascii="仿宋" w:hAnsi="仿宋" w:eastAsia="仿宋" w:cs="宋体"/>
          <w:kern w:val="0"/>
          <w:sz w:val="30"/>
          <w:szCs w:val="30"/>
        </w:rPr>
        <w:t>财政</w:t>
      </w:r>
      <w:r>
        <w:rPr>
          <w:rFonts w:hint="eastAsia" w:ascii="仿宋" w:hAnsi="仿宋" w:eastAsia="仿宋" w:cs="宋体"/>
          <w:kern w:val="0"/>
          <w:sz w:val="30"/>
          <w:szCs w:val="30"/>
        </w:rPr>
        <w:t>局</w:t>
      </w:r>
      <w:r>
        <w:rPr>
          <w:rFonts w:ascii="仿宋" w:hAnsi="仿宋" w:eastAsia="仿宋" w:cs="宋体"/>
          <w:kern w:val="0"/>
          <w:sz w:val="30"/>
          <w:szCs w:val="30"/>
        </w:rPr>
        <w:t>的统一部署，我</w:t>
      </w:r>
      <w:r>
        <w:rPr>
          <w:rFonts w:hint="eastAsia" w:ascii="仿宋" w:hAnsi="仿宋" w:eastAsia="仿宋" w:cs="宋体"/>
          <w:kern w:val="0"/>
          <w:sz w:val="30"/>
          <w:szCs w:val="30"/>
        </w:rPr>
        <w:t>办</w:t>
      </w:r>
      <w:r>
        <w:rPr>
          <w:rFonts w:ascii="仿宋" w:hAnsi="仿宋" w:eastAsia="仿宋" w:cs="宋体"/>
          <w:kern w:val="0"/>
          <w:sz w:val="30"/>
          <w:szCs w:val="30"/>
        </w:rPr>
        <w:t>对2019年度部门整体支出认真开展绩效自评，按财政要求及时报送了《</w:t>
      </w:r>
      <w:r>
        <w:rPr>
          <w:rFonts w:hint="eastAsia" w:ascii="仿宋" w:hAnsi="仿宋" w:eastAsia="仿宋" w:cs="宋体"/>
          <w:kern w:val="0"/>
          <w:sz w:val="30"/>
          <w:szCs w:val="30"/>
        </w:rPr>
        <w:t>县委办</w:t>
      </w:r>
      <w:r>
        <w:rPr>
          <w:rFonts w:ascii="仿宋" w:hAnsi="仿宋" w:eastAsia="仿宋" w:cs="宋体"/>
          <w:kern w:val="0"/>
          <w:sz w:val="30"/>
          <w:szCs w:val="30"/>
        </w:rPr>
        <w:t>2019年度部门整体支出绩效评价报告》、《部门整体支出绩效</w:t>
      </w:r>
      <w:r>
        <w:rPr>
          <w:rFonts w:hint="eastAsia" w:ascii="仿宋" w:hAnsi="仿宋" w:eastAsia="仿宋" w:cs="宋体"/>
          <w:kern w:val="0"/>
          <w:sz w:val="30"/>
          <w:szCs w:val="30"/>
        </w:rPr>
        <w:t>自评考核评分表</w:t>
      </w:r>
      <w:r>
        <w:rPr>
          <w:rFonts w:ascii="仿宋" w:hAnsi="仿宋" w:eastAsia="仿宋" w:cs="宋体"/>
          <w:kern w:val="0"/>
          <w:sz w:val="30"/>
          <w:szCs w:val="30"/>
        </w:rPr>
        <w:t>》等表格及佐证资料，并在</w:t>
      </w:r>
      <w:r>
        <w:rPr>
          <w:rFonts w:hint="eastAsia" w:ascii="仿宋" w:hAnsi="仿宋" w:eastAsia="仿宋" w:cs="宋体"/>
          <w:kern w:val="0"/>
          <w:sz w:val="30"/>
          <w:szCs w:val="30"/>
        </w:rPr>
        <w:t>县政府</w:t>
      </w:r>
      <w:r>
        <w:rPr>
          <w:rFonts w:ascii="仿宋" w:hAnsi="仿宋" w:eastAsia="仿宋" w:cs="宋体"/>
          <w:kern w:val="0"/>
          <w:sz w:val="30"/>
          <w:szCs w:val="30"/>
        </w:rPr>
        <w:t>门户网站上进行了公开。</w:t>
      </w:r>
    </w:p>
    <w:p>
      <w:pPr>
        <w:spacing w:line="540" w:lineRule="exact"/>
        <w:ind w:firstLine="640"/>
        <w:rPr>
          <w:rFonts w:ascii="仿宋" w:hAnsi="仿宋" w:eastAsia="仿宋" w:cs="宋体"/>
          <w:kern w:val="0"/>
          <w:sz w:val="30"/>
          <w:szCs w:val="30"/>
        </w:rPr>
      </w:pPr>
      <w:r>
        <w:rPr>
          <w:rFonts w:ascii="仿宋" w:hAnsi="仿宋" w:eastAsia="仿宋" w:cs="宋体"/>
          <w:kern w:val="0"/>
          <w:sz w:val="30"/>
          <w:szCs w:val="30"/>
        </w:rPr>
        <w:t>2019年，我</w:t>
      </w:r>
      <w:r>
        <w:rPr>
          <w:rFonts w:hint="eastAsia" w:ascii="仿宋" w:hAnsi="仿宋" w:eastAsia="仿宋" w:cs="宋体"/>
          <w:kern w:val="0"/>
          <w:sz w:val="30"/>
          <w:szCs w:val="30"/>
        </w:rPr>
        <w:t>办</w:t>
      </w:r>
      <w:r>
        <w:rPr>
          <w:rFonts w:ascii="仿宋" w:hAnsi="仿宋" w:eastAsia="仿宋" w:cs="宋体"/>
          <w:kern w:val="0"/>
          <w:sz w:val="30"/>
          <w:szCs w:val="30"/>
        </w:rPr>
        <w:t>严格贯彻落实</w:t>
      </w:r>
      <w:r>
        <w:rPr>
          <w:rFonts w:hint="eastAsia" w:ascii="仿宋" w:hAnsi="仿宋" w:eastAsia="仿宋" w:cs="宋体"/>
          <w:kern w:val="0"/>
          <w:sz w:val="30"/>
          <w:szCs w:val="30"/>
        </w:rPr>
        <w:t>县</w:t>
      </w:r>
      <w:r>
        <w:rPr>
          <w:rFonts w:ascii="仿宋" w:hAnsi="仿宋" w:eastAsia="仿宋" w:cs="宋体"/>
          <w:kern w:val="0"/>
          <w:sz w:val="30"/>
          <w:szCs w:val="30"/>
        </w:rPr>
        <w:t>委、</w:t>
      </w:r>
      <w:r>
        <w:rPr>
          <w:rFonts w:hint="eastAsia" w:ascii="仿宋" w:hAnsi="仿宋" w:eastAsia="仿宋" w:cs="宋体"/>
          <w:kern w:val="0"/>
          <w:sz w:val="30"/>
          <w:szCs w:val="30"/>
        </w:rPr>
        <w:t>县</w:t>
      </w:r>
      <w:r>
        <w:rPr>
          <w:rFonts w:ascii="仿宋" w:hAnsi="仿宋" w:eastAsia="仿宋" w:cs="宋体"/>
          <w:kern w:val="0"/>
          <w:sz w:val="30"/>
          <w:szCs w:val="30"/>
        </w:rPr>
        <w:t>政府关于党政机关厉行节约的有关要求，牢固树立“过紧日子”思想，坚持精打细算、勤俭节约，优化支出结构，大力压减一般性支出，保障重点支出，严格审核把关，加强“三公”经费管理，优化资产配置，切实规范有关资产管理，严格政府采购，强化国有资产信息化管理和动态监控，完善内控制度，切实严肃财经纪律，圆满完成了全年各项工作任务，得到了</w:t>
      </w:r>
      <w:r>
        <w:rPr>
          <w:rFonts w:hint="eastAsia" w:ascii="仿宋" w:hAnsi="仿宋" w:eastAsia="仿宋" w:cs="宋体"/>
          <w:kern w:val="0"/>
          <w:sz w:val="30"/>
          <w:szCs w:val="30"/>
        </w:rPr>
        <w:t>县委、县政府</w:t>
      </w:r>
      <w:r>
        <w:rPr>
          <w:rFonts w:ascii="仿宋" w:hAnsi="仿宋" w:eastAsia="仿宋" w:cs="宋体"/>
          <w:kern w:val="0"/>
          <w:sz w:val="30"/>
          <w:szCs w:val="30"/>
        </w:rPr>
        <w:t>的充分肯定以及社会各界的普遍好评。</w:t>
      </w:r>
    </w:p>
    <w:p>
      <w:pPr>
        <w:spacing w:line="540" w:lineRule="exact"/>
        <w:ind w:firstLine="640"/>
        <w:rPr>
          <w:rFonts w:ascii="仿宋" w:hAnsi="仿宋" w:eastAsia="仿宋" w:cs="宋体"/>
          <w:kern w:val="0"/>
          <w:sz w:val="30"/>
          <w:szCs w:val="30"/>
        </w:rPr>
      </w:pPr>
      <w:r>
        <w:rPr>
          <w:rFonts w:hint="eastAsia" w:ascii="黑体" w:hAnsi="黑体" w:eastAsia="黑体"/>
          <w:sz w:val="30"/>
          <w:szCs w:val="30"/>
        </w:rPr>
        <w:t>十、其他重要事项</w:t>
      </w:r>
    </w:p>
    <w:p>
      <w:pPr>
        <w:spacing w:line="540" w:lineRule="exact"/>
        <w:rPr>
          <w:rFonts w:ascii="仿宋" w:hAnsi="仿宋" w:eastAsia="仿宋" w:cs="宋体"/>
          <w:kern w:val="0"/>
          <w:sz w:val="30"/>
          <w:szCs w:val="30"/>
        </w:rPr>
      </w:pPr>
      <w:r>
        <w:rPr>
          <w:rFonts w:hint="eastAsia" w:ascii="仿宋" w:hAnsi="仿宋" w:eastAsia="仿宋" w:cs="宋体"/>
          <w:kern w:val="0"/>
          <w:sz w:val="30"/>
          <w:szCs w:val="30"/>
        </w:rPr>
        <w:t>　　</w:t>
      </w:r>
      <w:r>
        <w:rPr>
          <w:rFonts w:hint="eastAsia" w:ascii="楷体" w:hAnsi="楷体" w:eastAsia="楷体" w:cs="宋体"/>
          <w:b/>
          <w:kern w:val="0"/>
          <w:sz w:val="30"/>
          <w:szCs w:val="30"/>
        </w:rPr>
        <w:t>（一）政府采购支出情况。</w:t>
      </w:r>
      <w:r>
        <w:rPr>
          <w:rFonts w:hint="eastAsia" w:ascii="仿宋" w:hAnsi="仿宋" w:eastAsia="仿宋" w:cs="宋体"/>
          <w:kern w:val="0"/>
          <w:sz w:val="30"/>
          <w:szCs w:val="30"/>
        </w:rPr>
        <w:t>本单位2019 年度政府采购总支出42.65万元，均为政府采购货物支出。</w:t>
      </w:r>
    </w:p>
    <w:p>
      <w:pPr>
        <w:spacing w:line="540" w:lineRule="exact"/>
        <w:rPr>
          <w:rFonts w:ascii="仿宋" w:hAnsi="仿宋" w:eastAsia="仿宋" w:cs="宋体"/>
          <w:kern w:val="0"/>
          <w:sz w:val="30"/>
          <w:szCs w:val="30"/>
        </w:rPr>
      </w:pPr>
      <w:r>
        <w:rPr>
          <w:rFonts w:hint="eastAsia" w:ascii="仿宋" w:hAnsi="仿宋" w:eastAsia="仿宋" w:cs="宋体"/>
          <w:kern w:val="0"/>
          <w:sz w:val="30"/>
          <w:szCs w:val="30"/>
        </w:rPr>
        <w:t>　　</w:t>
      </w:r>
      <w:r>
        <w:rPr>
          <w:rFonts w:hint="eastAsia" w:ascii="楷体" w:hAnsi="楷体" w:eastAsia="楷体" w:cs="宋体"/>
          <w:b/>
          <w:kern w:val="0"/>
          <w:sz w:val="30"/>
          <w:szCs w:val="30"/>
        </w:rPr>
        <w:t>（二）国有资产占用情况。</w:t>
      </w:r>
      <w:r>
        <w:rPr>
          <w:rFonts w:hint="eastAsia" w:ascii="仿宋" w:hAnsi="仿宋" w:eastAsia="仿宋" w:cs="宋体"/>
          <w:kern w:val="0"/>
          <w:sz w:val="30"/>
          <w:szCs w:val="30"/>
        </w:rPr>
        <w:t>截至2019年12 月31 日，本单位共有车辆2辆，其中，主要领导干部用车1辆、机要通信用车1辆。</w:t>
      </w:r>
    </w:p>
    <w:p>
      <w:pPr>
        <w:widowControl/>
        <w:jc w:val="left"/>
        <w:rPr>
          <w:rFonts w:ascii="黑体" w:hAnsi="黑体" w:eastAsia="黑体"/>
          <w:sz w:val="30"/>
          <w:szCs w:val="30"/>
        </w:rPr>
      </w:pPr>
      <w:r>
        <w:rPr>
          <w:rFonts w:ascii="黑体" w:hAnsi="黑体" w:eastAsia="黑体"/>
          <w:sz w:val="30"/>
          <w:szCs w:val="30"/>
        </w:rPr>
        <w:br w:type="page"/>
      </w:r>
    </w:p>
    <w:p>
      <w:pPr>
        <w:spacing w:line="440" w:lineRule="exact"/>
        <w:ind w:firstLine="600" w:firstLineChars="200"/>
        <w:rPr>
          <w:rFonts w:ascii="黑体" w:hAnsi="黑体" w:eastAsia="黑体"/>
          <w:sz w:val="30"/>
          <w:szCs w:val="30"/>
        </w:rPr>
      </w:pPr>
    </w:p>
    <w:p>
      <w:pPr>
        <w:spacing w:line="440" w:lineRule="exact"/>
        <w:jc w:val="center"/>
        <w:rPr>
          <w:rFonts w:ascii="黑体" w:hAnsi="黑体" w:eastAsia="黑体"/>
          <w:sz w:val="36"/>
          <w:szCs w:val="36"/>
        </w:rPr>
      </w:pPr>
      <w:r>
        <w:rPr>
          <w:rFonts w:hint="eastAsia" w:ascii="黑体" w:hAnsi="黑体" w:eastAsia="黑体"/>
          <w:sz w:val="36"/>
          <w:szCs w:val="36"/>
        </w:rPr>
        <w:t xml:space="preserve">第四部分 </w:t>
      </w:r>
      <w:r>
        <w:rPr>
          <w:rFonts w:hint="eastAsia" w:ascii="宋体" w:hAnsi="宋体" w:cs="宋体"/>
          <w:sz w:val="36"/>
          <w:szCs w:val="36"/>
        </w:rPr>
        <w:t> </w:t>
      </w:r>
      <w:r>
        <w:rPr>
          <w:rFonts w:hint="eastAsia" w:ascii="黑体" w:hAnsi="黑体" w:eastAsia="黑体"/>
          <w:sz w:val="36"/>
          <w:szCs w:val="36"/>
        </w:rPr>
        <w:t>名词解释</w:t>
      </w:r>
    </w:p>
    <w:p>
      <w:pPr>
        <w:spacing w:line="440" w:lineRule="exact"/>
        <w:ind w:firstLine="600" w:firstLineChars="200"/>
        <w:rPr>
          <w:rFonts w:ascii="黑体" w:hAnsi="黑体" w:eastAsia="黑体"/>
          <w:sz w:val="30"/>
          <w:szCs w:val="30"/>
        </w:rPr>
      </w:pPr>
    </w:p>
    <w:p>
      <w:pPr>
        <w:spacing w:line="440" w:lineRule="exact"/>
        <w:ind w:firstLine="600" w:firstLineChars="200"/>
        <w:rPr>
          <w:rFonts w:ascii="仿宋" w:hAnsi="仿宋" w:eastAsia="仿宋" w:cs="宋体"/>
          <w:kern w:val="0"/>
          <w:sz w:val="30"/>
          <w:szCs w:val="30"/>
        </w:rPr>
      </w:pPr>
      <w:r>
        <w:rPr>
          <w:rFonts w:hint="eastAsia" w:ascii="仿宋" w:hAnsi="仿宋" w:eastAsia="仿宋" w:cs="宋体"/>
          <w:kern w:val="0"/>
          <w:sz w:val="30"/>
          <w:szCs w:val="30"/>
        </w:rPr>
        <w:t>一、财政拨款收入：指财政部门核拨给单位的预算资金。</w:t>
      </w:r>
    </w:p>
    <w:p>
      <w:pPr>
        <w:spacing w:line="440" w:lineRule="exact"/>
        <w:rPr>
          <w:rFonts w:ascii="仿宋" w:hAnsi="仿宋" w:eastAsia="仿宋" w:cs="宋体"/>
          <w:kern w:val="0"/>
          <w:sz w:val="30"/>
          <w:szCs w:val="30"/>
        </w:rPr>
      </w:pPr>
      <w:r>
        <w:rPr>
          <w:rFonts w:hint="eastAsia" w:ascii="仿宋" w:hAnsi="仿宋" w:eastAsia="仿宋" w:cs="宋体"/>
          <w:kern w:val="0"/>
          <w:sz w:val="30"/>
          <w:szCs w:val="30"/>
        </w:rPr>
        <w:t>　　二、年初结转和结余：指以前年度尚未完成、结转到本年按有关规定继续使用的资金。</w:t>
      </w:r>
    </w:p>
    <w:p>
      <w:pPr>
        <w:spacing w:line="440" w:lineRule="exact"/>
        <w:rPr>
          <w:rFonts w:ascii="仿宋" w:hAnsi="仿宋" w:eastAsia="仿宋" w:cs="宋体"/>
          <w:kern w:val="0"/>
          <w:sz w:val="30"/>
          <w:szCs w:val="30"/>
        </w:rPr>
      </w:pPr>
      <w:r>
        <w:rPr>
          <w:rFonts w:hint="eastAsia" w:ascii="仿宋" w:hAnsi="仿宋" w:eastAsia="仿宋" w:cs="宋体"/>
          <w:kern w:val="0"/>
          <w:sz w:val="30"/>
          <w:szCs w:val="30"/>
        </w:rPr>
        <w:t>　　三、一般公共服务（类）：指行政单位（包括实行公务员管理的事业单位）的基本支出。</w:t>
      </w:r>
    </w:p>
    <w:p>
      <w:pPr>
        <w:spacing w:line="440" w:lineRule="exact"/>
        <w:rPr>
          <w:rFonts w:ascii="仿宋" w:hAnsi="仿宋" w:eastAsia="仿宋" w:cs="宋体"/>
          <w:kern w:val="0"/>
          <w:sz w:val="30"/>
          <w:szCs w:val="30"/>
        </w:rPr>
      </w:pPr>
      <w:r>
        <w:rPr>
          <w:rFonts w:hint="eastAsia" w:ascii="仿宋" w:hAnsi="仿宋" w:eastAsia="仿宋" w:cs="宋体"/>
          <w:kern w:val="0"/>
          <w:sz w:val="30"/>
          <w:szCs w:val="30"/>
        </w:rPr>
        <w:t>　　四、社会保障和就业（类）行政事业单位离退休（款）机关事业单位基本养老保险缴费支出（项）：指行政单位（包括实行公务员管理的事业单位）基本养老保险缴费支出。</w:t>
      </w:r>
    </w:p>
    <w:p>
      <w:pPr>
        <w:spacing w:line="440" w:lineRule="exact"/>
        <w:rPr>
          <w:rFonts w:ascii="仿宋" w:hAnsi="仿宋" w:eastAsia="仿宋" w:cs="宋体"/>
          <w:kern w:val="0"/>
          <w:sz w:val="30"/>
          <w:szCs w:val="30"/>
        </w:rPr>
      </w:pPr>
      <w:r>
        <w:rPr>
          <w:rFonts w:hint="eastAsia" w:ascii="仿宋" w:hAnsi="仿宋" w:eastAsia="仿宋" w:cs="宋体"/>
          <w:kern w:val="0"/>
          <w:sz w:val="30"/>
          <w:szCs w:val="30"/>
        </w:rPr>
        <w:t>　　五、医疗卫生与计划生育支出（类）医疗保障（款）行政单位医疗（项）：用于单位离退休干部的住院等医疗支出。</w:t>
      </w:r>
    </w:p>
    <w:p>
      <w:pPr>
        <w:spacing w:line="440" w:lineRule="exact"/>
        <w:rPr>
          <w:rFonts w:ascii="仿宋" w:hAnsi="仿宋" w:eastAsia="仿宋" w:cs="宋体"/>
          <w:kern w:val="0"/>
          <w:sz w:val="30"/>
          <w:szCs w:val="30"/>
        </w:rPr>
      </w:pPr>
      <w:r>
        <w:rPr>
          <w:rFonts w:hint="eastAsia" w:ascii="仿宋" w:hAnsi="仿宋" w:eastAsia="仿宋" w:cs="宋体"/>
          <w:kern w:val="0"/>
          <w:sz w:val="30"/>
          <w:szCs w:val="30"/>
        </w:rPr>
        <w:t>　　六、住房保障（类）住房改革支出（款）住房公积金（项）：反映行政事业单位按人力资源和社会保障部、财政部规定的基本工资和津贴补贴及规定比例为职工缴纳的住房公积金。</w:t>
      </w:r>
    </w:p>
    <w:p>
      <w:pPr>
        <w:spacing w:line="440" w:lineRule="exact"/>
        <w:rPr>
          <w:rFonts w:ascii="仿宋" w:hAnsi="仿宋" w:eastAsia="仿宋" w:cs="宋体"/>
          <w:kern w:val="0"/>
          <w:sz w:val="30"/>
          <w:szCs w:val="30"/>
        </w:rPr>
      </w:pPr>
      <w:r>
        <w:rPr>
          <w:rFonts w:hint="eastAsia" w:ascii="仿宋" w:hAnsi="仿宋" w:eastAsia="仿宋" w:cs="宋体"/>
          <w:kern w:val="0"/>
          <w:sz w:val="30"/>
          <w:szCs w:val="30"/>
        </w:rPr>
        <w:t>　　七、年末结转和结余：指本年度或以前年度预算安排、因客观条件发生变化无法按原计划实施，需延迟到以后年度按有关规定继续使用的资金。</w:t>
      </w:r>
    </w:p>
    <w:p>
      <w:pPr>
        <w:spacing w:line="440" w:lineRule="exact"/>
        <w:rPr>
          <w:rFonts w:ascii="仿宋" w:hAnsi="仿宋" w:eastAsia="仿宋" w:cs="宋体"/>
          <w:kern w:val="0"/>
          <w:sz w:val="30"/>
          <w:szCs w:val="30"/>
        </w:rPr>
      </w:pPr>
      <w:r>
        <w:rPr>
          <w:rFonts w:hint="eastAsia" w:ascii="仿宋" w:hAnsi="仿宋" w:eastAsia="仿宋" w:cs="宋体"/>
          <w:kern w:val="0"/>
          <w:sz w:val="30"/>
          <w:szCs w:val="30"/>
        </w:rPr>
        <w:t>　　八、基本支出：指为保障机构正常运转、完成日常工作任务而发生的人员支出和公用支出。</w:t>
      </w:r>
    </w:p>
    <w:p>
      <w:pPr>
        <w:spacing w:line="440" w:lineRule="exact"/>
        <w:rPr>
          <w:rFonts w:ascii="仿宋" w:hAnsi="仿宋" w:eastAsia="仿宋" w:cs="宋体"/>
          <w:kern w:val="0"/>
          <w:sz w:val="30"/>
          <w:szCs w:val="30"/>
        </w:rPr>
      </w:pPr>
      <w:r>
        <w:rPr>
          <w:rFonts w:hint="eastAsia" w:ascii="仿宋" w:hAnsi="仿宋" w:eastAsia="仿宋" w:cs="宋体"/>
          <w:kern w:val="0"/>
          <w:sz w:val="30"/>
          <w:szCs w:val="30"/>
        </w:rPr>
        <w:t>　　九、项目支出：指在基本支出之外为完成特定行政任务和事业发展目标所发生的支出。</w:t>
      </w:r>
    </w:p>
    <w:p>
      <w:pPr>
        <w:spacing w:line="440" w:lineRule="exact"/>
        <w:rPr>
          <w:rFonts w:ascii="仿宋" w:hAnsi="仿宋" w:eastAsia="仿宋" w:cs="宋体"/>
          <w:kern w:val="0"/>
          <w:sz w:val="30"/>
          <w:szCs w:val="30"/>
        </w:rPr>
      </w:pPr>
      <w:r>
        <w:rPr>
          <w:rFonts w:hint="eastAsia" w:ascii="仿宋" w:hAnsi="仿宋" w:eastAsia="仿宋" w:cs="宋体"/>
          <w:kern w:val="0"/>
          <w:sz w:val="30"/>
          <w:szCs w:val="30"/>
        </w:rPr>
        <w:t>　　十、“三公”经费：指纳入县财政预决算管理的“三公”经费，是指县直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　　</w:t>
      </w:r>
    </w:p>
    <w:p>
      <w:pPr>
        <w:spacing w:line="560" w:lineRule="exact"/>
        <w:rPr>
          <w:rFonts w:ascii="仿宋" w:hAnsi="仿宋" w:eastAsia="仿宋" w:cs="宋体"/>
          <w:kern w:val="0"/>
          <w:sz w:val="30"/>
          <w:szCs w:val="30"/>
        </w:rPr>
      </w:pPr>
    </w:p>
    <w:p>
      <w:pPr>
        <w:pStyle w:val="14"/>
        <w:spacing w:before="0" w:beforeAutospacing="0"/>
        <w:jc w:val="center"/>
        <w:rPr>
          <w:rFonts w:hint="default" w:ascii="黑体" w:hAnsi="黑体" w:eastAsia="黑体" w:cs="方正小标宋_GBK"/>
          <w:sz w:val="36"/>
          <w:szCs w:val="36"/>
        </w:rPr>
      </w:pPr>
      <w:r>
        <w:rPr>
          <w:rFonts w:ascii="黑体" w:hAnsi="黑体" w:eastAsia="黑体" w:cs="方正小标宋_GBK"/>
          <w:sz w:val="36"/>
          <w:szCs w:val="36"/>
          <w:shd w:val="clear" w:color="auto" w:fill="FFFFFF"/>
        </w:rPr>
        <w:t>第五部分    附件</w:t>
      </w:r>
    </w:p>
    <w:p>
      <w:pPr>
        <w:spacing w:line="600" w:lineRule="exact"/>
        <w:jc w:val="center"/>
        <w:rPr>
          <w:rFonts w:ascii="方正仿宋_GBK" w:hAnsi="方正仿宋_GBK" w:eastAsia="方正仿宋_GBK" w:cs="方正仿宋_GBK"/>
          <w:b/>
          <w:bCs/>
          <w:sz w:val="34"/>
          <w:szCs w:val="34"/>
        </w:rPr>
      </w:pPr>
    </w:p>
    <w:p>
      <w:pPr>
        <w:spacing w:line="600" w:lineRule="exact"/>
        <w:jc w:val="center"/>
        <w:rPr>
          <w:rFonts w:ascii="方正仿宋_GBK" w:hAnsi="方正仿宋_GBK" w:eastAsia="方正仿宋_GBK" w:cs="方正仿宋_GBK"/>
          <w:bCs/>
          <w:sz w:val="38"/>
          <w:szCs w:val="38"/>
        </w:rPr>
      </w:pPr>
      <w:r>
        <w:rPr>
          <w:rFonts w:hint="eastAsia" w:ascii="方正仿宋_GBK" w:hAnsi="方正仿宋_GBK" w:eastAsia="方正仿宋_GBK" w:cs="方正仿宋_GBK"/>
          <w:bCs/>
          <w:sz w:val="38"/>
          <w:szCs w:val="38"/>
        </w:rPr>
        <w:t>中共衡南县委办公室</w:t>
      </w:r>
    </w:p>
    <w:p>
      <w:pPr>
        <w:spacing w:line="600" w:lineRule="exact"/>
        <w:jc w:val="center"/>
        <w:rPr>
          <w:rFonts w:ascii="方正仿宋_GBK" w:hAnsi="方正仿宋_GBK" w:eastAsia="方正仿宋_GBK" w:cs="方正仿宋_GBK"/>
          <w:bCs/>
          <w:sz w:val="38"/>
          <w:szCs w:val="38"/>
        </w:rPr>
      </w:pPr>
      <w:r>
        <w:rPr>
          <w:rFonts w:ascii="方正仿宋_GBK" w:hAnsi="方正仿宋_GBK" w:eastAsia="方正仿宋_GBK" w:cs="方正仿宋_GBK"/>
          <w:bCs/>
          <w:sz w:val="38"/>
          <w:szCs w:val="38"/>
        </w:rPr>
        <w:t>2019年度部门整体支出绩效自评报告</w:t>
      </w:r>
    </w:p>
    <w:p>
      <w:pPr>
        <w:jc w:val="center"/>
        <w:rPr>
          <w:rFonts w:ascii="方正小标宋_GBK" w:hAnsi="方正小标宋_GBK" w:eastAsia="方正小标宋_GBK" w:cs="方正小标宋_GBK"/>
          <w:sz w:val="38"/>
          <w:szCs w:val="38"/>
        </w:rPr>
      </w:pPr>
      <w:r>
        <w:rPr>
          <w:rFonts w:ascii="方正小标宋_GBK" w:hAnsi="方正小标宋_GBK" w:eastAsia="方正小标宋_GBK" w:cs="方正小标宋_GBK"/>
          <w:sz w:val="38"/>
          <w:szCs w:val="38"/>
        </w:rPr>
        <w:t xml:space="preserve"> </w:t>
      </w:r>
    </w:p>
    <w:p>
      <w:pPr>
        <w:widowControl/>
        <w:jc w:val="left"/>
        <w:rPr>
          <w:rFonts w:ascii="仿宋" w:hAnsi="仿宋" w:eastAsia="仿宋"/>
          <w:sz w:val="30"/>
          <w:szCs w:val="30"/>
        </w:rPr>
      </w:pPr>
      <w:r>
        <w:rPr>
          <w:rFonts w:ascii="仿宋" w:hAnsi="仿宋" w:eastAsia="仿宋"/>
          <w:sz w:val="30"/>
          <w:szCs w:val="30"/>
        </w:rPr>
        <w:br w:type="page"/>
      </w:r>
    </w:p>
    <w:p>
      <w:pPr>
        <w:spacing w:line="560" w:lineRule="exact"/>
        <w:jc w:val="center"/>
        <w:rPr>
          <w:rFonts w:ascii="黑体" w:hAnsi="黑体" w:eastAsia="黑体"/>
          <w:sz w:val="44"/>
          <w:szCs w:val="44"/>
        </w:rPr>
      </w:pPr>
      <w:r>
        <w:rPr>
          <w:rFonts w:hint="eastAsia" w:ascii="黑体" w:hAnsi="黑体" w:eastAsia="黑体"/>
          <w:sz w:val="44"/>
          <w:szCs w:val="44"/>
        </w:rPr>
        <w:t>衡南县委办2019年整体支出绩效评价报告</w:t>
      </w:r>
    </w:p>
    <w:p>
      <w:pPr>
        <w:spacing w:line="560" w:lineRule="exact"/>
        <w:ind w:firstLine="640" w:firstLineChars="200"/>
        <w:rPr>
          <w:rFonts w:ascii="仿宋_GB2312" w:eastAsia="仿宋_GB2312"/>
          <w:sz w:val="32"/>
          <w:szCs w:val="32"/>
        </w:rPr>
      </w:pPr>
    </w:p>
    <w:p>
      <w:pPr>
        <w:spacing w:line="520" w:lineRule="exact"/>
        <w:ind w:firstLine="640" w:firstLineChars="200"/>
        <w:rPr>
          <w:rFonts w:ascii="仿宋" w:hAnsi="仿宋" w:eastAsia="仿宋"/>
          <w:sz w:val="32"/>
          <w:szCs w:val="32"/>
        </w:rPr>
      </w:pPr>
      <w:r>
        <w:rPr>
          <w:rFonts w:hint="eastAsia" w:ascii="仿宋" w:hAnsi="仿宋" w:eastAsia="仿宋"/>
          <w:sz w:val="32"/>
          <w:szCs w:val="32"/>
        </w:rPr>
        <w:t>为加强财政预算资金管理，进一步规范预算资金使用，提高财政资金使用效益，根据《衡南县财政局关于开展2019年度县级财政资金绩效自评工作的通知》要求，我办对2019年度本单位整体支出进行了绩效自评，现将具体绩效评价情况报告如下：</w:t>
      </w:r>
      <w:r>
        <w:rPr>
          <w:rFonts w:hint="eastAsia" w:eastAsia="仿宋"/>
          <w:sz w:val="32"/>
          <w:szCs w:val="32"/>
        </w:rPr>
        <w:t>          </w:t>
      </w:r>
      <w:r>
        <w:rPr>
          <w:rFonts w:hint="eastAsia" w:ascii="仿宋" w:hAnsi="仿宋" w:eastAsia="仿宋"/>
          <w:sz w:val="32"/>
          <w:szCs w:val="32"/>
        </w:rPr>
        <w:t xml:space="preserve"> </w:t>
      </w:r>
    </w:p>
    <w:p>
      <w:pPr>
        <w:spacing w:line="520" w:lineRule="exact"/>
        <w:ind w:firstLine="640" w:firstLineChars="200"/>
        <w:rPr>
          <w:rFonts w:ascii="黑体" w:hAnsi="黑体" w:eastAsia="黑体" w:cs="迷你简黑体"/>
          <w:sz w:val="32"/>
          <w:szCs w:val="32"/>
        </w:rPr>
      </w:pPr>
      <w:r>
        <w:rPr>
          <w:rFonts w:hint="eastAsia" w:ascii="黑体" w:hAnsi="黑体" w:eastAsia="黑体" w:cs="迷你简黑体"/>
          <w:sz w:val="32"/>
          <w:szCs w:val="32"/>
        </w:rPr>
        <w:t>一、部门基本情况</w:t>
      </w:r>
    </w:p>
    <w:p>
      <w:pPr>
        <w:spacing w:line="520" w:lineRule="exact"/>
        <w:ind w:firstLine="643" w:firstLineChars="200"/>
        <w:rPr>
          <w:rFonts w:ascii="楷体" w:hAnsi="楷体" w:eastAsia="楷体"/>
          <w:b/>
          <w:sz w:val="32"/>
          <w:szCs w:val="32"/>
        </w:rPr>
      </w:pPr>
      <w:r>
        <w:rPr>
          <w:rFonts w:hint="eastAsia" w:ascii="楷体" w:hAnsi="楷体" w:eastAsia="楷体"/>
          <w:b/>
          <w:sz w:val="32"/>
          <w:szCs w:val="32"/>
        </w:rPr>
        <w:t>（一）部门职能职责</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1.负责县委会议的准备和组织协调工作，统筹协调县委领导同志公务活动，办理县委领导同志交办的事项。</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2.围绕县委工作部署，对涉及全县经济建设、社会发展、党的自身建设等全局性的重大问题进行调查研究，为县委科学决策提出建议、预案和依据。</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3.负责县委文件和县委领导同志文稿的起草、校核、印发工作，负责文书处理工作；负责中央文件和党政军领导机关机要件的传递工作。</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4.负责党内规范性文件的审核、报送、备案、清理，协调县委法律顾问服务相关工作。</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5.研究、审核县委各部门、县直单位、乡镇党委（党组）向县委的请示、报告，提出处理意见报县委领导同志审批。</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6.负责以县委名义向市委请示报告工作的归口和把关，负责统筹、指导、督促全县党组织重大事项报告工作。</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7.负责向中央、省委、市委、县委报送信息，反映有关动态；负责全县办公室系统的业务指导。</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8.负责中央、省委、市委、县委重大方针政策、重要工作部署和领导同志重要批示、批件（含重点交办事项）贯彻落实情况的督促检查工作；组织督办人大代表有关建议、政协委员有关提案；负责县委领导民情调查的服务和全县民情调查工作的组织指导工作。</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9.负责县委及县委各部门、县直单位年度督查检查考核划的归口审核和全县性年度督查检查考核计划的统一报批、监督实施。</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10.承担县绩效评估委员会办公室的日常工作，组织、协调、指导全县绩效评估工作。</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11.负责编制、实施全县外事、港澳工作发展规划;负责重要外宾、重要港澳同胞的来访接待;负责全县涉外涉港澳活动的组织管理、联络协调，涉外涉港澳事件的处理工作;负责县级领导因公组团出访、外事接待相关事项:审核全县因公出国、赴港澳等有关工作。</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12.负责全县对台联络、经贸、交流、重宾接待、宣传教育的组织、指导、协调、检查、督促，审核全县因公赴台事项、负责涉台事件处理等工作。</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13.负责中央、省委省政府、市委市政府等领导同志来衡南县视察期间的政务活动统筹安排与协调。</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14.负责全县档案事业的发展规划、组织协调；负责全县档案工作的监督和指导；负责全县档案法规的宣传教育以及依法查处档案违法行为。</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15.负责县委值班工作，及时向县委领导同志报告重要情况，协助处理县直机关单位和乡镇向县委反映的重要问题。</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16.负责贯彻执行保密工作的方针政策和法律法规，指导、协调党、政、军、人民团体机关、大中专院校及企事业单位的保密工作，负责监督、检查《中华人民共和国保守国家秘密法</w:t>
      </w:r>
      <w:r>
        <w:rPr>
          <w:rFonts w:hint="eastAsia" w:ascii="仿宋" w:hAnsi="仿宋" w:eastAsia="仿宋"/>
          <w:sz w:val="32"/>
          <w:szCs w:val="32"/>
        </w:rPr>
        <w:t>》及其他保密法律法规、规章制度在全县的贯彻实施、宣传教育、指导协调、监督管理和失泄密案件查处工作；制订全县保密工作年度计划，并负责督促落实；向县委、县政府和上级保密工作部门报告全县保密工作情况，提出改进和加强保密工作的意见建议；依法履行保密行政管理职能；负责组织、指导经常性的保密宣传教育工作；组织全县保密干部业务培训，开展保密工作调查研究；参与制订全县重大活动、重要会议、重要项目的保密工作预案，协同有关部门做好专项保密工作；组织、参与泄密事件的查处工作，督促有关单位对泄露和可能泄露的国家秘密事项采取补教措施；依法开展保密检查，加强对全县党政机关保密要害部门部位的管理；办理县委、县政府交办的保密工作事项，处理县委保密委员会的日常工作。</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17.完成县委和县委领导同志交办的其他任务。</w:t>
      </w:r>
    </w:p>
    <w:p>
      <w:pPr>
        <w:spacing w:line="520" w:lineRule="exact"/>
        <w:rPr>
          <w:rFonts w:ascii="仿宋" w:hAnsi="仿宋" w:eastAsia="仿宋" w:cs="迷你简黑体"/>
          <w:sz w:val="32"/>
          <w:szCs w:val="32"/>
        </w:rPr>
      </w:pPr>
      <w:r>
        <w:rPr>
          <w:rFonts w:hint="eastAsia" w:ascii="仿宋" w:hAnsi="仿宋" w:eastAsia="仿宋"/>
          <w:sz w:val="32"/>
          <w:szCs w:val="32"/>
        </w:rPr>
        <w:t>衡南县委办为全额财政拨款单位，纳入财政会计集中核算和国库集中支付体系，财务制度执行《行政单位会计制度》。</w:t>
      </w:r>
      <w:r>
        <w:rPr>
          <w:rFonts w:hint="eastAsia" w:ascii="仿宋" w:hAnsi="仿宋" w:eastAsia="仿宋" w:cs="迷你简黑体"/>
          <w:sz w:val="32"/>
          <w:szCs w:val="32"/>
        </w:rPr>
        <w:t xml:space="preserve"> </w:t>
      </w:r>
    </w:p>
    <w:p>
      <w:pPr>
        <w:spacing w:line="520" w:lineRule="exact"/>
        <w:ind w:firstLine="643" w:firstLineChars="200"/>
        <w:rPr>
          <w:rFonts w:ascii="楷体" w:hAnsi="楷体" w:eastAsia="楷体"/>
          <w:b/>
          <w:sz w:val="32"/>
          <w:szCs w:val="32"/>
        </w:rPr>
      </w:pPr>
      <w:r>
        <w:rPr>
          <w:rFonts w:hint="eastAsia" w:ascii="楷体" w:hAnsi="楷体" w:eastAsia="楷体"/>
          <w:b/>
          <w:sz w:val="32"/>
          <w:szCs w:val="32"/>
        </w:rPr>
        <w:t>（二）机构设置情况</w:t>
      </w:r>
    </w:p>
    <w:p>
      <w:pPr>
        <w:spacing w:line="520" w:lineRule="exact"/>
        <w:ind w:firstLine="640" w:firstLineChars="200"/>
        <w:rPr>
          <w:rFonts w:ascii="仿宋" w:hAnsi="仿宋" w:eastAsia="仿宋"/>
          <w:spacing w:val="-6"/>
          <w:sz w:val="32"/>
          <w:szCs w:val="32"/>
        </w:rPr>
      </w:pPr>
      <w:r>
        <w:rPr>
          <w:rFonts w:hint="eastAsia" w:ascii="仿宋" w:hAnsi="仿宋" w:eastAsia="仿宋" w:cs="仿宋_GB2312"/>
          <w:sz w:val="32"/>
          <w:szCs w:val="32"/>
        </w:rPr>
        <w:t>2019年，我办共有内设机构16个，分别为</w:t>
      </w:r>
      <w:r>
        <w:rPr>
          <w:rFonts w:hint="eastAsia" w:ascii="仿宋" w:hAnsi="仿宋" w:eastAsia="仿宋"/>
          <w:sz w:val="32"/>
          <w:szCs w:val="32"/>
        </w:rPr>
        <w:t>县委总值班室、秘书组、综合信息组、办文法规室、督查室（对外称中共衡南县委督查室）、绩效考核组（县全面建成小康社会推进工作领导小组办公室）、密码通信室、电子政务管理室、保密办、组织人事组、行政后勤组、财务室、档</w:t>
      </w:r>
      <w:r>
        <w:rPr>
          <w:rFonts w:hint="eastAsia" w:ascii="仿宋" w:hAnsi="仿宋" w:eastAsia="仿宋"/>
          <w:spacing w:val="-6"/>
          <w:sz w:val="32"/>
          <w:szCs w:val="32"/>
        </w:rPr>
        <w:t>案行政管理组、外事和港澳事务组、台湾事务组、机关党建指导组。</w:t>
      </w:r>
    </w:p>
    <w:p>
      <w:pPr>
        <w:spacing w:line="520" w:lineRule="exact"/>
        <w:ind w:firstLine="643" w:firstLineChars="200"/>
        <w:rPr>
          <w:rFonts w:ascii="楷体" w:hAnsi="楷体" w:eastAsia="楷体"/>
          <w:b/>
          <w:sz w:val="32"/>
          <w:szCs w:val="32"/>
        </w:rPr>
      </w:pPr>
      <w:r>
        <w:rPr>
          <w:rFonts w:hint="eastAsia" w:ascii="楷体" w:hAnsi="楷体" w:eastAsia="楷体"/>
          <w:b/>
          <w:sz w:val="32"/>
          <w:szCs w:val="32"/>
        </w:rPr>
        <w:t>（三）人员编制情况</w:t>
      </w:r>
    </w:p>
    <w:p>
      <w:pPr>
        <w:spacing w:line="520" w:lineRule="exact"/>
        <w:ind w:firstLine="640" w:firstLineChars="200"/>
        <w:rPr>
          <w:rFonts w:ascii="仿宋" w:hAnsi="仿宋" w:eastAsia="仿宋"/>
          <w:sz w:val="32"/>
          <w:szCs w:val="32"/>
        </w:rPr>
      </w:pPr>
      <w:r>
        <w:rPr>
          <w:rFonts w:hint="eastAsia" w:ascii="仿宋" w:hAnsi="仿宋" w:eastAsia="仿宋" w:cs="仿宋_GB2312"/>
          <w:sz w:val="32"/>
          <w:szCs w:val="32"/>
        </w:rPr>
        <w:t>2019年底，我办共有编制人员共计51人，其中在职行政编43人，全额事业编8人，离退休32人。</w:t>
      </w:r>
      <w:r>
        <w:rPr>
          <w:rFonts w:hint="eastAsia" w:ascii="仿宋" w:hAnsi="仿宋" w:eastAsia="仿宋"/>
          <w:sz w:val="32"/>
          <w:szCs w:val="32"/>
        </w:rPr>
        <w:t xml:space="preserve"> </w:t>
      </w:r>
    </w:p>
    <w:p>
      <w:pPr>
        <w:spacing w:line="520" w:lineRule="exact"/>
        <w:rPr>
          <w:rFonts w:ascii="黑体" w:hAnsi="黑体" w:eastAsia="黑体" w:cs="迷你简黑体"/>
          <w:bCs/>
          <w:sz w:val="32"/>
          <w:szCs w:val="32"/>
        </w:rPr>
      </w:pPr>
      <w:r>
        <w:rPr>
          <w:rFonts w:hint="eastAsia" w:ascii="仿宋" w:hAnsi="仿宋" w:eastAsia="仿宋" w:cs="迷你简黑体"/>
          <w:b/>
          <w:bCs/>
          <w:sz w:val="32"/>
          <w:szCs w:val="32"/>
        </w:rPr>
        <w:t xml:space="preserve">  </w:t>
      </w:r>
      <w:r>
        <w:rPr>
          <w:rFonts w:hint="eastAsia" w:ascii="黑体" w:hAnsi="黑体" w:eastAsia="黑体" w:cs="迷你简黑体"/>
          <w:bCs/>
          <w:sz w:val="32"/>
          <w:szCs w:val="32"/>
        </w:rPr>
        <w:t xml:space="preserve">  二、部门整体支出管理及使用情况</w:t>
      </w:r>
    </w:p>
    <w:p>
      <w:pPr>
        <w:spacing w:line="520" w:lineRule="exact"/>
        <w:ind w:firstLine="643" w:firstLineChars="200"/>
        <w:rPr>
          <w:rFonts w:ascii="楷体" w:hAnsi="楷体" w:eastAsia="楷体"/>
          <w:b/>
          <w:sz w:val="32"/>
          <w:szCs w:val="32"/>
        </w:rPr>
      </w:pPr>
      <w:r>
        <w:rPr>
          <w:rFonts w:hint="eastAsia" w:ascii="楷体" w:hAnsi="楷体" w:eastAsia="楷体"/>
          <w:b/>
          <w:sz w:val="32"/>
          <w:szCs w:val="32"/>
        </w:rPr>
        <w:t>（一）2019年部门预算情况</w:t>
      </w:r>
    </w:p>
    <w:p>
      <w:pPr>
        <w:spacing w:line="520" w:lineRule="exact"/>
        <w:ind w:firstLine="640" w:firstLineChars="200"/>
        <w:rPr>
          <w:rFonts w:ascii="仿宋" w:hAnsi="仿宋" w:eastAsia="仿宋" w:cs="仿宋"/>
          <w:color w:val="333333"/>
          <w:sz w:val="32"/>
          <w:szCs w:val="32"/>
        </w:rPr>
      </w:pPr>
      <w:r>
        <w:rPr>
          <w:rFonts w:hint="eastAsia" w:ascii="仿宋" w:hAnsi="仿宋" w:eastAsia="仿宋" w:cs="仿宋"/>
          <w:color w:val="333333"/>
          <w:sz w:val="32"/>
          <w:szCs w:val="32"/>
        </w:rPr>
        <w:t>经县财政局预算批复，我办2019年预算收入1291.57万元，均为一般公共预算拨款经费拨款1291.57万元，其中：工资福利支出653.42万元，一般商品和服务支出49.6元，对个人和家庭的支出7.65万元，项目支出580.9万元。</w:t>
      </w:r>
    </w:p>
    <w:p>
      <w:pPr>
        <w:spacing w:line="520" w:lineRule="exact"/>
        <w:ind w:firstLine="643" w:firstLineChars="200"/>
        <w:rPr>
          <w:rFonts w:ascii="楷体" w:hAnsi="楷体" w:eastAsia="楷体"/>
          <w:b/>
          <w:sz w:val="32"/>
          <w:szCs w:val="32"/>
        </w:rPr>
      </w:pPr>
      <w:r>
        <w:rPr>
          <w:rFonts w:hint="eastAsia" w:ascii="楷体" w:hAnsi="楷体" w:eastAsia="楷体"/>
          <w:b/>
          <w:sz w:val="32"/>
          <w:szCs w:val="32"/>
        </w:rPr>
        <w:t>（二）2019年部门决算情况</w:t>
      </w:r>
    </w:p>
    <w:p>
      <w:pPr>
        <w:spacing w:line="520" w:lineRule="exact"/>
        <w:ind w:firstLine="616" w:firstLineChars="200"/>
        <w:rPr>
          <w:rFonts w:ascii="仿宋" w:hAnsi="仿宋" w:eastAsia="仿宋" w:cs="仿宋"/>
          <w:color w:val="333333"/>
          <w:spacing w:val="-6"/>
          <w:sz w:val="32"/>
          <w:szCs w:val="32"/>
        </w:rPr>
      </w:pPr>
      <w:r>
        <w:rPr>
          <w:rFonts w:hint="eastAsia" w:ascii="仿宋" w:hAnsi="仿宋" w:eastAsia="仿宋" w:cs="仿宋"/>
          <w:color w:val="333333"/>
          <w:spacing w:val="-6"/>
          <w:sz w:val="32"/>
          <w:szCs w:val="32"/>
        </w:rPr>
        <w:t>2019年收入决算数1587.39万元，其中：财政</w:t>
      </w:r>
      <w:r>
        <w:rPr>
          <w:rFonts w:hint="eastAsia" w:ascii="仿宋" w:hAnsi="仿宋" w:eastAsia="仿宋" w:cs="仿宋"/>
          <w:color w:val="333333"/>
          <w:spacing w:val="-6"/>
          <w:sz w:val="32"/>
          <w:szCs w:val="32"/>
          <w:lang w:val="en-US" w:eastAsia="zh-CN"/>
        </w:rPr>
        <w:t>拨款</w:t>
      </w:r>
      <w:bookmarkStart w:id="0" w:name="_GoBack"/>
      <w:bookmarkEnd w:id="0"/>
      <w:r>
        <w:rPr>
          <w:rFonts w:hint="eastAsia" w:ascii="仿宋" w:hAnsi="仿宋" w:eastAsia="仿宋" w:cs="仿宋"/>
          <w:color w:val="333333"/>
          <w:spacing w:val="-6"/>
          <w:sz w:val="32"/>
          <w:szCs w:val="32"/>
        </w:rPr>
        <w:t>收入1587.39万元(其中台办已并入县委办，县委办1503.73万元，台办83.66万元，两个单位共计收入1587.39万元)，其他收入0万元。</w:t>
      </w:r>
    </w:p>
    <w:p>
      <w:pPr>
        <w:spacing w:line="520" w:lineRule="exact"/>
        <w:ind w:firstLine="640" w:firstLineChars="200"/>
        <w:rPr>
          <w:rFonts w:ascii="仿宋" w:hAnsi="仿宋" w:eastAsia="仿宋" w:cs="仿宋"/>
          <w:color w:val="333333"/>
          <w:sz w:val="32"/>
          <w:szCs w:val="32"/>
        </w:rPr>
      </w:pPr>
      <w:r>
        <w:rPr>
          <w:rFonts w:hint="eastAsia" w:ascii="仿宋" w:hAnsi="仿宋" w:eastAsia="仿宋" w:cs="仿宋"/>
          <w:color w:val="333333"/>
          <w:sz w:val="32"/>
          <w:szCs w:val="32"/>
        </w:rPr>
        <w:t>2019年支出决算数1571.11万元，其中：工资福利支出720.15万元，占总支出45.83%，日常公用经费支出54.76万元，占总支出3.49%，项目支出796.2万元，占总支出50.68%。</w:t>
      </w:r>
    </w:p>
    <w:p>
      <w:pPr>
        <w:spacing w:line="520" w:lineRule="exact"/>
        <w:ind w:firstLine="643" w:firstLineChars="200"/>
        <w:rPr>
          <w:rFonts w:ascii="楷体" w:hAnsi="楷体" w:eastAsia="楷体"/>
          <w:b/>
          <w:sz w:val="32"/>
          <w:szCs w:val="32"/>
        </w:rPr>
      </w:pPr>
      <w:r>
        <w:rPr>
          <w:rFonts w:hint="eastAsia" w:ascii="楷体" w:hAnsi="楷体" w:eastAsia="楷体"/>
          <w:b/>
          <w:sz w:val="32"/>
          <w:szCs w:val="32"/>
        </w:rPr>
        <w:t>（三）2019年支出分类情况</w:t>
      </w:r>
    </w:p>
    <w:p>
      <w:pPr>
        <w:spacing w:line="520" w:lineRule="exact"/>
        <w:ind w:firstLine="640" w:firstLineChars="200"/>
        <w:rPr>
          <w:rFonts w:ascii="仿宋" w:hAnsi="仿宋" w:eastAsia="仿宋"/>
          <w:sz w:val="32"/>
          <w:szCs w:val="32"/>
        </w:rPr>
      </w:pPr>
      <w:r>
        <w:rPr>
          <w:rFonts w:hint="eastAsia" w:ascii="仿宋" w:hAnsi="仿宋" w:eastAsia="仿宋" w:cs="仿宋"/>
          <w:sz w:val="32"/>
          <w:szCs w:val="32"/>
        </w:rPr>
        <w:t>基本支出系保障我办正常运转，完成日常工作任务而发生的各项支出，包括用于在职和离退休人员的基本工资、津贴补贴等人员经费、办公费等日常公用经费。2019年基本支出774.91万元，其中人员经费720.15万元，公用经费54.76万元，项目支出796.2万元，</w:t>
      </w:r>
      <w:r>
        <w:rPr>
          <w:rFonts w:hint="eastAsia" w:ascii="仿宋" w:hAnsi="仿宋" w:eastAsia="仿宋"/>
          <w:sz w:val="32"/>
          <w:szCs w:val="32"/>
        </w:rPr>
        <w:t>系保障我办总值班室、秘书组、综合信息组、办文法规室、督查室、绩效考核组、密码通信室、电子政务管理室、保密办、组织人事组、行政后勤组、财务室、档</w:t>
      </w:r>
      <w:r>
        <w:rPr>
          <w:rFonts w:hint="eastAsia" w:ascii="仿宋" w:hAnsi="仿宋" w:eastAsia="仿宋"/>
          <w:spacing w:val="-6"/>
          <w:sz w:val="32"/>
          <w:szCs w:val="32"/>
        </w:rPr>
        <w:t>案行政管理组、外事和港澳事务组、台湾事务组、机关党建指导组</w:t>
      </w:r>
      <w:r>
        <w:rPr>
          <w:rFonts w:hint="eastAsia" w:ascii="仿宋" w:hAnsi="仿宋" w:eastAsia="仿宋"/>
          <w:sz w:val="32"/>
          <w:szCs w:val="32"/>
        </w:rPr>
        <w:t>（含社科联、老干）等相关机构和其他共产党事务的项目支出。</w:t>
      </w:r>
    </w:p>
    <w:p>
      <w:pPr>
        <w:spacing w:line="520" w:lineRule="exact"/>
        <w:rPr>
          <w:rFonts w:ascii="楷体" w:hAnsi="楷体" w:eastAsia="楷体"/>
          <w:b/>
          <w:sz w:val="32"/>
          <w:szCs w:val="32"/>
        </w:rPr>
      </w:pPr>
      <w:r>
        <w:rPr>
          <w:rFonts w:hint="eastAsia" w:ascii="仿宋" w:hAnsi="仿宋" w:eastAsia="仿宋" w:cs="仿宋"/>
          <w:sz w:val="32"/>
          <w:szCs w:val="32"/>
        </w:rPr>
        <w:t xml:space="preserve">     </w:t>
      </w:r>
      <w:r>
        <w:rPr>
          <w:rFonts w:hint="eastAsia" w:ascii="楷体" w:hAnsi="楷体" w:eastAsia="楷体"/>
          <w:b/>
          <w:sz w:val="32"/>
          <w:szCs w:val="32"/>
        </w:rPr>
        <w:t>（四）“三公”经费情况</w:t>
      </w:r>
    </w:p>
    <w:p>
      <w:pPr>
        <w:spacing w:line="520" w:lineRule="exact"/>
        <w:ind w:firstLine="640" w:firstLineChars="200"/>
        <w:rPr>
          <w:rFonts w:ascii="仿宋" w:hAnsi="仿宋" w:eastAsia="仿宋"/>
          <w:sz w:val="32"/>
          <w:szCs w:val="32"/>
        </w:rPr>
      </w:pPr>
      <w:r>
        <w:rPr>
          <w:rFonts w:ascii="仿宋" w:hAnsi="仿宋" w:eastAsia="仿宋"/>
          <w:sz w:val="32"/>
          <w:szCs w:val="32"/>
        </w:rPr>
        <w:t>“三公”经费开支总额</w:t>
      </w:r>
      <w:r>
        <w:rPr>
          <w:rFonts w:hint="eastAsia" w:ascii="仿宋" w:hAnsi="仿宋" w:eastAsia="仿宋"/>
          <w:sz w:val="32"/>
          <w:szCs w:val="32"/>
        </w:rPr>
        <w:t>24.16</w:t>
      </w:r>
      <w:r>
        <w:rPr>
          <w:rFonts w:ascii="仿宋" w:hAnsi="仿宋" w:eastAsia="仿宋"/>
          <w:sz w:val="32"/>
          <w:szCs w:val="32"/>
        </w:rPr>
        <w:t>万元，年初预算数</w:t>
      </w:r>
      <w:r>
        <w:rPr>
          <w:rFonts w:hint="eastAsia" w:ascii="仿宋" w:hAnsi="仿宋" w:eastAsia="仿宋"/>
          <w:sz w:val="32"/>
          <w:szCs w:val="32"/>
        </w:rPr>
        <w:t>43.6</w:t>
      </w:r>
      <w:r>
        <w:rPr>
          <w:rFonts w:ascii="仿宋" w:hAnsi="仿宋" w:eastAsia="仿宋"/>
          <w:sz w:val="32"/>
          <w:szCs w:val="32"/>
        </w:rPr>
        <w:t>万元。</w:t>
      </w:r>
    </w:p>
    <w:p>
      <w:pPr>
        <w:spacing w:line="520" w:lineRule="exact"/>
        <w:ind w:firstLine="640" w:firstLineChars="200"/>
        <w:rPr>
          <w:rFonts w:ascii="仿宋" w:hAnsi="仿宋" w:eastAsia="仿宋"/>
          <w:sz w:val="32"/>
          <w:szCs w:val="32"/>
        </w:rPr>
      </w:pPr>
      <w:r>
        <w:rPr>
          <w:rFonts w:ascii="仿宋" w:hAnsi="仿宋" w:eastAsia="仿宋"/>
          <w:sz w:val="32"/>
          <w:szCs w:val="32"/>
        </w:rPr>
        <w:t>1.公务接待费</w:t>
      </w:r>
      <w:r>
        <w:rPr>
          <w:rFonts w:hint="eastAsia" w:ascii="仿宋" w:hAnsi="仿宋" w:eastAsia="仿宋"/>
          <w:sz w:val="32"/>
          <w:szCs w:val="32"/>
        </w:rPr>
        <w:t>13.27</w:t>
      </w:r>
      <w:r>
        <w:rPr>
          <w:rFonts w:ascii="仿宋" w:hAnsi="仿宋" w:eastAsia="仿宋"/>
          <w:sz w:val="32"/>
          <w:szCs w:val="32"/>
        </w:rPr>
        <w:t>万元，年初预算数</w:t>
      </w:r>
      <w:r>
        <w:rPr>
          <w:rFonts w:hint="eastAsia" w:ascii="仿宋" w:hAnsi="仿宋" w:eastAsia="仿宋"/>
          <w:sz w:val="32"/>
          <w:szCs w:val="32"/>
        </w:rPr>
        <w:t>30</w:t>
      </w:r>
      <w:r>
        <w:rPr>
          <w:rFonts w:ascii="仿宋" w:hAnsi="仿宋" w:eastAsia="仿宋"/>
          <w:sz w:val="32"/>
          <w:szCs w:val="32"/>
        </w:rPr>
        <w:t>万元，预算执行率</w:t>
      </w:r>
      <w:r>
        <w:rPr>
          <w:rFonts w:hint="eastAsia" w:ascii="仿宋" w:hAnsi="仿宋" w:eastAsia="仿宋"/>
          <w:sz w:val="32"/>
          <w:szCs w:val="32"/>
        </w:rPr>
        <w:t>44.23</w:t>
      </w:r>
      <w:r>
        <w:rPr>
          <w:rFonts w:ascii="仿宋" w:hAnsi="仿宋" w:eastAsia="仿宋"/>
          <w:sz w:val="32"/>
          <w:szCs w:val="32"/>
        </w:rPr>
        <w:t>%。</w:t>
      </w:r>
    </w:p>
    <w:p>
      <w:pPr>
        <w:spacing w:line="520" w:lineRule="exact"/>
        <w:ind w:firstLine="640" w:firstLineChars="200"/>
        <w:rPr>
          <w:rFonts w:ascii="仿宋" w:hAnsi="仿宋" w:eastAsia="仿宋"/>
          <w:sz w:val="32"/>
          <w:szCs w:val="32"/>
        </w:rPr>
      </w:pPr>
      <w:r>
        <w:rPr>
          <w:rFonts w:ascii="仿宋" w:hAnsi="仿宋" w:eastAsia="仿宋"/>
          <w:sz w:val="32"/>
          <w:szCs w:val="32"/>
        </w:rPr>
        <w:t>2.公务用车购置及运行维护费</w:t>
      </w:r>
      <w:r>
        <w:rPr>
          <w:rFonts w:hint="eastAsia" w:ascii="仿宋" w:hAnsi="仿宋" w:eastAsia="仿宋"/>
          <w:sz w:val="32"/>
          <w:szCs w:val="32"/>
        </w:rPr>
        <w:t>10.89</w:t>
      </w:r>
      <w:r>
        <w:rPr>
          <w:rFonts w:ascii="仿宋" w:hAnsi="仿宋" w:eastAsia="仿宋"/>
          <w:sz w:val="32"/>
          <w:szCs w:val="32"/>
        </w:rPr>
        <w:t>万元，年初预算数</w:t>
      </w:r>
      <w:r>
        <w:rPr>
          <w:rFonts w:hint="eastAsia" w:ascii="仿宋" w:hAnsi="仿宋" w:eastAsia="仿宋"/>
          <w:sz w:val="32"/>
          <w:szCs w:val="32"/>
        </w:rPr>
        <w:t>13.6</w:t>
      </w:r>
      <w:r>
        <w:rPr>
          <w:rFonts w:ascii="仿宋" w:hAnsi="仿宋" w:eastAsia="仿宋"/>
          <w:sz w:val="32"/>
          <w:szCs w:val="32"/>
        </w:rPr>
        <w:t>万元。</w:t>
      </w:r>
    </w:p>
    <w:p>
      <w:pPr>
        <w:spacing w:line="520" w:lineRule="exact"/>
        <w:ind w:firstLine="640" w:firstLineChars="200"/>
        <w:rPr>
          <w:rFonts w:ascii="仿宋" w:hAnsi="仿宋" w:eastAsia="仿宋"/>
          <w:sz w:val="32"/>
          <w:szCs w:val="32"/>
        </w:rPr>
      </w:pPr>
      <w:r>
        <w:rPr>
          <w:rFonts w:ascii="仿宋" w:hAnsi="仿宋" w:eastAsia="仿宋"/>
          <w:sz w:val="32"/>
          <w:szCs w:val="32"/>
        </w:rPr>
        <w:t>3.因公出国（境）费</w:t>
      </w:r>
      <w:r>
        <w:rPr>
          <w:rFonts w:hint="eastAsia" w:ascii="仿宋" w:hAnsi="仿宋" w:eastAsia="仿宋"/>
          <w:sz w:val="32"/>
          <w:szCs w:val="32"/>
        </w:rPr>
        <w:t>0</w:t>
      </w:r>
      <w:r>
        <w:rPr>
          <w:rFonts w:ascii="仿宋" w:hAnsi="仿宋" w:eastAsia="仿宋"/>
          <w:sz w:val="32"/>
          <w:szCs w:val="32"/>
        </w:rPr>
        <w:t>万元，年初</w:t>
      </w:r>
      <w:r>
        <w:rPr>
          <w:rFonts w:hint="eastAsia" w:ascii="仿宋" w:hAnsi="仿宋" w:eastAsia="仿宋"/>
          <w:sz w:val="32"/>
          <w:szCs w:val="32"/>
        </w:rPr>
        <w:t>无</w:t>
      </w:r>
      <w:r>
        <w:rPr>
          <w:rFonts w:ascii="仿宋" w:hAnsi="仿宋" w:eastAsia="仿宋"/>
          <w:sz w:val="32"/>
          <w:szCs w:val="32"/>
        </w:rPr>
        <w:t>预算数，全年</w:t>
      </w:r>
      <w:r>
        <w:rPr>
          <w:rFonts w:hint="eastAsia" w:ascii="仿宋" w:hAnsi="仿宋" w:eastAsia="仿宋"/>
          <w:sz w:val="32"/>
          <w:szCs w:val="32"/>
        </w:rPr>
        <w:t>没有</w:t>
      </w:r>
      <w:r>
        <w:rPr>
          <w:rFonts w:ascii="仿宋" w:hAnsi="仿宋" w:eastAsia="仿宋"/>
          <w:sz w:val="32"/>
          <w:szCs w:val="32"/>
        </w:rPr>
        <w:t>因公出国（境）</w:t>
      </w:r>
      <w:r>
        <w:rPr>
          <w:rFonts w:hint="eastAsia" w:ascii="仿宋" w:hAnsi="仿宋" w:eastAsia="仿宋"/>
          <w:sz w:val="32"/>
          <w:szCs w:val="32"/>
        </w:rPr>
        <w:t>人员。</w:t>
      </w:r>
    </w:p>
    <w:p>
      <w:pPr>
        <w:spacing w:line="520" w:lineRule="exact"/>
        <w:ind w:firstLine="640" w:firstLineChars="200"/>
        <w:rPr>
          <w:rFonts w:ascii="黑体" w:hAnsi="黑体" w:eastAsia="黑体" w:cs="仿宋"/>
          <w:color w:val="333333"/>
          <w:kern w:val="0"/>
          <w:sz w:val="32"/>
          <w:szCs w:val="32"/>
        </w:rPr>
      </w:pPr>
      <w:r>
        <w:rPr>
          <w:rFonts w:hint="eastAsia" w:ascii="黑体" w:hAnsi="黑体" w:eastAsia="黑体" w:cs="仿宋"/>
          <w:color w:val="333333"/>
          <w:kern w:val="0"/>
          <w:sz w:val="32"/>
          <w:szCs w:val="32"/>
        </w:rPr>
        <w:t>三、部门整体支出绩效指标评价情况</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2019年，我办根据年初工作规划和重点性工作，围绕县委、中心工作，积极履职，强化管理，较好地完成了年度工作目标。通过加强预算收支的管理，不断建立健全内部管理制度，理顺内部管理流程，部门整体支出管理情况得到了提升，较好地完成了各项目标任务。</w:t>
      </w:r>
    </w:p>
    <w:p>
      <w:pPr>
        <w:spacing w:line="520" w:lineRule="exact"/>
        <w:ind w:firstLine="643" w:firstLineChars="200"/>
        <w:rPr>
          <w:rFonts w:ascii="仿宋" w:hAnsi="仿宋" w:eastAsia="仿宋"/>
          <w:sz w:val="32"/>
          <w:szCs w:val="32"/>
        </w:rPr>
      </w:pPr>
      <w:r>
        <w:rPr>
          <w:rFonts w:ascii="楷体" w:hAnsi="楷体" w:eastAsia="楷体"/>
          <w:b/>
          <w:sz w:val="32"/>
          <w:szCs w:val="32"/>
        </w:rPr>
        <w:t>运行成本方面，</w:t>
      </w:r>
      <w:r>
        <w:rPr>
          <w:rFonts w:ascii="仿宋" w:hAnsi="仿宋" w:eastAsia="仿宋"/>
          <w:sz w:val="32"/>
          <w:szCs w:val="32"/>
        </w:rPr>
        <w:t>严格执行各项财经法规制度以及切实降低行政运行成本。坚持精打细算、勤俭节约，优化部门支出结构，大力压减一般性支出，持续严控“三公经费”，严格执行因公出国（境）管理规定，严格控制因公出国（境）经费支出；加强车辆定编和更新管理，严格控制公务用车购置和运行经费支出；加强公务接待管理，严格执行公务接待公函、清单、审批</w:t>
      </w:r>
      <w:r>
        <w:rPr>
          <w:rFonts w:hint="eastAsia" w:ascii="仿宋" w:hAnsi="仿宋" w:eastAsia="仿宋"/>
          <w:sz w:val="32"/>
          <w:szCs w:val="32"/>
        </w:rPr>
        <w:t>，</w:t>
      </w:r>
      <w:r>
        <w:rPr>
          <w:rFonts w:ascii="仿宋" w:hAnsi="仿宋" w:eastAsia="仿宋"/>
          <w:sz w:val="32"/>
          <w:szCs w:val="32"/>
        </w:rPr>
        <w:t>严控公务接待费用支出。</w:t>
      </w:r>
    </w:p>
    <w:p>
      <w:pPr>
        <w:spacing w:line="520" w:lineRule="exact"/>
        <w:ind w:firstLine="643" w:firstLineChars="200"/>
        <w:rPr>
          <w:rFonts w:ascii="仿宋" w:hAnsi="仿宋" w:eastAsia="仿宋"/>
          <w:sz w:val="32"/>
          <w:szCs w:val="32"/>
        </w:rPr>
      </w:pPr>
      <w:r>
        <w:rPr>
          <w:rFonts w:ascii="楷体" w:hAnsi="楷体" w:eastAsia="楷体"/>
          <w:b/>
          <w:sz w:val="32"/>
          <w:szCs w:val="32"/>
        </w:rPr>
        <w:t>管理效率方面，</w:t>
      </w:r>
      <w:r>
        <w:rPr>
          <w:rFonts w:ascii="仿宋" w:hAnsi="仿宋" w:eastAsia="仿宋"/>
          <w:sz w:val="32"/>
          <w:szCs w:val="32"/>
        </w:rPr>
        <w:t>一是优化</w:t>
      </w:r>
      <w:r>
        <w:rPr>
          <w:rFonts w:hint="eastAsia" w:ascii="仿宋" w:hAnsi="仿宋" w:eastAsia="仿宋"/>
          <w:sz w:val="32"/>
          <w:szCs w:val="32"/>
        </w:rPr>
        <w:t>县委办</w:t>
      </w:r>
      <w:r>
        <w:rPr>
          <w:rFonts w:ascii="仿宋" w:hAnsi="仿宋" w:eastAsia="仿宋"/>
          <w:sz w:val="32"/>
          <w:szCs w:val="32"/>
        </w:rPr>
        <w:t>主要工作流程，切实提高行政效率，结合</w:t>
      </w:r>
      <w:r>
        <w:rPr>
          <w:rFonts w:hint="eastAsia" w:ascii="仿宋" w:hAnsi="仿宋" w:eastAsia="仿宋"/>
          <w:sz w:val="32"/>
          <w:szCs w:val="32"/>
        </w:rPr>
        <w:t>单位</w:t>
      </w:r>
      <w:r>
        <w:rPr>
          <w:rFonts w:ascii="仿宋" w:hAnsi="仿宋" w:eastAsia="仿宋"/>
          <w:sz w:val="32"/>
          <w:szCs w:val="32"/>
        </w:rPr>
        <w:t>实际情况，落实资金计划的编制，合理安排预算收支，跟踪资金支付进度并进行实时调控，切实做到提效率、节支出、保重点；二是狠抓固定资产管理基础工作，加强政府采购的执行力度，确保政府采购工作健康有序进行，加强资产信息化建设，完成固定资产折旧，实现资产动态管理，加强闲置资产的整合管理，实行集中管理</w:t>
      </w:r>
      <w:r>
        <w:rPr>
          <w:rFonts w:hint="eastAsia" w:ascii="仿宋" w:hAnsi="仿宋" w:eastAsia="仿宋"/>
          <w:sz w:val="32"/>
          <w:szCs w:val="32"/>
        </w:rPr>
        <w:t>、</w:t>
      </w:r>
      <w:r>
        <w:rPr>
          <w:rFonts w:ascii="仿宋" w:hAnsi="仿宋" w:eastAsia="仿宋"/>
          <w:sz w:val="32"/>
          <w:szCs w:val="32"/>
        </w:rPr>
        <w:t>合理调剂、及时调配、及时报废，提高资产使用效益。</w:t>
      </w:r>
    </w:p>
    <w:p>
      <w:pPr>
        <w:spacing w:line="520" w:lineRule="exact"/>
        <w:ind w:firstLine="643" w:firstLineChars="200"/>
        <w:rPr>
          <w:rFonts w:ascii="仿宋" w:hAnsi="仿宋" w:eastAsia="仿宋"/>
          <w:sz w:val="32"/>
          <w:szCs w:val="32"/>
        </w:rPr>
      </w:pPr>
      <w:r>
        <w:rPr>
          <w:rFonts w:ascii="楷体" w:hAnsi="楷体" w:eastAsia="楷体"/>
          <w:b/>
          <w:sz w:val="32"/>
          <w:szCs w:val="32"/>
        </w:rPr>
        <w:t>履职效能方面，</w:t>
      </w:r>
      <w:r>
        <w:rPr>
          <w:rFonts w:hint="eastAsia" w:ascii="仿宋" w:hAnsi="仿宋" w:eastAsia="仿宋"/>
          <w:sz w:val="32"/>
          <w:szCs w:val="32"/>
        </w:rPr>
        <w:t>全面贯彻党的十九大和中央、省委、市委、县委经济工作会议精神，立足县情实际，坚持“以项目建设促发展后劲，以三大攻坚促民生发展，以乡村振兴促全域发展，以党建引领促社会和谐”推动衡南经济社会高质量发展。一是积极引领经济高质量发展，二是着力推进产业结构转型升级，三是全力助推城乡梯次发展、改革创新、优化发展环境，均取得突出成效。</w:t>
      </w:r>
    </w:p>
    <w:p>
      <w:pPr>
        <w:spacing w:line="520" w:lineRule="exact"/>
        <w:ind w:firstLine="643" w:firstLineChars="200"/>
        <w:rPr>
          <w:rFonts w:ascii="仿宋" w:hAnsi="仿宋" w:eastAsia="仿宋"/>
          <w:sz w:val="32"/>
          <w:szCs w:val="32"/>
        </w:rPr>
      </w:pPr>
      <w:r>
        <w:rPr>
          <w:rFonts w:ascii="楷体" w:hAnsi="楷体" w:eastAsia="楷体"/>
          <w:b/>
          <w:sz w:val="32"/>
          <w:szCs w:val="32"/>
        </w:rPr>
        <w:t>社会效应方面，</w:t>
      </w:r>
      <w:r>
        <w:rPr>
          <w:rFonts w:hint="eastAsia" w:ascii="仿宋" w:hAnsi="仿宋" w:eastAsia="仿宋"/>
          <w:sz w:val="32"/>
          <w:szCs w:val="32"/>
        </w:rPr>
        <w:t>全面落实以人民为中心的发展思想，坚持公共财政向民生倾斜，促进基本公共服务均等化，始终努力把保障和改善民生作为最大的责任。一是统筹发展各项社会事业，二是不断完善社会保障体系，三是全力推进社会和谐稳定。</w:t>
      </w:r>
    </w:p>
    <w:p>
      <w:pPr>
        <w:spacing w:line="520" w:lineRule="exact"/>
        <w:ind w:firstLine="643" w:firstLineChars="200"/>
        <w:rPr>
          <w:rFonts w:ascii="仿宋" w:hAnsi="仿宋" w:eastAsia="仿宋"/>
          <w:sz w:val="32"/>
          <w:szCs w:val="32"/>
        </w:rPr>
      </w:pPr>
      <w:r>
        <w:rPr>
          <w:rFonts w:ascii="楷体" w:hAnsi="楷体" w:eastAsia="楷体"/>
          <w:b/>
          <w:sz w:val="32"/>
          <w:szCs w:val="32"/>
        </w:rPr>
        <w:t>可持续发展能力和服务对象满意度方面，</w:t>
      </w:r>
      <w:r>
        <w:rPr>
          <w:rFonts w:hint="eastAsia" w:ascii="仿宋" w:hAnsi="仿宋" w:eastAsia="仿宋"/>
          <w:sz w:val="32"/>
          <w:szCs w:val="32"/>
        </w:rPr>
        <w:t>成功创建全国信访三无县，连续两年在全市绩效评估中获得优秀县，安全生产、综治工作、督查工作获得全省先进，公共文化体系建设及全域旅游示范创建、推进公立医院综合改革及村级卫生院建设、信访工作三无县创建、建立基层治理新机制获省真抓实干通报表彰。</w:t>
      </w:r>
    </w:p>
    <w:p>
      <w:pPr>
        <w:spacing w:line="520" w:lineRule="exact"/>
        <w:ind w:firstLine="640" w:firstLineChars="200"/>
        <w:rPr>
          <w:rFonts w:ascii="黑体" w:hAnsi="黑体" w:eastAsia="黑体"/>
          <w:sz w:val="32"/>
          <w:szCs w:val="32"/>
        </w:rPr>
      </w:pPr>
      <w:r>
        <w:rPr>
          <w:rFonts w:hint="eastAsia" w:ascii="黑体" w:hAnsi="黑体" w:eastAsia="黑体"/>
          <w:sz w:val="32"/>
          <w:szCs w:val="32"/>
        </w:rPr>
        <w:t>四、存在的主要问题</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一</w:t>
      </w:r>
      <w:r>
        <w:rPr>
          <w:rFonts w:ascii="仿宋" w:hAnsi="仿宋" w:eastAsia="仿宋"/>
          <w:sz w:val="32"/>
          <w:szCs w:val="32"/>
        </w:rPr>
        <w:t>是绩效目标设置不够科学合理，在实际工作过程中，绩效指标评价体系</w:t>
      </w:r>
      <w:r>
        <w:rPr>
          <w:rFonts w:hint="eastAsia" w:ascii="仿宋" w:hAnsi="仿宋" w:eastAsia="仿宋"/>
          <w:sz w:val="32"/>
          <w:szCs w:val="32"/>
        </w:rPr>
        <w:t>落实</w:t>
      </w:r>
      <w:r>
        <w:rPr>
          <w:rFonts w:ascii="仿宋" w:hAnsi="仿宋" w:eastAsia="仿宋"/>
          <w:sz w:val="32"/>
          <w:szCs w:val="32"/>
        </w:rPr>
        <w:t>还不够</w:t>
      </w:r>
      <w:r>
        <w:rPr>
          <w:rFonts w:hint="eastAsia" w:ascii="仿宋" w:hAnsi="仿宋" w:eastAsia="仿宋"/>
          <w:sz w:val="32"/>
          <w:szCs w:val="32"/>
        </w:rPr>
        <w:t>到位</w:t>
      </w:r>
      <w:r>
        <w:rPr>
          <w:rFonts w:ascii="仿宋" w:hAnsi="仿宋" w:eastAsia="仿宋"/>
          <w:sz w:val="32"/>
          <w:szCs w:val="32"/>
        </w:rPr>
        <w:t>；</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二是</w:t>
      </w:r>
      <w:r>
        <w:rPr>
          <w:rFonts w:ascii="仿宋" w:hAnsi="仿宋" w:eastAsia="仿宋"/>
          <w:sz w:val="32"/>
          <w:szCs w:val="32"/>
        </w:rPr>
        <w:t>全面绩效责任约束作用不强，绩效结果与预算安排和政策调整挂钩的硬约束机制需进一步强化</w:t>
      </w:r>
      <w:r>
        <w:rPr>
          <w:rFonts w:hint="eastAsia" w:ascii="仿宋" w:hAnsi="仿宋" w:eastAsia="仿宋"/>
          <w:sz w:val="32"/>
          <w:szCs w:val="32"/>
        </w:rPr>
        <w:t>。</w:t>
      </w:r>
    </w:p>
    <w:p>
      <w:pPr>
        <w:spacing w:line="520" w:lineRule="exact"/>
        <w:ind w:firstLine="640" w:firstLineChars="200"/>
        <w:rPr>
          <w:rFonts w:ascii="黑体" w:hAnsi="黑体" w:eastAsia="黑体"/>
          <w:sz w:val="32"/>
          <w:szCs w:val="32"/>
        </w:rPr>
      </w:pPr>
      <w:r>
        <w:rPr>
          <w:rFonts w:hint="eastAsia" w:ascii="黑体" w:hAnsi="黑体" w:eastAsia="黑体"/>
          <w:sz w:val="32"/>
          <w:szCs w:val="32"/>
        </w:rPr>
        <w:t>五、改进措施</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进一步增强内部机构的预算管理意识，严格按照预算编制的相关制度和要求，进一步提高预算编制的科学性、合理性、严谨性和可控性，在日常预算管理过程中，进一步加强预算支出的审核、跟踪及预算执行情况分析。</w:t>
      </w:r>
    </w:p>
    <w:p>
      <w:pPr>
        <w:spacing w:line="520" w:lineRule="exact"/>
        <w:ind w:firstLine="640" w:firstLineChars="200"/>
        <w:rPr>
          <w:rFonts w:ascii="仿宋" w:hAnsi="仿宋" w:eastAsia="仿宋"/>
          <w:sz w:val="32"/>
          <w:szCs w:val="32"/>
        </w:rPr>
      </w:pPr>
    </w:p>
    <w:p>
      <w:pPr>
        <w:spacing w:line="520" w:lineRule="exact"/>
        <w:ind w:firstLine="640" w:firstLineChars="200"/>
        <w:rPr>
          <w:rFonts w:ascii="仿宋" w:hAnsi="仿宋" w:eastAsia="仿宋"/>
          <w:sz w:val="32"/>
          <w:szCs w:val="32"/>
        </w:rPr>
      </w:pPr>
    </w:p>
    <w:p>
      <w:pPr>
        <w:spacing w:line="520" w:lineRule="exact"/>
        <w:ind w:right="480" w:firstLine="640" w:firstLineChars="200"/>
        <w:jc w:val="right"/>
        <w:rPr>
          <w:rFonts w:ascii="仿宋" w:hAnsi="仿宋" w:eastAsia="仿宋"/>
          <w:sz w:val="32"/>
          <w:szCs w:val="32"/>
        </w:rPr>
      </w:pPr>
      <w:r>
        <w:rPr>
          <w:rFonts w:hint="eastAsia" w:ascii="仿宋" w:hAnsi="仿宋" w:eastAsia="仿宋"/>
          <w:sz w:val="32"/>
          <w:szCs w:val="32"/>
        </w:rPr>
        <w:t xml:space="preserve">                        衡南县委办</w:t>
      </w:r>
    </w:p>
    <w:p>
      <w:pPr>
        <w:spacing w:line="520" w:lineRule="exact"/>
        <w:ind w:right="320" w:firstLine="640" w:firstLineChars="200"/>
        <w:jc w:val="right"/>
        <w:rPr>
          <w:rFonts w:ascii="仿宋" w:hAnsi="仿宋" w:eastAsia="仿宋"/>
          <w:sz w:val="30"/>
          <w:szCs w:val="30"/>
        </w:rPr>
      </w:pPr>
      <w:r>
        <w:rPr>
          <w:rFonts w:hint="eastAsia" w:ascii="仿宋" w:hAnsi="仿宋" w:eastAsia="仿宋"/>
          <w:sz w:val="32"/>
          <w:szCs w:val="32"/>
        </w:rPr>
        <w:t>2020年6月15日</w:t>
      </w:r>
    </w:p>
    <w:sectPr>
      <w:pgSz w:w="11906" w:h="16838"/>
      <w:pgMar w:top="1588" w:right="1418" w:bottom="1247" w:left="1418" w:header="851" w:footer="1134"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_GBK">
    <w:altName w:val="微软雅黑"/>
    <w:panose1 w:val="00000000000000000000"/>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黑体_GBK">
    <w:altName w:val="微软雅黑"/>
    <w:panose1 w:val="00000000000000000000"/>
    <w:charset w:val="86"/>
    <w:family w:val="auto"/>
    <w:pitch w:val="default"/>
    <w:sig w:usb0="00000000" w:usb1="00000000" w:usb2="00000000" w:usb3="00000000" w:csb0="00040000" w:csb1="00000000"/>
  </w:font>
  <w:font w:name="方正仿宋_GBK">
    <w:altName w:val="微软雅黑"/>
    <w:panose1 w:val="00000000000000000000"/>
    <w:charset w:val="86"/>
    <w:family w:val="auto"/>
    <w:pitch w:val="default"/>
    <w:sig w:usb0="00000000" w:usb1="00000000" w:usb2="0000000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迷你简黑体">
    <w:altName w:val="黑体"/>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2859462"/>
      <w:docPartObj>
        <w:docPartGallery w:val="AutoText"/>
      </w:docPartObj>
    </w:sdtPr>
    <w:sdtContent>
      <w:p>
        <w:pPr>
          <w:pStyle w:val="4"/>
          <w:jc w:val="center"/>
        </w:pPr>
        <w:r>
          <w:fldChar w:fldCharType="begin"/>
        </w:r>
        <w:r>
          <w:instrText xml:space="preserve"> PAGE   \* MERGEFORMAT </w:instrText>
        </w:r>
        <w:r>
          <w:fldChar w:fldCharType="separate"/>
        </w:r>
        <w:r>
          <w:rPr>
            <w:lang w:val="zh-CN"/>
          </w:rPr>
          <w:t>1</w:t>
        </w:r>
        <w:r>
          <w:rPr>
            <w:lang w:val="zh-CN"/>
          </w:rPr>
          <w:fldChar w:fldCharType="end"/>
        </w:r>
      </w:p>
    </w:sdtContent>
  </w:sdt>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6752F6E"/>
    <w:multiLevelType w:val="singleLevel"/>
    <w:tmpl w:val="A6752F6E"/>
    <w:lvl w:ilvl="0" w:tentative="0">
      <w:start w:val="2"/>
      <w:numFmt w:val="chineseCounting"/>
      <w:suff w:val="space"/>
      <w:lvlText w:val="第%1部分"/>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326F8E"/>
    <w:rsid w:val="000073C0"/>
    <w:rsid w:val="0002483A"/>
    <w:rsid w:val="000255C9"/>
    <w:rsid w:val="00051F6A"/>
    <w:rsid w:val="00053DA0"/>
    <w:rsid w:val="00090ECF"/>
    <w:rsid w:val="000A3D99"/>
    <w:rsid w:val="000A44A8"/>
    <w:rsid w:val="000B5EBB"/>
    <w:rsid w:val="000E5E0E"/>
    <w:rsid w:val="00122EEC"/>
    <w:rsid w:val="001453ED"/>
    <w:rsid w:val="001670DF"/>
    <w:rsid w:val="00183F2A"/>
    <w:rsid w:val="00197E01"/>
    <w:rsid w:val="001F4B88"/>
    <w:rsid w:val="00222E52"/>
    <w:rsid w:val="0022351F"/>
    <w:rsid w:val="00231123"/>
    <w:rsid w:val="00257B84"/>
    <w:rsid w:val="002C235E"/>
    <w:rsid w:val="002F5A67"/>
    <w:rsid w:val="00304F79"/>
    <w:rsid w:val="00317A95"/>
    <w:rsid w:val="003217FD"/>
    <w:rsid w:val="00325461"/>
    <w:rsid w:val="00326F8E"/>
    <w:rsid w:val="003437B0"/>
    <w:rsid w:val="003519F8"/>
    <w:rsid w:val="00385900"/>
    <w:rsid w:val="003A04CF"/>
    <w:rsid w:val="00410353"/>
    <w:rsid w:val="00433338"/>
    <w:rsid w:val="00454AA9"/>
    <w:rsid w:val="00476907"/>
    <w:rsid w:val="004E10D0"/>
    <w:rsid w:val="00506E39"/>
    <w:rsid w:val="00513E7B"/>
    <w:rsid w:val="005322B0"/>
    <w:rsid w:val="0054594C"/>
    <w:rsid w:val="00565BF0"/>
    <w:rsid w:val="0056793E"/>
    <w:rsid w:val="00597517"/>
    <w:rsid w:val="005A7ABB"/>
    <w:rsid w:val="0065313B"/>
    <w:rsid w:val="006E0026"/>
    <w:rsid w:val="00703A87"/>
    <w:rsid w:val="00704C48"/>
    <w:rsid w:val="007156F7"/>
    <w:rsid w:val="007E59E7"/>
    <w:rsid w:val="007E6D56"/>
    <w:rsid w:val="008053DF"/>
    <w:rsid w:val="008878CC"/>
    <w:rsid w:val="008A6E2B"/>
    <w:rsid w:val="008D7111"/>
    <w:rsid w:val="008D766E"/>
    <w:rsid w:val="008E27A4"/>
    <w:rsid w:val="00902BB7"/>
    <w:rsid w:val="00915DF6"/>
    <w:rsid w:val="00964E61"/>
    <w:rsid w:val="009B173F"/>
    <w:rsid w:val="00A00ED0"/>
    <w:rsid w:val="00A36244"/>
    <w:rsid w:val="00AE057F"/>
    <w:rsid w:val="00AE4B32"/>
    <w:rsid w:val="00B37965"/>
    <w:rsid w:val="00B62527"/>
    <w:rsid w:val="00B72DF9"/>
    <w:rsid w:val="00B8260F"/>
    <w:rsid w:val="00BB3A75"/>
    <w:rsid w:val="00BE6AA6"/>
    <w:rsid w:val="00C5029B"/>
    <w:rsid w:val="00C64784"/>
    <w:rsid w:val="00C76E90"/>
    <w:rsid w:val="00C802E3"/>
    <w:rsid w:val="00CE0F4C"/>
    <w:rsid w:val="00D66594"/>
    <w:rsid w:val="00D814D2"/>
    <w:rsid w:val="00DC6EAD"/>
    <w:rsid w:val="00DD062D"/>
    <w:rsid w:val="00DE5C0A"/>
    <w:rsid w:val="00DF0B0D"/>
    <w:rsid w:val="00E32255"/>
    <w:rsid w:val="00E60DC5"/>
    <w:rsid w:val="00E65F51"/>
    <w:rsid w:val="00E75736"/>
    <w:rsid w:val="00ED5C20"/>
    <w:rsid w:val="00F24C00"/>
    <w:rsid w:val="00F96D68"/>
    <w:rsid w:val="00FE33B0"/>
    <w:rsid w:val="05834462"/>
    <w:rsid w:val="192F39D7"/>
    <w:rsid w:val="3B6948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3"/>
    <w:basedOn w:val="1"/>
    <w:next w:val="1"/>
    <w:link w:val="11"/>
    <w:qFormat/>
    <w:uiPriority w:val="9"/>
    <w:pPr>
      <w:widowControl/>
      <w:spacing w:before="100" w:beforeAutospacing="1" w:after="100" w:afterAutospacing="1"/>
      <w:jc w:val="left"/>
      <w:outlineLvl w:val="2"/>
    </w:pPr>
    <w:rPr>
      <w:rFonts w:ascii="宋体" w:hAnsi="宋体" w:cs="宋体"/>
      <w:b/>
      <w:bCs/>
      <w:kern w:val="0"/>
      <w:sz w:val="27"/>
      <w:szCs w:val="27"/>
    </w:rPr>
  </w:style>
  <w:style w:type="character" w:default="1" w:styleId="8">
    <w:name w:val="Default Paragraph Font"/>
    <w:semiHidden/>
    <w:unhideWhenUsed/>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3">
    <w:name w:val="Balloon Text"/>
    <w:basedOn w:val="1"/>
    <w:link w:val="15"/>
    <w:semiHidden/>
    <w:unhideWhenUsed/>
    <w:uiPriority w:val="99"/>
    <w:rPr>
      <w:sz w:val="18"/>
      <w:szCs w:val="18"/>
    </w:rPr>
  </w:style>
  <w:style w:type="paragraph" w:styleId="4">
    <w:name w:val="footer"/>
    <w:basedOn w:val="1"/>
    <w:link w:val="13"/>
    <w:unhideWhenUsed/>
    <w:uiPriority w:val="99"/>
    <w:pPr>
      <w:tabs>
        <w:tab w:val="center" w:pos="4153"/>
        <w:tab w:val="right" w:pos="8306"/>
      </w:tabs>
      <w:snapToGrid w:val="0"/>
      <w:jc w:val="left"/>
    </w:pPr>
    <w:rPr>
      <w:sz w:val="18"/>
      <w:szCs w:val="18"/>
    </w:rPr>
  </w:style>
  <w:style w:type="paragraph" w:styleId="5">
    <w:name w:val="header"/>
    <w:basedOn w:val="1"/>
    <w:link w:val="12"/>
    <w:semiHidden/>
    <w:unhideWhenUsed/>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uiPriority w:val="99"/>
    <w:pPr>
      <w:widowControl/>
      <w:spacing w:before="100" w:beforeAutospacing="1" w:after="100" w:afterAutospacing="1"/>
      <w:jc w:val="left"/>
    </w:pPr>
    <w:rPr>
      <w:rFonts w:ascii="宋体" w:hAnsi="宋体" w:cs="宋体"/>
      <w:kern w:val="0"/>
      <w:sz w:val="24"/>
      <w:szCs w:val="24"/>
    </w:rPr>
  </w:style>
  <w:style w:type="character" w:styleId="9">
    <w:name w:val="Strong"/>
    <w:basedOn w:val="8"/>
    <w:qFormat/>
    <w:uiPriority w:val="22"/>
    <w:rPr>
      <w:b/>
      <w:bCs/>
    </w:rPr>
  </w:style>
  <w:style w:type="character" w:styleId="10">
    <w:name w:val="Hyperlink"/>
    <w:basedOn w:val="8"/>
    <w:semiHidden/>
    <w:unhideWhenUsed/>
    <w:uiPriority w:val="99"/>
    <w:rPr>
      <w:color w:val="0000FF"/>
      <w:u w:val="single"/>
    </w:rPr>
  </w:style>
  <w:style w:type="character" w:customStyle="1" w:styleId="11">
    <w:name w:val="标题 3 Char"/>
    <w:basedOn w:val="8"/>
    <w:link w:val="2"/>
    <w:uiPriority w:val="9"/>
    <w:rPr>
      <w:rFonts w:ascii="宋体" w:hAnsi="宋体" w:eastAsia="宋体" w:cs="宋体"/>
      <w:b/>
      <w:bCs/>
      <w:kern w:val="0"/>
      <w:sz w:val="27"/>
      <w:szCs w:val="27"/>
    </w:rPr>
  </w:style>
  <w:style w:type="character" w:customStyle="1" w:styleId="12">
    <w:name w:val="页眉 Char"/>
    <w:basedOn w:val="8"/>
    <w:link w:val="5"/>
    <w:semiHidden/>
    <w:uiPriority w:val="99"/>
    <w:rPr>
      <w:kern w:val="2"/>
      <w:sz w:val="18"/>
      <w:szCs w:val="18"/>
    </w:rPr>
  </w:style>
  <w:style w:type="character" w:customStyle="1" w:styleId="13">
    <w:name w:val="页脚 Char"/>
    <w:basedOn w:val="8"/>
    <w:link w:val="4"/>
    <w:uiPriority w:val="99"/>
    <w:rPr>
      <w:kern w:val="2"/>
      <w:sz w:val="18"/>
      <w:szCs w:val="18"/>
    </w:rPr>
  </w:style>
  <w:style w:type="paragraph" w:customStyle="1" w:styleId="14">
    <w:name w:val="普通(网站) Char"/>
    <w:basedOn w:val="1"/>
    <w:uiPriority w:val="0"/>
    <w:pPr>
      <w:widowControl/>
      <w:spacing w:before="100" w:beforeAutospacing="1" w:after="100" w:afterAutospacing="1"/>
      <w:jc w:val="left"/>
    </w:pPr>
    <w:rPr>
      <w:rFonts w:hint="eastAsia" w:ascii="宋体" w:hAnsi="宋体"/>
      <w:kern w:val="0"/>
      <w:sz w:val="24"/>
      <w:szCs w:val="24"/>
    </w:rPr>
  </w:style>
  <w:style w:type="character" w:customStyle="1" w:styleId="15">
    <w:name w:val="批注框文本 Char"/>
    <w:basedOn w:val="8"/>
    <w:link w:val="3"/>
    <w:semiHidden/>
    <w:uiPriority w:val="99"/>
    <w:rPr>
      <w:kern w:val="2"/>
      <w:sz w:val="18"/>
      <w:szCs w:val="18"/>
    </w:rPr>
  </w:style>
  <w:style w:type="paragraph" w:customStyle="1" w:styleId="16">
    <w:name w:val="Default"/>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character" w:customStyle="1" w:styleId="17">
    <w:name w:val="18"/>
    <w:basedOn w:val="8"/>
    <w:uiPriority w:val="0"/>
    <w:rPr>
      <w:rFonts w:hint="default" w:ascii="Times New Roman" w:hAnsi="Times New Roman" w:cs="Times New Roman"/>
      <w:b/>
    </w:rPr>
  </w:style>
</w:styles>
</file>

<file path=word/_rels/document.xml.rels><?xml version="1.0" encoding="UTF-8" standalone="yes"?>
<Relationships xmlns="http://schemas.openxmlformats.org/package/2006/relationships"><Relationship Id="rId9" Type="http://schemas.openxmlformats.org/officeDocument/2006/relationships/image" Target="media/image5.emf"/><Relationship Id="rId8" Type="http://schemas.openxmlformats.org/officeDocument/2006/relationships/image" Target="media/image4.emf"/><Relationship Id="rId7" Type="http://schemas.openxmlformats.org/officeDocument/2006/relationships/image" Target="media/image3.emf"/><Relationship Id="rId6" Type="http://schemas.openxmlformats.org/officeDocument/2006/relationships/image" Target="media/image2.emf"/><Relationship Id="rId5" Type="http://schemas.openxmlformats.org/officeDocument/2006/relationships/image" Target="media/image1.emf"/><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8.emf"/><Relationship Id="rId11" Type="http://schemas.openxmlformats.org/officeDocument/2006/relationships/image" Target="media/image7.emf"/><Relationship Id="rId10" Type="http://schemas.openxmlformats.org/officeDocument/2006/relationships/image" Target="media/image6.e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26</Pages>
  <Words>1448</Words>
  <Characters>8255</Characters>
  <Lines>68</Lines>
  <Paragraphs>19</Paragraphs>
  <TotalTime>858</TotalTime>
  <ScaleCrop>false</ScaleCrop>
  <LinksUpToDate>false</LinksUpToDate>
  <CharactersWithSpaces>9684</CharactersWithSpaces>
  <Application>WPS Office_11.3.0.8775_F1E327BC-269C-435d-A152-05C5408002CA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2020-07-06T01:56:00Z</dcterms:created>
  <dc:creator>xbany</dc:creator>
  <cp:lastModifiedBy>茜茜</cp:lastModifiedBy>
  <cp:lastPrinted>2020-09-25T07:55:00Z</cp:lastPrinted>
  <dcterms:modified xsi:type="dcterms:W3CDTF">2024-01-19T07:02:03Z</dcterms:modified>
  <cp:revision>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2052-11.3.0.8775</vt:lpwstr>
  </property>
</Properties>
</file>