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bCs/>
          <w:kern w:val="0"/>
          <w:sz w:val="24"/>
          <w:szCs w:val="24"/>
        </w:rPr>
      </w:pPr>
    </w:p>
    <w:p>
      <w:pPr>
        <w:spacing w:line="640" w:lineRule="exact"/>
        <w:jc w:val="center"/>
        <w:rPr>
          <w:rFonts w:ascii="方正大标宋简体" w:eastAsia="方正大标宋简体" w:hAnsiTheme="majorEastAsia" w:cstheme="majorEastAsia"/>
          <w:bCs/>
          <w:kern w:val="0"/>
          <w:sz w:val="44"/>
          <w:szCs w:val="44"/>
        </w:rPr>
      </w:pPr>
      <w:r>
        <w:rPr>
          <w:rFonts w:hint="eastAsia" w:ascii="方正大标宋简体" w:eastAsia="方正大标宋简体" w:hAnsiTheme="majorEastAsia" w:cstheme="majorEastAsia"/>
          <w:bCs/>
          <w:kern w:val="0"/>
          <w:sz w:val="44"/>
          <w:szCs w:val="44"/>
        </w:rPr>
        <w:t>衡南县发展和改革局部门整体支出绩效</w:t>
      </w:r>
    </w:p>
    <w:p>
      <w:pPr>
        <w:spacing w:line="640" w:lineRule="exact"/>
        <w:jc w:val="center"/>
        <w:rPr>
          <w:rFonts w:ascii="方正大标宋简体" w:eastAsia="方正大标宋简体" w:hAnsiTheme="majorEastAsia" w:cstheme="majorEastAsia"/>
          <w:bCs/>
          <w:kern w:val="0"/>
          <w:sz w:val="44"/>
          <w:szCs w:val="44"/>
        </w:rPr>
      </w:pPr>
      <w:r>
        <w:rPr>
          <w:rFonts w:hint="eastAsia" w:ascii="方正大标宋简体" w:eastAsia="方正大标宋简体" w:hAnsiTheme="majorEastAsia" w:cstheme="majorEastAsia"/>
          <w:bCs/>
          <w:kern w:val="0"/>
          <w:sz w:val="44"/>
          <w:szCs w:val="44"/>
        </w:rPr>
        <w:t>自评报告</w:t>
      </w:r>
    </w:p>
    <w:p>
      <w:pPr>
        <w:pStyle w:val="2"/>
        <w:spacing w:after="0" w:line="600" w:lineRule="exact"/>
        <w:ind w:firstLine="400"/>
      </w:pPr>
    </w:p>
    <w:p>
      <w:pPr>
        <w:spacing w:line="580" w:lineRule="exact"/>
        <w:ind w:firstLine="640" w:firstLineChars="200"/>
        <w:rPr>
          <w:rFonts w:ascii="仿宋" w:hAnsi="仿宋" w:eastAsia="仿宋" w:cs="仿宋"/>
          <w:b/>
          <w:bCs/>
          <w:kern w:val="0"/>
          <w:sz w:val="32"/>
          <w:szCs w:val="32"/>
        </w:rPr>
      </w:pPr>
      <w:r>
        <w:rPr>
          <w:rFonts w:hint="eastAsia" w:ascii="仿宋_GB2312" w:hAnsi="仿宋_GB2312" w:eastAsia="仿宋_GB2312" w:cs="仿宋_GB2312"/>
          <w:kern w:val="0"/>
          <w:sz w:val="32"/>
          <w:szCs w:val="32"/>
        </w:rPr>
        <w:t>为加强财政预算资金管理，进一步规范预算资金使用，提高财政资金使用效益，根据《衡南县财政局关于开展2021年度财政资金绩效自评工作的通知》要求，我局对2021年度本单位整体支出进行了绩效自评，现将具体绩效评价情况报告如下：</w:t>
      </w:r>
    </w:p>
    <w:p>
      <w:pPr>
        <w:spacing w:line="580" w:lineRule="exact"/>
        <w:ind w:firstLine="640" w:firstLineChars="200"/>
        <w:rPr>
          <w:rFonts w:ascii="黑体" w:hAnsi="黑体" w:eastAsia="黑体" w:cs="仿宋_GB2312"/>
          <w:kern w:val="0"/>
          <w:sz w:val="32"/>
          <w:szCs w:val="32"/>
        </w:rPr>
      </w:pPr>
      <w:r>
        <w:rPr>
          <w:rFonts w:hint="eastAsia" w:ascii="黑体" w:hAnsi="黑体" w:eastAsia="黑体" w:cs="仿宋_GB2312"/>
          <w:bCs/>
          <w:kern w:val="0"/>
          <w:sz w:val="32"/>
          <w:szCs w:val="32"/>
        </w:rPr>
        <w:t>一、部门基本情况</w:t>
      </w:r>
    </w:p>
    <w:p>
      <w:pPr>
        <w:spacing w:line="580" w:lineRule="exact"/>
        <w:ind w:firstLine="643" w:firstLineChars="200"/>
        <w:rPr>
          <w:rFonts w:ascii="楷体_GB2312" w:hAnsi="仿宋_GB2312" w:eastAsia="楷体_GB2312" w:cs="仿宋_GB2312"/>
          <w:b/>
          <w:kern w:val="0"/>
          <w:sz w:val="32"/>
          <w:szCs w:val="32"/>
        </w:rPr>
      </w:pPr>
      <w:r>
        <w:rPr>
          <w:rFonts w:hint="eastAsia" w:ascii="楷体_GB2312" w:hAnsi="仿宋_GB2312" w:eastAsia="楷体_GB2312" w:cs="仿宋_GB2312"/>
          <w:b/>
          <w:kern w:val="0"/>
          <w:sz w:val="32"/>
          <w:szCs w:val="32"/>
        </w:rPr>
        <w:t>1.部门职责</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衡南县发展和改革局是县政府工作部门，是综合研究拟定全县经济和社会发展政策，进行总量平衡，指导全县总体经济体制改革的宏观调控部门。主要职责有：</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（1）拟定并组织实施全县国民经济和社会发展战略、中长期规划和年度计划。</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（2）研究提出加快建设现代化经济体系、推动高质量发展的总体目标、重大任务及相关政策。</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（3）研究提出全县国民经济和社会发展主要目标，监测预测预警宏观经济和社会发展态势趋势，提出宏观调控政策建议，综合协调宏观经济政策，牵头研究宏观经济应对措施。</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（4）调节经济运行，协调解决经济运行中的重大问题。</w:t>
      </w:r>
    </w:p>
    <w:p>
      <w:pPr>
        <w:spacing w:line="580" w:lineRule="exact"/>
        <w:ind w:firstLine="624" w:firstLineChars="200"/>
        <w:rPr>
          <w:rFonts w:ascii="仿宋_GB2312" w:hAnsi="仿宋_GB2312" w:eastAsia="仿宋_GB2312" w:cs="仿宋_GB2312"/>
          <w:spacing w:val="-4"/>
          <w:kern w:val="0"/>
          <w:sz w:val="32"/>
          <w:szCs w:val="32"/>
        </w:rPr>
      </w:pPr>
      <w:r>
        <w:rPr>
          <w:rFonts w:hint="eastAsia" w:ascii="仿宋_GB2312" w:hAnsi="仿宋_GB2312" w:eastAsia="仿宋_GB2312" w:cs="仿宋_GB2312"/>
          <w:spacing w:val="-4"/>
          <w:kern w:val="0"/>
          <w:sz w:val="32"/>
          <w:szCs w:val="32"/>
        </w:rPr>
        <w:t>（5）研究提出和综合协调全县经济体制改革的建议与措施。</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（6）研究提出全县利用外资和境外投资的战略、规划、总量平衡和结构优化的政策。</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（7）负责投资综合管理，拟定全县全社会固定资产投资总规模和投资结构的调控目标、政策及措施。</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（8）推进落实区域协调发展战略、新型城镇化战略和重大政策，组织拟定相关区域规划和政策。</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（9）组织拟定综合性产业政策，负责协调第一、二、三产业发展的重大问题并统筹衔接相关发展规划和重大政策；推动实施创新驱动发展战略。</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（10）跟踪研判涉及经济安全、生态安全、资源安全、科技安全、社会安全等各类风险隐患，提出相关工作建议。</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（11）负责社会发展与国民经济发展的政策衔接，组织拟定社会发展战略、总体规划。</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（12）推进可持续发展战略，推动生态文明建设和改革，协调生态环境保护与修护、能源资源节约和综合利用等工作。</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（13）负责能源规划与社会发展规划的协调衔接。</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（14）拟定全县价格改革方案和年度计划，研究提出价格调控目标和政策建议，组织实施价格总水平调控。</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（15）牵头组织监督公共资源交易活动；研究拟定推进社会信用体系建设的法规、规划、政策措施，统筹推动统一的社会信用信息平台建设，协调有关重大问题。</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（16）会同有关部门拟定推进全县经济建设与国防建设协调发展。</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（17）牵头承担县国防动员委员会、推进“一带一路”建设暨国际产能合作领导小组、县推动长江经济带发展领导小组、县促进中部地区崛起领导小组等有关具体工作。</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（18）负责本行业领域职责范围内的应急管理工作，对本行业领域职责范围内的安全生产工作实施监督管理。</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（19）完成县委和县政府交办的其他任务。</w:t>
      </w:r>
    </w:p>
    <w:p>
      <w:pPr>
        <w:numPr>
          <w:ilvl w:val="0"/>
          <w:numId w:val="1"/>
        </w:numPr>
        <w:spacing w:line="580" w:lineRule="exact"/>
        <w:ind w:firstLine="643" w:firstLineChars="200"/>
        <w:rPr>
          <w:rFonts w:ascii="楷体_GB2312" w:hAnsi="仿宋_GB2312" w:eastAsia="楷体_GB2312" w:cs="仿宋_GB2312"/>
          <w:b/>
          <w:kern w:val="0"/>
          <w:sz w:val="32"/>
          <w:szCs w:val="32"/>
        </w:rPr>
      </w:pPr>
      <w:r>
        <w:rPr>
          <w:rFonts w:hint="eastAsia" w:ascii="楷体_GB2312" w:hAnsi="仿宋_GB2312" w:eastAsia="楷体_GB2312" w:cs="仿宋_GB2312"/>
          <w:b/>
          <w:kern w:val="0"/>
          <w:sz w:val="32"/>
          <w:szCs w:val="32"/>
        </w:rPr>
        <w:t>机构设置情况</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了推进上述职能工作的开展，我局下设办公室、行政审批服务股、固定资产投资股（国民经济综合和法规股）、农村经济股、工交能源和环保资源股（县“两型”社会建设办公室）、社会发展股（服务业股）、价格管理股共七个股室。同时，下设衡南县重点项目建设事务中心、衡南县价格认证中心、衡南县成本调查队三个非独立核算二级机构。</w:t>
      </w:r>
    </w:p>
    <w:p>
      <w:pPr>
        <w:numPr>
          <w:ilvl w:val="0"/>
          <w:numId w:val="1"/>
        </w:numPr>
        <w:spacing w:line="580" w:lineRule="exact"/>
        <w:ind w:firstLine="643" w:firstLineChars="200"/>
        <w:rPr>
          <w:rFonts w:ascii="楷体_GB2312" w:hAnsi="仿宋_GB2312" w:eastAsia="楷体_GB2312" w:cs="仿宋_GB2312"/>
          <w:b/>
          <w:kern w:val="0"/>
          <w:sz w:val="32"/>
          <w:szCs w:val="32"/>
        </w:rPr>
      </w:pPr>
      <w:r>
        <w:rPr>
          <w:rFonts w:hint="eastAsia" w:ascii="楷体_GB2312" w:hAnsi="仿宋_GB2312" w:eastAsia="楷体_GB2312" w:cs="仿宋_GB2312"/>
          <w:b/>
          <w:kern w:val="0"/>
          <w:sz w:val="32"/>
          <w:szCs w:val="32"/>
        </w:rPr>
        <w:t>人员编制情况</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我局2021年12月底共有干部职工</w:t>
      </w:r>
      <w:r>
        <w:rPr>
          <w:rFonts w:hint="eastAsia" w:ascii="仿宋_GB2312" w:hAnsi="仿宋_GB2312" w:eastAsia="仿宋_GB2312" w:cs="仿宋_GB2312"/>
          <w:kern w:val="0"/>
          <w:sz w:val="32"/>
          <w:szCs w:val="32"/>
          <w:lang w:val="en-US" w:eastAsia="zh-CN"/>
        </w:rPr>
        <w:t>98</w:t>
      </w:r>
      <w:r>
        <w:rPr>
          <w:rFonts w:hint="eastAsia" w:ascii="仿宋_GB2312" w:hAnsi="仿宋_GB2312" w:eastAsia="仿宋_GB2312" w:cs="仿宋_GB2312"/>
          <w:kern w:val="0"/>
          <w:sz w:val="32"/>
          <w:szCs w:val="32"/>
        </w:rPr>
        <w:t>人，其中在职5</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人（含全额编制</w:t>
      </w:r>
      <w:r>
        <w:rPr>
          <w:rFonts w:hint="eastAsia" w:ascii="仿宋_GB2312" w:hAnsi="仿宋_GB2312" w:eastAsia="仿宋_GB2312" w:cs="仿宋_GB2312"/>
          <w:kern w:val="0"/>
          <w:sz w:val="32"/>
          <w:szCs w:val="32"/>
          <w:lang w:val="en-US" w:eastAsia="zh-CN"/>
        </w:rPr>
        <w:t>51</w:t>
      </w:r>
      <w:r>
        <w:rPr>
          <w:rFonts w:hint="eastAsia" w:ascii="仿宋_GB2312" w:hAnsi="仿宋_GB2312" w:eastAsia="仿宋_GB2312" w:cs="仿宋_GB2312"/>
          <w:kern w:val="0"/>
          <w:sz w:val="32"/>
          <w:szCs w:val="32"/>
        </w:rPr>
        <w:t>、非全额编制7人），退休人员40人。</w:t>
      </w:r>
    </w:p>
    <w:p>
      <w:pPr>
        <w:spacing w:line="580" w:lineRule="exact"/>
        <w:ind w:firstLine="640" w:firstLineChars="200"/>
        <w:rPr>
          <w:rFonts w:ascii="黑体" w:hAnsi="黑体" w:eastAsia="黑体" w:cs="仿宋_GB2312"/>
          <w:kern w:val="0"/>
          <w:sz w:val="32"/>
          <w:szCs w:val="32"/>
        </w:rPr>
      </w:pPr>
      <w:r>
        <w:rPr>
          <w:rFonts w:hint="eastAsia" w:ascii="黑体" w:hAnsi="黑体" w:eastAsia="黑体" w:cs="仿宋_GB2312"/>
          <w:bCs/>
          <w:kern w:val="0"/>
          <w:sz w:val="32"/>
          <w:szCs w:val="32"/>
        </w:rPr>
        <w:t>二、部门整体支出管理及使用情况</w:t>
      </w:r>
    </w:p>
    <w:p>
      <w:pPr>
        <w:spacing w:line="580" w:lineRule="exact"/>
        <w:ind w:firstLine="643" w:firstLineChars="200"/>
        <w:rPr>
          <w:rFonts w:ascii="仿宋_GB2312" w:hAnsi="仿宋_GB2312" w:eastAsia="仿宋_GB2312" w:cs="仿宋_GB2312"/>
          <w:kern w:val="0"/>
          <w:sz w:val="32"/>
          <w:szCs w:val="32"/>
        </w:rPr>
      </w:pPr>
      <w:r>
        <w:rPr>
          <w:rFonts w:hint="eastAsia" w:ascii="楷体_GB2312" w:hAnsi="仿宋_GB2312" w:eastAsia="楷体_GB2312" w:cs="仿宋_GB2312"/>
          <w:b/>
          <w:kern w:val="0"/>
          <w:sz w:val="32"/>
          <w:szCs w:val="32"/>
        </w:rPr>
        <w:t>1.部门预算收支情况</w:t>
      </w:r>
      <w:r>
        <w:rPr>
          <w:rFonts w:hint="eastAsia" w:ascii="仿宋_GB2312" w:hAnsi="仿宋_GB2312" w:eastAsia="仿宋_GB2312" w:cs="仿宋_GB2312"/>
          <w:kern w:val="0"/>
          <w:sz w:val="32"/>
          <w:szCs w:val="32"/>
        </w:rPr>
        <w:t>（含公共财政拨款、政府性基金拨款、纳入专户管理的非税收入拨款及其他资金）及部门决算情况。</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（1）2021年部门预算情况</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我局2021年单位支出预算批复经费包干数为550万元，其中工资福利支出443.71万元，一般商品和服务支出27.6万元，对个人和家庭补助10.69万元，专项经费68万元。</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（2）2021年部门决算情况</w:t>
      </w:r>
    </w:p>
    <w:p>
      <w:pPr>
        <w:spacing w:line="580" w:lineRule="exact"/>
        <w:ind w:firstLine="64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我局2021年部门决算收入总计1486.09万元。其中，年初部门预算550万元，纳入财政预算的项目前期工作经费 1000万元，追加申请的运行经费200万元，其他经费32.09万元,租金收入4万元。</w:t>
      </w:r>
    </w:p>
    <w:p>
      <w:pPr>
        <w:spacing w:line="580" w:lineRule="exact"/>
        <w:ind w:firstLine="64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我局2021年部门预算支出总计1486.09万元。</w:t>
      </w:r>
    </w:p>
    <w:p>
      <w:pPr>
        <w:numPr>
          <w:ilvl w:val="0"/>
          <w:numId w:val="2"/>
        </w:numPr>
        <w:spacing w:line="580" w:lineRule="exact"/>
        <w:ind w:firstLine="643" w:firstLineChars="200"/>
        <w:rPr>
          <w:rFonts w:ascii="楷体_GB2312" w:hAnsi="仿宋_GB2312" w:eastAsia="楷体_GB2312" w:cs="仿宋_GB2312"/>
          <w:b/>
          <w:kern w:val="0"/>
          <w:sz w:val="32"/>
          <w:szCs w:val="32"/>
        </w:rPr>
      </w:pPr>
      <w:r>
        <w:rPr>
          <w:rFonts w:hint="eastAsia" w:ascii="楷体_GB2312" w:hAnsi="仿宋_GB2312" w:eastAsia="楷体_GB2312" w:cs="仿宋_GB2312"/>
          <w:b/>
          <w:kern w:val="0"/>
          <w:sz w:val="32"/>
          <w:szCs w:val="32"/>
        </w:rPr>
        <w:t>支出分类情况</w:t>
      </w:r>
    </w:p>
    <w:p>
      <w:pPr>
        <w:numPr>
          <w:ilvl w:val="0"/>
          <w:numId w:val="3"/>
        </w:numPr>
        <w:spacing w:line="58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基本支出</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我局202</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年基本支出总计795.5万元，其中工资福利支出646.6万元，商品和服务支出148.9元。</w:t>
      </w:r>
    </w:p>
    <w:p>
      <w:pPr>
        <w:numPr>
          <w:ilvl w:val="0"/>
          <w:numId w:val="3"/>
        </w:numPr>
        <w:spacing w:line="58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项目支出</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2021年项目支出总计690.5万元。其中560.5万元经费主要用于,项目前期工作经费,精准扶贫相关工作开支，后盾单位帮扶资金、驻村队工作经费、常态化督导组工作经费、节日扶贫慰问等。易地扶贫搬迁工作经费,主要用于易地扶贫搬迁工作相关的资料印刷费、租车费、会议费、办公费、差旅费、报告编写费用等支出。其中68万元主要用于争资引项工作经费，重点项目调研、督查等工作开支以及固定资产投资、跑项争资、重点项目建设、规上服务业等固定资产联网直报工作奖励。成本调查、价格监测与服务、GDP工作调度、固定资产联网直报、“产业项目建设年”活动工作经费，以上主要用于各股室开展上述工作发生的相关开支。50.08万用于社会信用体系平台建设，卫生健康支出11.2万元。</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为促进全县经济高质量发展、推进“四区一花园”建设，按照衡南县专题会议纪要（清委纪要【2019】4号）的相关规定，将政府投资重大项目策划包装前期工作经费纳入财政预算，项目主管部门或建设单位按照《衡南县政府投资重大项目策划包装前期工作经费管理暂行办法》的规定程序报请审核批准后，由我局拨付至项目主管部门或建设单位。</w:t>
      </w:r>
    </w:p>
    <w:p>
      <w:pPr>
        <w:spacing w:line="580" w:lineRule="exact"/>
        <w:ind w:firstLine="643" w:firstLineChars="200"/>
        <w:rPr>
          <w:rFonts w:ascii="楷体_GB2312" w:hAnsi="仿宋_GB2312" w:eastAsia="楷体_GB2312" w:cs="仿宋_GB2312"/>
          <w:b/>
          <w:kern w:val="0"/>
          <w:sz w:val="32"/>
          <w:szCs w:val="32"/>
        </w:rPr>
      </w:pPr>
      <w:r>
        <w:rPr>
          <w:rFonts w:hint="eastAsia" w:ascii="楷体_GB2312" w:hAnsi="仿宋_GB2312" w:eastAsia="楷体_GB2312" w:cs="仿宋_GB2312"/>
          <w:b/>
          <w:kern w:val="0"/>
          <w:sz w:val="32"/>
          <w:szCs w:val="32"/>
        </w:rPr>
        <w:t>3.“三公”经费情况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我局2021年“三公经费”支出总计3.98万元，其中公务接待费支出3.98万元，无因公出国（境）费用和公务用车运行维护费。</w:t>
      </w:r>
    </w:p>
    <w:p>
      <w:pPr>
        <w:spacing w:line="580" w:lineRule="exact"/>
        <w:ind w:firstLine="640" w:firstLineChars="200"/>
        <w:rPr>
          <w:rFonts w:ascii="黑体" w:hAnsi="黑体" w:eastAsia="黑体" w:cs="仿宋_GB2312"/>
          <w:bCs/>
          <w:kern w:val="0"/>
          <w:sz w:val="32"/>
          <w:szCs w:val="32"/>
        </w:rPr>
      </w:pPr>
      <w:r>
        <w:rPr>
          <w:rFonts w:hint="eastAsia" w:ascii="黑体" w:hAnsi="黑体" w:eastAsia="黑体" w:cs="仿宋_GB2312"/>
          <w:bCs/>
          <w:kern w:val="0"/>
          <w:sz w:val="32"/>
          <w:szCs w:val="32"/>
        </w:rPr>
        <w:t>三、部门整体支出绩效评价情况</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加强预算管理、规范财务行为，我局制定并完善了《局财务管理制度》并严格执行。同时为了规范政府投资重大项目策划包装前期工作经费使用和管理，与财政局一起制定了《衡南县政府投资重大项目策划包装前期工作经费管理暂行办法》。确保预算资金的使用均符合国家财经法规、财务管理制度规定及相关预算支出管理办法的规定。资金拨付严格按照县财政的相关要求和规定，履行完整的审批程序和手续。重大预算支出均经过评估论证。经费支出基本符合部门预算批复的用途，不存在截留、挤占、挪用、虚列支出等情况。同时，我局积极按照县财政的相关要求报送并公开预决算信息，加强固定资产管理。</w:t>
      </w:r>
    </w:p>
    <w:p>
      <w:pPr>
        <w:spacing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在县委、县政府的正确领导下和市发改委的关心支持下，我局紧紧围绕县委</w:t>
      </w:r>
      <w:r>
        <w:rPr>
          <w:rFonts w:hint="eastAsia" w:ascii="仿宋_GB2312" w:hAnsi="仿宋_GB2312" w:eastAsia="仿宋_GB2312" w:cs="仿宋_GB2312"/>
          <w:kern w:val="0"/>
          <w:sz w:val="32"/>
          <w:szCs w:val="32"/>
          <w:lang w:val="en-US" w:eastAsia="zh-CN"/>
        </w:rPr>
        <w:t>县</w:t>
      </w:r>
      <w:r>
        <w:rPr>
          <w:rFonts w:hint="eastAsia" w:ascii="仿宋_GB2312" w:hAnsi="仿宋_GB2312" w:eastAsia="仿宋_GB2312" w:cs="仿宋_GB2312"/>
          <w:kern w:val="0"/>
          <w:sz w:val="32"/>
          <w:szCs w:val="32"/>
        </w:rPr>
        <w:t>政府和上级发改部门提出的目标和任务，克服困难，开拓进取，较好的完成了2021年的工作任务。各项经济指标在全市排名靠前，</w:t>
      </w:r>
      <w:r>
        <w:rPr>
          <w:rFonts w:hint="eastAsia" w:ascii="仿宋_GB2312" w:hAnsi="仿宋" w:eastAsia="仿宋_GB2312" w:cs="仿宋"/>
          <w:sz w:val="32"/>
          <w:szCs w:val="32"/>
        </w:rPr>
        <w:t>在今年上半年全市的“奋战一百天实现双过半”争先创优活动中我局负责的重点项目建设和固定资产投资均在全市排名第三截止到12月底，全年共完成固定资产投资265.6亿元，增速14.3%，位居全市（县市区）,1-12月新增9家以上规模以上服务业入库，225</w:t>
      </w:r>
      <w:r>
        <w:rPr>
          <w:rFonts w:hint="eastAsia" w:ascii="仿宋_GB2312" w:hAnsi="仿宋_GB2312" w:eastAsia="仿宋_GB2312" w:cs="仿宋_GB2312"/>
          <w:sz w:val="32"/>
          <w:szCs w:val="32"/>
        </w:rPr>
        <w:t>%完成全年目标任务，位居全市（县市区）第二。因我县产业投资占固定资产投资比重、高新技术产业投资占比、人均地区生产总值和城乡居民人均可支配收入等21项指标提升幅度较大、结构较优、进步较快，被省发改委公示为“2021年全省高质量发展真抓实干督查激励”表扬对象（全省仅十个县市区）。</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同时在疫情防控、</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十四五</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规划编制、争资跑项、重点项目建设、物价管理、社会信用体系建设、脱贫攻坚等方面均取得了突出成效。</w:t>
      </w:r>
      <w:bookmarkStart w:id="0" w:name="_GoBack"/>
      <w:bookmarkEnd w:id="0"/>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2021年履职具体情况如下：</w:t>
      </w:r>
    </w:p>
    <w:p>
      <w:pPr>
        <w:spacing w:line="58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（1）统筹推进疫情防控。</w:t>
      </w:r>
      <w:r>
        <w:rPr>
          <w:rFonts w:hint="eastAsia" w:ascii="仿宋_GB2312" w:hAnsi="仿宋_GB2312" w:eastAsia="仿宋_GB2312" w:cs="仿宋_GB2312"/>
          <w:kern w:val="0"/>
          <w:sz w:val="32"/>
          <w:szCs w:val="32"/>
        </w:rPr>
        <w:t>牵头调度平价口罩投放工作，协调相关部门保持防疫物资市场价格稳定。以保障民生为重点，在云集、三塘、冠市设立三个价格监测点，安排专人专班对市场的粮、油、禽肉、蔬菜、水果、农资等重要生活物资价格实行一日一监测，密切关注市场供需变化和市场秩序状况，确保居民重要生活物资保供稳价。</w:t>
      </w:r>
      <w:r>
        <w:rPr>
          <w:rFonts w:hint="eastAsia" w:ascii="仿宋_GB2312" w:hAnsi="仿宋" w:eastAsia="仿宋_GB2312" w:cs="仿宋"/>
          <w:sz w:val="32"/>
          <w:szCs w:val="32"/>
        </w:rPr>
        <w:t>全面贯彻落实党中央关于“碳达峰、碳中和”战略部署，对全县“十四五”拟建风电、光伏发电项目基本情况进行全面摸底，组织报送全县重点行业领域“十四五”节能减煤降碳储备项目，开展重点用能单位能耗在线监测系统建设验收工作。衡南县黄吉林光互补光伏项目和衡南仙人桥分散式风电场等新能源项目相继开工，预计在年底并网发电。计划投资80亿的衡南花桥大王庙抽水蓄能项目已纳入国家“十四五”规划建设项目。</w:t>
      </w:r>
    </w:p>
    <w:p>
      <w:pPr>
        <w:spacing w:line="58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（2）抓规划编制谋宏图。</w:t>
      </w:r>
      <w:r>
        <w:rPr>
          <w:rFonts w:hint="eastAsia" w:ascii="仿宋_GB2312" w:hAnsi="仿宋_GB2312" w:eastAsia="仿宋_GB2312" w:cs="仿宋_GB2312"/>
          <w:kern w:val="0"/>
          <w:sz w:val="32"/>
          <w:szCs w:val="32"/>
        </w:rPr>
        <w:t>对标对表中央、省、市要求，立足全县经济发展实际，围绕做强实体经济、城乡融合发展、努力构建“四区一花园”这个目标，加强规划编制论证，多轮听取各部门、乡镇和社会各界对“十四五”发展规划暨“四区一花园”建设规划建议，确保规划符合上级要求、符合衡南发展实际。</w:t>
      </w:r>
    </w:p>
    <w:p>
      <w:pPr>
        <w:pStyle w:val="7"/>
        <w:spacing w:line="580" w:lineRule="exact"/>
        <w:ind w:firstLine="643" w:firstLineChars="200"/>
        <w:rPr>
          <w:rFonts w:ascii="仿宋_GB2312" w:hAnsi="仿宋" w:eastAsia="仿宋_GB2312" w:cs="仿宋"/>
          <w:sz w:val="32"/>
          <w:szCs w:val="32"/>
        </w:rPr>
      </w:pPr>
      <w:r>
        <w:rPr>
          <w:rFonts w:hint="eastAsia" w:ascii="仿宋_GB2312" w:hAnsi="仿宋_GB2312" w:eastAsia="仿宋_GB2312" w:cs="仿宋_GB2312"/>
          <w:b/>
          <w:kern w:val="0"/>
          <w:sz w:val="32"/>
          <w:szCs w:val="32"/>
        </w:rPr>
        <w:t>（3）做实易地扶贫搬迁，助力乡村振兴。</w:t>
      </w:r>
      <w:r>
        <w:rPr>
          <w:rFonts w:hint="eastAsia" w:ascii="仿宋_GB2312" w:hAnsi="仿宋" w:eastAsia="仿宋_GB2312" w:cs="仿宋"/>
          <w:sz w:val="32"/>
          <w:szCs w:val="32"/>
        </w:rPr>
        <w:t>今年3月份，我局牵头对全县所有易地扶贫搬迁项目及财务情况开展大核查，督促各乡镇在培育产业、促进就业、完善公共服务和安置区治理等方面下功夫求实效，探索“后续帮扶产业配套基础设施建设+劳务报酬发放+就业培训+资产折股量化”模式，争取财政支持320万元，其中60万元用于易地扶贫搬迁集中安置点设置搬迁户公益性岗位100个，260万元注入企业发展产业，对易地扶贫搬迁对象实行全覆盖产业帮扶和效益分红，易地搬迁户人均年纯收入在6800元以上。</w:t>
      </w:r>
    </w:p>
    <w:p>
      <w:pPr>
        <w:spacing w:line="58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（4）好专项工作，优化营商环境。</w:t>
      </w:r>
      <w:r>
        <w:rPr>
          <w:rFonts w:hint="eastAsia" w:ascii="仿宋_GB2312" w:hAnsi="仿宋" w:eastAsia="仿宋_GB2312" w:cs="仿宋"/>
          <w:sz w:val="32"/>
          <w:szCs w:val="32"/>
        </w:rPr>
        <w:t>一是续深化“放管服”改革。进一步优化审批流程、精简办事环节，采取延时办理、容缺审批等服务，符合产业政策的企业投资项目备案实行“受理即办制”，政府投资项目审批和企业投资项目核准时限由原10个工作日缩短为5个工作日，同时向园区赋权十项。</w:t>
      </w:r>
      <w:r>
        <w:rPr>
          <w:rFonts w:hint="eastAsia" w:ascii="仿宋_GB2312" w:hAnsi="仿宋_GB2312" w:eastAsia="仿宋_GB2312" w:cs="仿宋_GB2312"/>
          <w:sz w:val="32"/>
          <w:szCs w:val="32"/>
        </w:rPr>
        <w:t>我局行政审批窗口办理审批、核准、</w:t>
      </w:r>
      <w:r>
        <w:rPr>
          <w:rFonts w:ascii="Times New Roman" w:hAnsi="Times New Roman" w:eastAsia="仿宋_GB2312" w:cs="Times New Roman"/>
          <w:sz w:val="32"/>
          <w:szCs w:val="32"/>
        </w:rPr>
        <w:t>办理审批、核准、备案立项项目3</w:t>
      </w:r>
      <w:r>
        <w:rPr>
          <w:rFonts w:hint="eastAsia" w:ascii="Times New Roman" w:hAnsi="Times New Roman" w:eastAsia="仿宋_GB2312" w:cs="Times New Roman"/>
          <w:sz w:val="32"/>
          <w:szCs w:val="32"/>
        </w:rPr>
        <w:t>90</w:t>
      </w:r>
      <w:r>
        <w:rPr>
          <w:rFonts w:ascii="Times New Roman" w:hAnsi="Times New Roman" w:eastAsia="仿宋_GB2312" w:cs="Times New Roman"/>
          <w:sz w:val="32"/>
          <w:szCs w:val="32"/>
        </w:rPr>
        <w:t>个，总投资额达</w:t>
      </w:r>
      <w:r>
        <w:rPr>
          <w:rFonts w:hint="eastAsia" w:ascii="Times New Roman" w:hAnsi="Times New Roman" w:eastAsia="仿宋_GB2312" w:cs="Times New Roman"/>
          <w:sz w:val="32"/>
          <w:szCs w:val="32"/>
        </w:rPr>
        <w:t>386.565</w:t>
      </w:r>
      <w:r>
        <w:rPr>
          <w:rFonts w:ascii="Times New Roman" w:hAnsi="Times New Roman" w:eastAsia="仿宋_GB2312" w:cs="Times New Roman"/>
          <w:sz w:val="32"/>
          <w:szCs w:val="32"/>
        </w:rPr>
        <w:t>亿元</w:t>
      </w:r>
      <w:r>
        <w:rPr>
          <w:rFonts w:hint="eastAsia" w:ascii="Times New Roman" w:hAnsi="Times New Roman" w:eastAsia="仿宋_GB2312" w:cs="Times New Roman"/>
          <w:sz w:val="32"/>
          <w:szCs w:val="32"/>
        </w:rPr>
        <w:t>，其中，政府投资项目审批120个，批复投资34.4亿元；企业投资项目核准1个，核准投资0.905亿元；企业投资项目备案269个，备案投资351.26亿元</w:t>
      </w:r>
      <w:r>
        <w:rPr>
          <w:rFonts w:hint="eastAsia" w:ascii="仿宋_GB2312" w:hAnsi="仿宋_GB2312" w:eastAsia="仿宋_GB2312" w:cs="仿宋_GB2312"/>
          <w:kern w:val="0"/>
          <w:sz w:val="32"/>
          <w:szCs w:val="32"/>
        </w:rPr>
        <w:t>、</w:t>
      </w:r>
    </w:p>
    <w:p>
      <w:pPr>
        <w:spacing w:line="58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（5）多措并举保障民生发展。</w:t>
      </w:r>
      <w:r>
        <w:rPr>
          <w:rFonts w:hint="eastAsia" w:ascii="仿宋_GB2312" w:hAnsi="仿宋_GB2312" w:eastAsia="仿宋_GB2312" w:cs="仿宋_GB2312"/>
          <w:kern w:val="0"/>
          <w:sz w:val="32"/>
          <w:szCs w:val="32"/>
        </w:rPr>
        <w:t>一是强化先检后送，确保粮食收购安全。省发改委召开了粮食收购预检试点工作会议后，我局联合县农业农村局、县商务和粮食局迅速出台了工作方案，明确职责分工，会同农业农村局，乡村振兴局，统一为全县20个试点乡镇单位各自配置了一套便携式稻谷（含稻米）镉快速检测设备。成功争取县乡村三级物流配送体系建设项目和省现代服务业（冷链物流）发展专项资金建设项目，获得省预算内资金支持410万元。二是强化价格监测，维护市场秩序平稳。为稳定重大节日期间市场民生物资价格，我局组织专班在“元旦”“春节”“五一”“国庆”节期间，加强价格监测巡查。严格执行省、市文件精神，把好教育收费关，全面落实义务教育农村学校减免学杂费、书藉费、住宿费政策，规范了全县中小学伙食费、教辅资料收费行为。起草出台了《衡南县农业水价综合改革的实施方案》，保障了我县农业水价综合改革在我县平稳顺利实施。根据《湖南省机动车停放服务收费管理办法》（湘发改价费规〔2020〕801号），率先在全县制定了半小时停车不收费的政策，维护了消费者、经营者的合法权益，营造了良好的停车秩序。认真落实价格临时补贴政策,有效保障了城乡低收入人群基本生活。</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强化诚信建设，加大信用宣传力度。加强顶层设计，参照市、兄弟县做法，重新调整了衡南县社会信用体系建设领导小组的成员单位，形成了规范有效的工作机制，加强了诚信建设的组织领导和工作保障。全面落实“双公示”工作，对行政许可和行政处罚事项目录进行全面梳理。截止目前，累计报送双公示数据3757条。其中行政许可数据796条；行政处罚数据2961条。报送黑名单数据35条。四是强化全面排查，安全整治有序开展。严格落实安全生产 “一岗双责”要求，重点对县内长岭—郴州长输油管、潜江—韶关和洪山—炎陵长输天燃气管道开展地毯式摸排，确保安全隐患真正排查到位，实现全年零安全事故。</w:t>
      </w:r>
    </w:p>
    <w:p>
      <w:pPr>
        <w:spacing w:line="58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（6）优化服务改善营商环境。</w:t>
      </w:r>
      <w:r>
        <w:rPr>
          <w:rFonts w:hint="eastAsia" w:ascii="仿宋_GB2312" w:hAnsi="仿宋_GB2312" w:eastAsia="仿宋_GB2312" w:cs="仿宋_GB2312"/>
          <w:kern w:val="0"/>
          <w:sz w:val="32"/>
          <w:szCs w:val="32"/>
        </w:rPr>
        <w:t>一是推进工程建设项目制度改革。牵头负责工程建设项目立项用地规划许可阶段工作，统筹协调各部门一窗受理、并联审批、限时办结、信息共享，做到“一个窗口、一张表单”全流程办理，在全市工程建设项目审批制度改革督查调研中得到市领导的好评。二是加强招投标监管。我局对依法必须进行招标的工程建设项目的招标范围、招标方式、招标组织形式进行了核准，严格审核招标方案，全年共核准公开招标项目22个。按照省市工程建设项目招投标突出问题专项整治工作要求,我局对省专治办交办的4条问题线索进行调查核实，2条属信息录入错误已修正办结,另2条线索已移送公安部门和上报市纪委监委交办查处，对1名评委作出了公开通报批处理。三是积极落实降费减负政策。按要求及时取消、降低和放开部分经营服务性收费及行政事业性收费项目42项，先后三批次下调一般工商业电价及非居民用气价格，预计全年可为企业和社会减负0.35亿元。</w:t>
      </w:r>
    </w:p>
    <w:p>
      <w:pPr>
        <w:spacing w:line="580" w:lineRule="exact"/>
        <w:ind w:firstLine="643" w:firstLineChars="200"/>
        <w:rPr>
          <w:rFonts w:ascii="仿宋_GB2312" w:hAnsi="仿宋" w:eastAsia="仿宋_GB2312" w:cs="仿宋"/>
          <w:sz w:val="32"/>
          <w:szCs w:val="32"/>
        </w:rPr>
      </w:pPr>
      <w:r>
        <w:rPr>
          <w:rFonts w:hint="eastAsia" w:ascii="仿宋_GB2312" w:hAnsi="仿宋_GB2312" w:eastAsia="仿宋_GB2312" w:cs="仿宋_GB2312"/>
          <w:b/>
          <w:kern w:val="0"/>
          <w:sz w:val="32"/>
          <w:szCs w:val="32"/>
        </w:rPr>
        <w:t>（7）强化党史学教。</w:t>
      </w:r>
      <w:r>
        <w:rPr>
          <w:rFonts w:hint="eastAsia" w:ascii="仿宋_GB2312" w:hAnsi="仿宋" w:eastAsia="仿宋_GB2312" w:cs="仿宋"/>
          <w:sz w:val="32"/>
          <w:szCs w:val="32"/>
        </w:rPr>
        <w:t>周密制定党史学习教育实施方案和学习计划，结合发改工作实际，按照“学党史、悟思想、办实事、开新局”的总要求,细化各项具体工作安排，切实把党史学习教育落到点上、抓在实处。截止目前，共开展集中学习18余次，专题研讨5次，红色教育2次，警示教育2次，邀请县委党校老师开展专题讲座2次，撰写党史信息4篇、心得体会40余篇，并开展理论知识测试1次，召开屋场恳谈会50余次，为民办实事22件，有效深化了党史学习教育效果。二是抓实党建工作。着力完善了《基层党支部日常工作操作标准化手册》《党员积分量化管理方案》《星级党员示范岗实施方案》等方案，组织各党总支、支部有序开展支部组织生活和主题党日等活动，认真开展谈心谈话和民主评议党员等活动，做到党建工作与业务工作、队伍建设同部署同落实。三是筑牢廉政底线。主要领导落实党风廉政建设第一责任人职责，组织召开年度党风廉政建设和反腐败工作安排部署会和专题会，班子成员认真履行“一岗双责”职责，共排查出二星廉政风险点9个，一星风险点3个，切实把好项目审批、项目验收、资金申报等关口。四是抓好干部队伍建设。以“作风建设年”和十三届县委巡察为触动点，局党组带头执行好“三重一大”等纪律规矩，进一步强化机关干部作风建设，严格选人用人标准，先后向县委推荐4名股级干部提拔交流到外单位任职，对办公室、投资股等多个股室负责人进行了轮换。五是积极推动机构改革。按照上下对口、有利于工作的原则，经我局全力推动，原隶属于科工信局的电力执法职能划转到我局，有5人转隶到我局。为破解重点项目推进不力等现状，将原隶属于我局的重点建设项目事务中心升格为正科，并划转到县政府办。六是扎实开展项目评估督导。2021年共检查国省预算内项目50余个，对28个项目下达了整改通知书。对政府投资项目，做到事前、事中、事后全程监管，确保项目规范实施。</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部门整体支出绩效情况如下：</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1、重点支出安排率: 100%</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2、在职人员控制率：100%</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3、“三公经费”控制率：</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%，严格控制“三公经费”支出，开源节流。</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4、预算完成率：100%</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5、预算变动率：</w:t>
      </w:r>
      <w:r>
        <w:rPr>
          <w:rFonts w:hint="eastAsia" w:ascii="仿宋_GB2312" w:hAnsi="仿宋_GB2312" w:eastAsia="仿宋_GB2312" w:cs="仿宋_GB2312"/>
          <w:kern w:val="0"/>
          <w:sz w:val="32"/>
          <w:szCs w:val="32"/>
          <w:lang w:val="en-US" w:eastAsia="zh-CN"/>
        </w:rPr>
        <w:t>44.6</w:t>
      </w:r>
      <w:r>
        <w:rPr>
          <w:rFonts w:hint="eastAsia" w:ascii="仿宋_GB2312" w:hAnsi="仿宋_GB2312" w:eastAsia="仿宋_GB2312" w:cs="仿宋_GB2312"/>
          <w:kern w:val="0"/>
          <w:sz w:val="32"/>
          <w:szCs w:val="32"/>
        </w:rPr>
        <w:t>%，由于运转经费不足、新增人员未纳入预算等追加预算所致。</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6、政府采购执行率：100%</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7、在资金管理上，我局制定了一系列的财务管理制度。</w:t>
      </w:r>
    </w:p>
    <w:p>
      <w:pPr>
        <w:spacing w:line="580" w:lineRule="exact"/>
        <w:ind w:firstLine="640" w:firstLineChars="200"/>
        <w:rPr>
          <w:rFonts w:ascii="黑体" w:hAnsi="黑体" w:eastAsia="黑体" w:cs="仿宋_GB2312"/>
          <w:bCs/>
          <w:kern w:val="0"/>
          <w:sz w:val="32"/>
          <w:szCs w:val="32"/>
        </w:rPr>
      </w:pPr>
      <w:r>
        <w:rPr>
          <w:rFonts w:hint="eastAsia" w:ascii="黑体" w:hAnsi="黑体" w:eastAsia="黑体" w:cs="仿宋_GB2312"/>
          <w:bCs/>
          <w:kern w:val="0"/>
          <w:sz w:val="32"/>
          <w:szCs w:val="32"/>
        </w:rPr>
        <w:t>四、存在的主要问题</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因财政资金日益紧张，预算资金逐年减少，单位预算管理压力加大。部分开支未纳入预算，资金缺口较大。年中预算追加运转经费、专项工作经费较多。本单位的预算执行能力还有待加强，需要进一步提高资金使用效率。</w:t>
      </w:r>
    </w:p>
    <w:p>
      <w:pPr>
        <w:spacing w:line="580" w:lineRule="exact"/>
        <w:ind w:firstLine="640" w:firstLineChars="200"/>
        <w:rPr>
          <w:rFonts w:ascii="仿宋_GB2312" w:hAnsi="仿宋_GB2312" w:eastAsia="仿宋_GB2312" w:cs="仿宋_GB2312"/>
          <w:b/>
          <w:bCs/>
          <w:kern w:val="0"/>
          <w:sz w:val="32"/>
          <w:szCs w:val="32"/>
        </w:rPr>
      </w:pPr>
      <w:r>
        <w:rPr>
          <w:rFonts w:hint="eastAsia" w:ascii="仿宋_GB2312" w:hAnsi="仿宋_GB2312" w:eastAsia="仿宋_GB2312" w:cs="仿宋_GB2312"/>
          <w:kern w:val="0"/>
          <w:sz w:val="32"/>
          <w:szCs w:val="32"/>
        </w:rPr>
        <w:t>由于年底未及时拨付财政资金，部分开支无法在决算前支付，导致决算数与预算数不能完全匹配。</w:t>
      </w:r>
    </w:p>
    <w:p>
      <w:pPr>
        <w:spacing w:line="580" w:lineRule="exact"/>
        <w:ind w:firstLine="640" w:firstLineChars="200"/>
        <w:rPr>
          <w:rFonts w:ascii="黑体" w:hAnsi="黑体" w:eastAsia="黑体" w:cs="仿宋_GB2312"/>
          <w:bCs/>
          <w:kern w:val="0"/>
          <w:sz w:val="32"/>
          <w:szCs w:val="32"/>
        </w:rPr>
      </w:pPr>
      <w:r>
        <w:rPr>
          <w:rFonts w:hint="eastAsia" w:ascii="黑体" w:hAnsi="黑体" w:eastAsia="黑体" w:cs="仿宋_GB2312"/>
          <w:bCs/>
          <w:kern w:val="0"/>
          <w:sz w:val="32"/>
          <w:szCs w:val="32"/>
        </w:rPr>
        <w:t>五、改进措施及建议</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1、进一步精细测算各项工作年度开支，争取各项工作开展所需经费能够纳入预算，减少预算变动率。</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2、抓好财务预算管理，严格执行财务管理制度，充分发挥监督作用。</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3、严格财务支出审批。抓好审核和审批两个环节，在审核审批中严把支出关，切实维护财务纪律的严肃性。</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4、强化经费管理。重点加强招待费和办公经费的管理，严格控制支出，降低经费支出。</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5、及时拨付资金，减少结转下年的资金。  </w:t>
      </w:r>
    </w:p>
    <w:p>
      <w:pPr>
        <w:pStyle w:val="10"/>
        <w:spacing w:line="580" w:lineRule="exact"/>
        <w:rPr>
          <w:rFonts w:ascii="仿宋_GB2312" w:hAnsi="仿宋_GB2312" w:eastAsia="仿宋_GB2312" w:cs="仿宋_GB2312"/>
          <w:kern w:val="0"/>
          <w:sz w:val="32"/>
          <w:szCs w:val="32"/>
        </w:rPr>
      </w:pPr>
    </w:p>
    <w:p>
      <w:pPr>
        <w:pStyle w:val="10"/>
        <w:spacing w:line="580" w:lineRule="exact"/>
        <w:rPr>
          <w:rFonts w:ascii="仿宋_GB2312" w:hAnsi="仿宋_GB2312" w:eastAsia="仿宋_GB2312" w:cs="仿宋_GB2312"/>
          <w:kern w:val="0"/>
          <w:sz w:val="32"/>
          <w:szCs w:val="32"/>
        </w:rPr>
      </w:pPr>
    </w:p>
    <w:p>
      <w:pPr>
        <w:spacing w:line="580" w:lineRule="exact"/>
        <w:ind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衡南县发展和改革局</w:t>
      </w:r>
    </w:p>
    <w:p>
      <w:pPr>
        <w:spacing w:line="580" w:lineRule="exact"/>
        <w:ind w:right="160"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2022年4月21日</w:t>
      </w:r>
    </w:p>
    <w:p/>
    <w:sectPr>
      <w:footerReference r:id="rId3" w:type="default"/>
      <w:pgSz w:w="11906" w:h="16838"/>
      <w:pgMar w:top="1701" w:right="1701" w:bottom="1701" w:left="1701" w:header="851" w:footer="113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标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1737"/>
      <w:docPartObj>
        <w:docPartGallery w:val="autotext"/>
      </w:docPartObj>
    </w:sdtPr>
    <w:sdtContent>
      <w:p>
        <w:pPr>
          <w:pStyle w:val="5"/>
          <w:jc w:val="center"/>
        </w:pPr>
        <w:r>
          <w:fldChar w:fldCharType="begin"/>
        </w:r>
        <w:r>
          <w:instrText xml:space="preserve"> PAGE   \* MERGEFORMAT </w:instrText>
        </w:r>
        <w:r>
          <w:fldChar w:fldCharType="separate"/>
        </w:r>
        <w:r>
          <w:rPr>
            <w:lang w:val="zh-CN"/>
          </w:rPr>
          <w:t>12</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E53886"/>
    <w:multiLevelType w:val="singleLevel"/>
    <w:tmpl w:val="EAE53886"/>
    <w:lvl w:ilvl="0" w:tentative="0">
      <w:start w:val="2"/>
      <w:numFmt w:val="decimal"/>
      <w:lvlText w:val="%1."/>
      <w:lvlJc w:val="left"/>
      <w:pPr>
        <w:tabs>
          <w:tab w:val="left" w:pos="312"/>
        </w:tabs>
      </w:pPr>
    </w:lvl>
  </w:abstractNum>
  <w:abstractNum w:abstractNumId="1">
    <w:nsid w:val="2A97D2FD"/>
    <w:multiLevelType w:val="singleLevel"/>
    <w:tmpl w:val="2A97D2FD"/>
    <w:lvl w:ilvl="0" w:tentative="0">
      <w:start w:val="2"/>
      <w:numFmt w:val="decimal"/>
      <w:lvlText w:val="%1."/>
      <w:lvlJc w:val="left"/>
      <w:pPr>
        <w:tabs>
          <w:tab w:val="left" w:pos="312"/>
        </w:tabs>
      </w:pPr>
    </w:lvl>
  </w:abstractNum>
  <w:abstractNum w:abstractNumId="2">
    <w:nsid w:val="4ABAEA51"/>
    <w:multiLevelType w:val="singleLevel"/>
    <w:tmpl w:val="4ABAEA51"/>
    <w:lvl w:ilvl="0" w:tentative="0">
      <w:start w:val="1"/>
      <w:numFmt w:val="decimal"/>
      <w:suff w:val="nothing"/>
      <w:lvlText w:val="（%1）"/>
      <w:lvlJc w:val="left"/>
      <w:pPr>
        <w:ind w:left="48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M2VlNDI5ZmQzOWVmNTE0ZjNlYTUxY2M5ZDk4MDkifQ=="/>
  </w:docVars>
  <w:rsids>
    <w:rsidRoot w:val="5E5B359C"/>
    <w:rsid w:val="00495FEB"/>
    <w:rsid w:val="004B7835"/>
    <w:rsid w:val="0059128F"/>
    <w:rsid w:val="005E37F1"/>
    <w:rsid w:val="0066312C"/>
    <w:rsid w:val="00886A46"/>
    <w:rsid w:val="009445B6"/>
    <w:rsid w:val="00A46490"/>
    <w:rsid w:val="00B45CB4"/>
    <w:rsid w:val="00C4666D"/>
    <w:rsid w:val="00F24D3A"/>
    <w:rsid w:val="06890792"/>
    <w:rsid w:val="06BE4560"/>
    <w:rsid w:val="070E4802"/>
    <w:rsid w:val="07A67A24"/>
    <w:rsid w:val="09003B4F"/>
    <w:rsid w:val="0C3A4F67"/>
    <w:rsid w:val="0E397C0B"/>
    <w:rsid w:val="10F519A2"/>
    <w:rsid w:val="11835F75"/>
    <w:rsid w:val="13796FE5"/>
    <w:rsid w:val="15A51B85"/>
    <w:rsid w:val="1BFA38D1"/>
    <w:rsid w:val="1EA96234"/>
    <w:rsid w:val="1EB27989"/>
    <w:rsid w:val="1FC54674"/>
    <w:rsid w:val="20055EE5"/>
    <w:rsid w:val="24C94E1A"/>
    <w:rsid w:val="26A778A1"/>
    <w:rsid w:val="2D7D16B4"/>
    <w:rsid w:val="32761BDB"/>
    <w:rsid w:val="32884D82"/>
    <w:rsid w:val="33785EC7"/>
    <w:rsid w:val="35015A6E"/>
    <w:rsid w:val="36623B29"/>
    <w:rsid w:val="3B6F53E8"/>
    <w:rsid w:val="3B926923"/>
    <w:rsid w:val="3C8A0F0E"/>
    <w:rsid w:val="432C0BC9"/>
    <w:rsid w:val="4AE97986"/>
    <w:rsid w:val="4C58371B"/>
    <w:rsid w:val="4E95209C"/>
    <w:rsid w:val="51470263"/>
    <w:rsid w:val="516E61B1"/>
    <w:rsid w:val="53624CD1"/>
    <w:rsid w:val="538B243C"/>
    <w:rsid w:val="5543215D"/>
    <w:rsid w:val="56C8676A"/>
    <w:rsid w:val="5771198C"/>
    <w:rsid w:val="57AE770E"/>
    <w:rsid w:val="57EE41F3"/>
    <w:rsid w:val="59601446"/>
    <w:rsid w:val="5E5B359C"/>
    <w:rsid w:val="62344EC5"/>
    <w:rsid w:val="62606D3B"/>
    <w:rsid w:val="63487F57"/>
    <w:rsid w:val="63BF6DB0"/>
    <w:rsid w:val="659F0C4A"/>
    <w:rsid w:val="68AE4D35"/>
    <w:rsid w:val="69A34306"/>
    <w:rsid w:val="69FF3176"/>
    <w:rsid w:val="6EDF10AD"/>
    <w:rsid w:val="6F5F2C51"/>
    <w:rsid w:val="70BA2311"/>
    <w:rsid w:val="71BD5FB9"/>
    <w:rsid w:val="76DA012D"/>
    <w:rsid w:val="7B326238"/>
    <w:rsid w:val="7B4B57A4"/>
    <w:rsid w:val="7CC539EF"/>
    <w:rsid w:val="7D04330D"/>
    <w:rsid w:val="7F937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宋体"/>
      <w:kern w:val="0"/>
      <w:sz w:val="20"/>
    </w:rPr>
  </w:style>
  <w:style w:type="paragraph" w:styleId="3">
    <w:name w:val="Body Text Indent"/>
    <w:basedOn w:val="1"/>
    <w:next w:val="4"/>
    <w:autoRedefine/>
    <w:qFormat/>
    <w:uiPriority w:val="0"/>
    <w:pPr>
      <w:spacing w:after="120"/>
      <w:ind w:left="420" w:leftChars="200"/>
    </w:pPr>
  </w:style>
  <w:style w:type="paragraph" w:styleId="4">
    <w:name w:val="Body Text Indent 2"/>
    <w:basedOn w:val="1"/>
    <w:qFormat/>
    <w:uiPriority w:val="0"/>
    <w:pPr>
      <w:spacing w:after="120" w:line="480" w:lineRule="auto"/>
      <w:ind w:left="420" w:leftChars="200"/>
    </w:pPr>
  </w:style>
  <w:style w:type="paragraph" w:styleId="5">
    <w:name w:val="footer"/>
    <w:basedOn w:val="1"/>
    <w:link w:val="12"/>
    <w:autoRedefine/>
    <w:qFormat/>
    <w:uiPriority w:val="99"/>
    <w:pPr>
      <w:tabs>
        <w:tab w:val="center" w:pos="4153"/>
        <w:tab w:val="right" w:pos="8306"/>
      </w:tabs>
      <w:snapToGrid w:val="0"/>
      <w:jc w:val="left"/>
    </w:pPr>
    <w:rPr>
      <w:sz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sz w:val="24"/>
    </w:rPr>
  </w:style>
  <w:style w:type="paragraph" w:customStyle="1" w:styleId="10">
    <w:name w:val="Body Text Indent 21"/>
    <w:basedOn w:val="1"/>
    <w:autoRedefine/>
    <w:qFormat/>
    <w:uiPriority w:val="0"/>
    <w:pPr>
      <w:spacing w:line="480" w:lineRule="auto"/>
      <w:ind w:left="420" w:leftChars="200"/>
    </w:pPr>
  </w:style>
  <w:style w:type="character" w:customStyle="1" w:styleId="11">
    <w:name w:val="页眉 Char"/>
    <w:basedOn w:val="9"/>
    <w:link w:val="6"/>
    <w:autoRedefine/>
    <w:qFormat/>
    <w:uiPriority w:val="0"/>
    <w:rPr>
      <w:rFonts w:asciiTheme="minorHAnsi" w:hAnsiTheme="minorHAnsi" w:eastAsiaTheme="minorEastAsia" w:cstheme="minorBidi"/>
      <w:kern w:val="2"/>
      <w:sz w:val="18"/>
      <w:szCs w:val="18"/>
    </w:rPr>
  </w:style>
  <w:style w:type="character" w:customStyle="1" w:styleId="12">
    <w:name w:val="页脚 Char"/>
    <w:basedOn w:val="9"/>
    <w:link w:val="5"/>
    <w:autoRedefine/>
    <w:qFormat/>
    <w:uiPriority w:val="99"/>
    <w:rPr>
      <w:rFonts w:asciiTheme="minorHAnsi" w:hAnsiTheme="minorHAnsi" w:eastAsiaTheme="minorEastAsia" w:cstheme="minorBidi"/>
      <w:kern w:val="2"/>
      <w:sz w:val="18"/>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12</Pages>
  <Words>6129</Words>
  <Characters>6373</Characters>
  <Lines>2</Lines>
  <Paragraphs>12</Paragraphs>
  <TotalTime>80</TotalTime>
  <ScaleCrop>false</ScaleCrop>
  <LinksUpToDate>false</LinksUpToDate>
  <CharactersWithSpaces>6378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2021-05-13T02:10:00Z</dcterms:created>
  <dc:creator>知止</dc:creator>
  <cp:lastModifiedBy>茜茜</cp:lastModifiedBy>
  <cp:lastPrinted>2022-04-26T00:43:00Z</cp:lastPrinted>
  <dcterms:modified xsi:type="dcterms:W3CDTF">2024-05-08T03:44:28Z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9FA630FFCF144B4A857F87DEB8F7BF58</vt:lpwstr>
  </property>
</Properties>
</file>