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F12DEA">
      <w:pPr>
        <w:spacing w:line="520" w:lineRule="exact"/>
        <w:jc w:val="center"/>
        <w:rPr>
          <w:rFonts w:ascii="宋体" w:hAnsi="宋体" w:eastAsia="宋体" w:cs="宋体"/>
          <w:b/>
          <w:bCs/>
          <w:sz w:val="36"/>
          <w:szCs w:val="36"/>
        </w:rPr>
      </w:pPr>
    </w:p>
    <w:p w14:paraId="39B3A6E8">
      <w:pPr>
        <w:spacing w:line="520" w:lineRule="exact"/>
        <w:jc w:val="center"/>
        <w:rPr>
          <w:rFonts w:hint="default" w:ascii="华文楷体" w:hAnsi="华文楷体" w:eastAsia="华文楷体" w:cs="宋体"/>
          <w:b/>
          <w:bCs/>
          <w:sz w:val="32"/>
          <w:szCs w:val="32"/>
          <w:lang w:val="en-US" w:eastAsia="zh-CN"/>
        </w:rPr>
      </w:pPr>
      <w:bookmarkStart w:id="0" w:name="_GoBack"/>
      <w:bookmarkEnd w:id="0"/>
      <w:r>
        <w:rPr>
          <w:rFonts w:hint="eastAsia" w:ascii="华文楷体" w:hAnsi="华文楷体" w:eastAsia="华文楷体" w:cs="宋体"/>
          <w:b/>
          <w:bCs/>
          <w:sz w:val="32"/>
          <w:szCs w:val="32"/>
        </w:rPr>
        <w:t>中共衡南县委</w:t>
      </w:r>
      <w:r>
        <w:rPr>
          <w:rFonts w:hint="eastAsia" w:ascii="华文楷体" w:hAnsi="华文楷体" w:eastAsia="华文楷体" w:cs="宋体"/>
          <w:b/>
          <w:bCs/>
          <w:sz w:val="32"/>
          <w:szCs w:val="32"/>
          <w:lang w:val="en-US" w:eastAsia="zh-CN"/>
        </w:rPr>
        <w:t>网信办</w:t>
      </w:r>
    </w:p>
    <w:p w14:paraId="28BAABB1">
      <w:pPr>
        <w:spacing w:line="520" w:lineRule="exact"/>
        <w:jc w:val="center"/>
        <w:rPr>
          <w:rFonts w:ascii="华文楷体" w:hAnsi="华文楷体" w:eastAsia="华文楷体" w:cs="宋体"/>
          <w:b/>
          <w:bCs/>
          <w:sz w:val="32"/>
          <w:szCs w:val="32"/>
        </w:rPr>
      </w:pPr>
      <w:r>
        <w:rPr>
          <w:rFonts w:hint="eastAsia" w:ascii="华文楷体" w:hAnsi="华文楷体" w:eastAsia="华文楷体" w:cs="宋体"/>
          <w:b/>
          <w:bCs/>
          <w:sz w:val="32"/>
          <w:szCs w:val="32"/>
        </w:rPr>
        <w:t>部门整体支出绩效报告</w:t>
      </w:r>
    </w:p>
    <w:p w14:paraId="429981CD">
      <w:pPr>
        <w:spacing w:before="100" w:beforeAutospacing="1" w:after="100" w:afterAutospacing="1" w:line="720" w:lineRule="atLeast"/>
        <w:ind w:firstLine="640" w:firstLineChars="200"/>
        <w:jc w:val="left"/>
        <w:outlineLvl w:val="2"/>
        <w:rPr>
          <w:rFonts w:hint="eastAsia" w:ascii="仿宋" w:hAnsi="仿宋" w:eastAsia="仿宋" w:cs="仿宋"/>
          <w:kern w:val="32"/>
          <w:sz w:val="32"/>
          <w:szCs w:val="32"/>
        </w:rPr>
      </w:pPr>
      <w:r>
        <w:rPr>
          <w:rFonts w:hint="eastAsia" w:ascii="仿宋" w:hAnsi="仿宋" w:eastAsia="仿宋" w:cs="仿宋"/>
          <w:kern w:val="0"/>
          <w:sz w:val="32"/>
          <w:szCs w:val="32"/>
        </w:rPr>
        <w:t>为切实加强财政资金管理，进一步规范预算资金使用，提高财政资金使用效益，根据《中共湖南省委办公厅 湖南省人民政府办公厅关于全面实施预算绩效管理的实施意见</w:t>
      </w:r>
      <w:r>
        <w:rPr>
          <w:rFonts w:hint="eastAsia" w:ascii="仿宋" w:hAnsi="仿宋" w:eastAsia="仿宋" w:cs="仿宋"/>
          <w:color w:val="000000"/>
          <w:kern w:val="0"/>
          <w:sz w:val="32"/>
          <w:szCs w:val="32"/>
        </w:rPr>
        <w:t>》（湘办发</w:t>
      </w:r>
      <w:r>
        <w:rPr>
          <w:rFonts w:hint="eastAsia" w:ascii="仿宋" w:hAnsi="仿宋" w:eastAsia="仿宋" w:cs="仿宋"/>
          <w:color w:val="000000"/>
          <w:kern w:val="0"/>
          <w:sz w:val="32"/>
          <w:szCs w:val="32"/>
          <w:lang w:val="en-US" w:eastAsia="zh-CN"/>
        </w:rPr>
        <w:t>[</w:t>
      </w:r>
      <w:r>
        <w:rPr>
          <w:rFonts w:hint="eastAsia" w:ascii="仿宋" w:hAnsi="仿宋" w:eastAsia="仿宋" w:cs="仿宋"/>
          <w:color w:val="000000"/>
          <w:kern w:val="0"/>
          <w:sz w:val="32"/>
          <w:szCs w:val="32"/>
        </w:rPr>
        <w:t>2019</w:t>
      </w:r>
      <w:r>
        <w:rPr>
          <w:rFonts w:hint="eastAsia" w:ascii="仿宋" w:hAnsi="仿宋" w:eastAsia="仿宋" w:cs="仿宋"/>
          <w:color w:val="000000"/>
          <w:kern w:val="0"/>
          <w:sz w:val="32"/>
          <w:szCs w:val="32"/>
          <w:lang w:val="en-US" w:eastAsia="zh-CN"/>
        </w:rPr>
        <w:t>]</w:t>
      </w:r>
      <w:r>
        <w:rPr>
          <w:rFonts w:hint="eastAsia" w:ascii="仿宋" w:hAnsi="仿宋" w:eastAsia="仿宋" w:cs="仿宋"/>
          <w:color w:val="000000"/>
          <w:kern w:val="0"/>
          <w:sz w:val="32"/>
          <w:szCs w:val="32"/>
        </w:rPr>
        <w:t>10号）、财政部《项目支出绩效评价管理办法》（财预</w:t>
      </w:r>
      <w:r>
        <w:rPr>
          <w:rFonts w:hint="eastAsia" w:ascii="仿宋" w:hAnsi="仿宋" w:eastAsia="仿宋" w:cs="仿宋"/>
          <w:color w:val="000000"/>
          <w:kern w:val="0"/>
          <w:sz w:val="32"/>
          <w:szCs w:val="32"/>
          <w:lang w:val="en-US" w:eastAsia="zh-CN"/>
        </w:rPr>
        <w:t>[</w:t>
      </w:r>
      <w:r>
        <w:rPr>
          <w:rFonts w:hint="eastAsia" w:ascii="仿宋" w:hAnsi="仿宋" w:eastAsia="仿宋" w:cs="仿宋"/>
          <w:color w:val="000000"/>
          <w:kern w:val="0"/>
          <w:sz w:val="32"/>
          <w:szCs w:val="32"/>
        </w:rPr>
        <w:t>2020</w:t>
      </w:r>
      <w:r>
        <w:rPr>
          <w:rFonts w:hint="eastAsia" w:ascii="仿宋" w:hAnsi="仿宋" w:eastAsia="仿宋" w:cs="仿宋"/>
          <w:color w:val="000000"/>
          <w:kern w:val="0"/>
          <w:sz w:val="32"/>
          <w:szCs w:val="32"/>
          <w:lang w:val="en-US" w:eastAsia="zh-CN"/>
        </w:rPr>
        <w:t>]</w:t>
      </w:r>
      <w:r>
        <w:rPr>
          <w:rFonts w:hint="eastAsia" w:ascii="仿宋" w:hAnsi="仿宋" w:eastAsia="仿宋" w:cs="仿宋"/>
          <w:color w:val="000000"/>
          <w:kern w:val="0"/>
          <w:sz w:val="32"/>
          <w:szCs w:val="32"/>
        </w:rPr>
        <w:t>10号）、</w:t>
      </w:r>
      <w:r>
        <w:rPr>
          <w:rFonts w:hint="eastAsia" w:ascii="仿宋" w:hAnsi="仿宋" w:eastAsia="仿宋" w:cs="仿宋"/>
          <w:color w:val="000000"/>
          <w:sz w:val="32"/>
          <w:szCs w:val="32"/>
        </w:rPr>
        <w:t>《湖南省预算支出绩效评价管理办法》（湘财绩</w:t>
      </w:r>
      <w:r>
        <w:rPr>
          <w:rFonts w:hint="eastAsia" w:ascii="仿宋" w:hAnsi="仿宋" w:eastAsia="仿宋" w:cs="仿宋"/>
          <w:color w:val="000000"/>
          <w:sz w:val="32"/>
          <w:szCs w:val="32"/>
          <w:lang w:val="en-US" w:eastAsia="zh-CN"/>
        </w:rPr>
        <w:t>[</w:t>
      </w:r>
      <w:r>
        <w:rPr>
          <w:rFonts w:hint="eastAsia" w:ascii="仿宋" w:hAnsi="仿宋" w:eastAsia="仿宋" w:cs="仿宋"/>
          <w:color w:val="000000"/>
          <w:kern w:val="0"/>
          <w:sz w:val="32"/>
          <w:szCs w:val="32"/>
        </w:rPr>
        <w:t>2020</w:t>
      </w:r>
      <w:r>
        <w:rPr>
          <w:rFonts w:hint="eastAsia" w:ascii="仿宋" w:hAnsi="仿宋" w:eastAsia="仿宋" w:cs="仿宋"/>
          <w:color w:val="000000"/>
          <w:kern w:val="0"/>
          <w:sz w:val="32"/>
          <w:szCs w:val="32"/>
          <w:lang w:val="en-US" w:eastAsia="zh-CN"/>
        </w:rPr>
        <w:t>]</w:t>
      </w:r>
      <w:r>
        <w:rPr>
          <w:rFonts w:hint="eastAsia" w:ascii="仿宋" w:hAnsi="仿宋" w:eastAsia="仿宋" w:cs="仿宋"/>
          <w:color w:val="000000"/>
          <w:kern w:val="0"/>
          <w:sz w:val="32"/>
          <w:szCs w:val="32"/>
        </w:rPr>
        <w:t>7号</w:t>
      </w:r>
      <w:r>
        <w:rPr>
          <w:rFonts w:hint="eastAsia" w:ascii="仿宋" w:hAnsi="仿宋" w:eastAsia="仿宋" w:cs="仿宋"/>
          <w:color w:val="000000"/>
          <w:sz w:val="32"/>
          <w:szCs w:val="32"/>
        </w:rPr>
        <w:t>）、《中共衡南县委办 县政府办关于印发衡南县预算绩效管理实施办法》（清办发</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22号）、《衡南县财政局关于开展2023年度财政资金绩效自评工作的通知》（</w:t>
      </w:r>
      <w:r>
        <w:rPr>
          <w:rFonts w:hint="eastAsia" w:ascii="仿宋" w:hAnsi="仿宋" w:eastAsia="仿宋" w:cs="仿宋"/>
          <w:bCs/>
          <w:color w:val="000000"/>
          <w:sz w:val="32"/>
          <w:szCs w:val="32"/>
        </w:rPr>
        <w:t>清财绩</w:t>
      </w:r>
      <w:r>
        <w:rPr>
          <w:rFonts w:hint="eastAsia" w:ascii="仿宋" w:hAnsi="仿宋" w:eastAsia="仿宋" w:cs="仿宋"/>
          <w:color w:val="000000"/>
          <w:sz w:val="32"/>
          <w:szCs w:val="32"/>
        </w:rPr>
        <w:t>〔2024〕</w:t>
      </w:r>
      <w:r>
        <w:rPr>
          <w:rFonts w:hint="eastAsia" w:ascii="仿宋" w:hAnsi="仿宋" w:eastAsia="仿宋" w:cs="仿宋"/>
          <w:bCs/>
          <w:color w:val="000000"/>
          <w:sz w:val="32"/>
          <w:szCs w:val="32"/>
        </w:rPr>
        <w:t>53号</w:t>
      </w:r>
      <w:r>
        <w:rPr>
          <w:rFonts w:hint="eastAsia" w:ascii="仿宋" w:hAnsi="仿宋" w:eastAsia="仿宋" w:cs="仿宋"/>
          <w:color w:val="000000"/>
          <w:sz w:val="32"/>
          <w:szCs w:val="32"/>
        </w:rPr>
        <w:t>）等文</w:t>
      </w:r>
      <w:r>
        <w:rPr>
          <w:rFonts w:hint="eastAsia" w:ascii="仿宋" w:hAnsi="仿宋" w:eastAsia="仿宋" w:cs="仿宋"/>
          <w:sz w:val="32"/>
          <w:szCs w:val="32"/>
        </w:rPr>
        <w:t>件精神要求，我</w:t>
      </w:r>
      <w:r>
        <w:rPr>
          <w:rFonts w:hint="eastAsia" w:ascii="仿宋" w:hAnsi="仿宋" w:eastAsia="仿宋" w:cs="仿宋"/>
          <w:sz w:val="32"/>
          <w:szCs w:val="32"/>
          <w:lang w:val="en-US" w:eastAsia="zh-CN"/>
        </w:rPr>
        <w:t>办</w:t>
      </w:r>
      <w:r>
        <w:rPr>
          <w:rFonts w:hint="eastAsia" w:ascii="仿宋" w:hAnsi="仿宋" w:eastAsia="仿宋" w:cs="仿宋"/>
          <w:sz w:val="32"/>
          <w:szCs w:val="32"/>
        </w:rPr>
        <w:t>领导高度重视，召开了绩效评价工作专题会议，并对该项工作进行了安排部署，</w:t>
      </w:r>
      <w:r>
        <w:rPr>
          <w:rFonts w:hint="eastAsia" w:ascii="仿宋" w:hAnsi="仿宋" w:eastAsia="仿宋" w:cs="仿宋"/>
          <w:kern w:val="32"/>
          <w:sz w:val="32"/>
          <w:szCs w:val="32"/>
        </w:rPr>
        <w:t>现将我</w:t>
      </w:r>
      <w:r>
        <w:rPr>
          <w:rFonts w:hint="eastAsia" w:ascii="仿宋" w:hAnsi="仿宋" w:eastAsia="仿宋" w:cs="仿宋"/>
          <w:kern w:val="32"/>
          <w:sz w:val="32"/>
          <w:szCs w:val="32"/>
          <w:lang w:val="en-US" w:eastAsia="zh-CN"/>
        </w:rPr>
        <w:t>办</w:t>
      </w:r>
      <w:r>
        <w:rPr>
          <w:rFonts w:hint="eastAsia" w:ascii="仿宋" w:hAnsi="仿宋" w:eastAsia="仿宋" w:cs="仿宋"/>
          <w:kern w:val="32"/>
          <w:sz w:val="32"/>
          <w:szCs w:val="32"/>
        </w:rPr>
        <w:t>2023年度部门整体支出绩效自评工作汇报如下：</w:t>
      </w:r>
    </w:p>
    <w:p w14:paraId="0E1430E1">
      <w:pPr>
        <w:numPr>
          <w:ilvl w:val="0"/>
          <w:numId w:val="1"/>
        </w:numPr>
        <w:adjustRightInd w:val="0"/>
        <w:snapToGrid w:val="0"/>
        <w:spacing w:line="560" w:lineRule="exact"/>
        <w:ind w:left="640"/>
        <w:rPr>
          <w:rFonts w:hint="eastAsia" w:ascii="仿宋" w:hAnsi="仿宋" w:eastAsia="仿宋" w:cs="仿宋"/>
          <w:b/>
          <w:sz w:val="32"/>
          <w:szCs w:val="32"/>
        </w:rPr>
      </w:pPr>
      <w:r>
        <w:rPr>
          <w:rFonts w:hint="eastAsia" w:ascii="仿宋" w:hAnsi="仿宋" w:eastAsia="仿宋" w:cs="仿宋"/>
          <w:b/>
          <w:sz w:val="32"/>
          <w:szCs w:val="32"/>
        </w:rPr>
        <w:t>基本情况</w:t>
      </w:r>
    </w:p>
    <w:p w14:paraId="1E009869">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（一）主要职能</w:t>
      </w:r>
    </w:p>
    <w:p w14:paraId="336F1B0F">
      <w:pPr>
        <w:spacing w:line="560" w:lineRule="exact"/>
        <w:ind w:firstLine="643" w:firstLineChars="200"/>
        <w:rPr>
          <w:rFonts w:hint="eastAsia" w:ascii="仿宋" w:hAnsi="仿宋" w:eastAsia="仿宋" w:cs="仿宋"/>
          <w:bCs/>
          <w:sz w:val="32"/>
          <w:szCs w:val="32"/>
          <w:lang w:val="en-US" w:eastAsia="zh-CN"/>
        </w:rPr>
      </w:pPr>
      <w:r>
        <w:rPr>
          <w:rFonts w:hint="eastAsia" w:ascii="仿宋" w:hAnsi="仿宋" w:eastAsia="仿宋" w:cs="仿宋"/>
          <w:b/>
          <w:bCs/>
          <w:sz w:val="32"/>
          <w:szCs w:val="32"/>
        </w:rPr>
        <w:t>主要职能：</w:t>
      </w:r>
      <w:r>
        <w:rPr>
          <w:rFonts w:hint="eastAsia" w:ascii="仿宋" w:hAnsi="仿宋" w:eastAsia="仿宋" w:cs="仿宋"/>
          <w:bCs/>
          <w:sz w:val="32"/>
          <w:szCs w:val="32"/>
        </w:rPr>
        <w:t>按照文件规定，不宜对外公开</w:t>
      </w:r>
      <w:r>
        <w:rPr>
          <w:rFonts w:hint="eastAsia" w:ascii="仿宋" w:hAnsi="仿宋" w:eastAsia="仿宋" w:cs="仿宋"/>
          <w:bCs/>
          <w:sz w:val="32"/>
          <w:szCs w:val="32"/>
          <w:lang w:eastAsia="zh-CN"/>
        </w:rPr>
        <w:t>。</w:t>
      </w:r>
    </w:p>
    <w:p w14:paraId="7E81AC5C">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（二）机构设置情况</w:t>
      </w:r>
    </w:p>
    <w:p w14:paraId="468ADAAF">
      <w:pPr>
        <w:adjustRightInd w:val="0"/>
        <w:snapToGrid w:val="0"/>
        <w:spacing w:line="560" w:lineRule="exact"/>
        <w:ind w:firstLine="643" w:firstLineChars="200"/>
        <w:contextualSpacing/>
        <w:rPr>
          <w:rFonts w:hint="eastAsia" w:ascii="仿宋" w:hAnsi="仿宋" w:eastAsia="仿宋" w:cs="仿宋"/>
          <w:sz w:val="32"/>
          <w:szCs w:val="32"/>
        </w:rPr>
      </w:pPr>
      <w:r>
        <w:rPr>
          <w:rFonts w:hint="eastAsia" w:ascii="仿宋" w:hAnsi="仿宋" w:eastAsia="仿宋" w:cs="仿宋"/>
          <w:b/>
          <w:bCs/>
          <w:sz w:val="32"/>
          <w:szCs w:val="32"/>
        </w:rPr>
        <w:t>机构情况：</w:t>
      </w:r>
      <w:r>
        <w:rPr>
          <w:rFonts w:hint="eastAsia" w:ascii="仿宋" w:hAnsi="仿宋" w:eastAsia="仿宋" w:cs="仿宋"/>
          <w:sz w:val="32"/>
          <w:szCs w:val="32"/>
        </w:rPr>
        <w:t>2023年本单位</w:t>
      </w:r>
      <w:r>
        <w:rPr>
          <w:rFonts w:hint="eastAsia" w:ascii="仿宋" w:hAnsi="仿宋" w:eastAsia="仿宋" w:cs="仿宋"/>
          <w:color w:val="000000"/>
          <w:spacing w:val="-4"/>
          <w:sz w:val="32"/>
          <w:szCs w:val="32"/>
        </w:rPr>
        <w:t>内设综合组（政策法规组、网络宣传评论组）、网络舆情应急和网络管理执法组（网络安全协调和信息化发展组、社会工作组）两个组室。</w:t>
      </w:r>
      <w:r>
        <w:rPr>
          <w:rFonts w:hint="eastAsia" w:ascii="仿宋" w:hAnsi="仿宋" w:eastAsia="仿宋" w:cs="仿宋"/>
          <w:sz w:val="32"/>
          <w:szCs w:val="32"/>
        </w:rPr>
        <w:t>另辖衡南网络信息中心和衡南县网络安全应急指挥中心（内设机构）。</w:t>
      </w:r>
    </w:p>
    <w:p w14:paraId="4E7E96E5">
      <w:pPr>
        <w:numPr>
          <w:ilvl w:val="0"/>
          <w:numId w:val="2"/>
        </w:numPr>
        <w:adjustRightInd w:val="0"/>
        <w:snapToGrid w:val="0"/>
        <w:spacing w:line="560" w:lineRule="exact"/>
        <w:ind w:firstLine="640"/>
        <w:contextualSpacing/>
        <w:rPr>
          <w:rFonts w:hint="eastAsia" w:ascii="仿宋" w:hAnsi="仿宋" w:eastAsia="仿宋" w:cs="仿宋"/>
          <w:sz w:val="32"/>
          <w:szCs w:val="32"/>
        </w:rPr>
      </w:pPr>
      <w:r>
        <w:rPr>
          <w:rFonts w:hint="eastAsia" w:ascii="仿宋" w:hAnsi="仿宋" w:eastAsia="仿宋" w:cs="仿宋"/>
          <w:sz w:val="32"/>
          <w:szCs w:val="32"/>
        </w:rPr>
        <w:t>人员编制情况</w:t>
      </w:r>
    </w:p>
    <w:p w14:paraId="02D3191A">
      <w:pPr>
        <w:spacing w:line="520" w:lineRule="exact"/>
        <w:ind w:firstLine="640"/>
        <w:rPr>
          <w:rFonts w:hint="eastAsia" w:ascii="仿宋" w:hAnsi="仿宋" w:eastAsia="仿宋" w:cs="仿宋"/>
          <w:sz w:val="32"/>
          <w:szCs w:val="32"/>
        </w:rPr>
      </w:pPr>
      <w:r>
        <w:rPr>
          <w:rFonts w:hint="eastAsia" w:ascii="仿宋" w:hAnsi="仿宋" w:eastAsia="仿宋" w:cs="仿宋"/>
          <w:sz w:val="32"/>
          <w:szCs w:val="32"/>
        </w:rPr>
        <w:t>我单位是财政预算全额拨款行政单位，财务核算适用政府行政事业单位会计制度。共有12个编制，现有在岗在编人数7人。其中行政编3人，事业编4人。</w:t>
      </w:r>
    </w:p>
    <w:p w14:paraId="1725CA2F">
      <w:pPr>
        <w:numPr>
          <w:ilvl w:val="0"/>
          <w:numId w:val="1"/>
        </w:numPr>
        <w:adjustRightInd w:val="0"/>
        <w:snapToGrid w:val="0"/>
        <w:spacing w:line="560" w:lineRule="exact"/>
        <w:ind w:left="640"/>
        <w:rPr>
          <w:rFonts w:hint="eastAsia" w:ascii="仿宋" w:hAnsi="仿宋" w:eastAsia="仿宋" w:cs="仿宋"/>
          <w:b/>
          <w:sz w:val="32"/>
          <w:szCs w:val="32"/>
        </w:rPr>
      </w:pPr>
      <w:r>
        <w:rPr>
          <w:rFonts w:hint="eastAsia" w:ascii="仿宋" w:hAnsi="仿宋" w:eastAsia="仿宋" w:cs="仿宋"/>
          <w:b/>
          <w:sz w:val="32"/>
          <w:szCs w:val="32"/>
        </w:rPr>
        <w:t>部门整体支出管理及使用情况</w:t>
      </w:r>
    </w:p>
    <w:p w14:paraId="4EBD6216">
      <w:pPr>
        <w:numPr>
          <w:ilvl w:val="0"/>
          <w:numId w:val="3"/>
        </w:numPr>
        <w:adjustRightInd w:val="0"/>
        <w:snapToGrid w:val="0"/>
        <w:spacing w:line="560" w:lineRule="exact"/>
        <w:ind w:left="640"/>
        <w:rPr>
          <w:rFonts w:hint="eastAsia" w:ascii="仿宋" w:hAnsi="仿宋" w:eastAsia="仿宋" w:cs="仿宋"/>
          <w:b/>
          <w:sz w:val="32"/>
          <w:szCs w:val="32"/>
        </w:rPr>
      </w:pPr>
      <w:r>
        <w:rPr>
          <w:rFonts w:hint="eastAsia" w:ascii="仿宋" w:hAnsi="仿宋" w:eastAsia="仿宋" w:cs="仿宋"/>
          <w:b/>
          <w:sz w:val="32"/>
          <w:szCs w:val="32"/>
        </w:rPr>
        <w:t>部门预算收支情况：</w:t>
      </w:r>
    </w:p>
    <w:p w14:paraId="48E33872">
      <w:pPr>
        <w:spacing w:line="520" w:lineRule="exact"/>
        <w:ind w:firstLine="643"/>
        <w:rPr>
          <w:rFonts w:hint="eastAsia" w:ascii="仿宋" w:hAnsi="仿宋" w:eastAsia="仿宋" w:cs="仿宋"/>
          <w:b/>
          <w:sz w:val="32"/>
          <w:szCs w:val="32"/>
        </w:rPr>
      </w:pPr>
      <w:r>
        <w:rPr>
          <w:rFonts w:hint="eastAsia" w:ascii="仿宋" w:hAnsi="仿宋" w:eastAsia="仿宋" w:cs="仿宋"/>
          <w:b/>
          <w:sz w:val="32"/>
          <w:szCs w:val="32"/>
        </w:rPr>
        <w:t>（1）收入支出预算安排情况。</w:t>
      </w:r>
    </w:p>
    <w:p w14:paraId="50007D2A">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2023年，本部门年初预算收入165.39万元，比上年增15.01万元，增长9.98%,</w:t>
      </w:r>
      <w:r>
        <w:rPr>
          <w:rFonts w:hint="eastAsia" w:ascii="仿宋" w:hAnsi="仿宋" w:eastAsia="仿宋" w:cs="仿宋"/>
          <w:sz w:val="32"/>
          <w:szCs w:val="32"/>
          <w:lang w:val="zh-CN"/>
        </w:rPr>
        <w:t>增</w:t>
      </w:r>
      <w:r>
        <w:rPr>
          <w:rFonts w:hint="eastAsia" w:ascii="仿宋" w:hAnsi="仿宋" w:eastAsia="仿宋" w:cs="仿宋"/>
          <w:sz w:val="32"/>
          <w:szCs w:val="32"/>
        </w:rPr>
        <w:t>长的</w:t>
      </w:r>
      <w:r>
        <w:rPr>
          <w:rFonts w:hint="eastAsia" w:ascii="仿宋" w:hAnsi="仿宋" w:eastAsia="仿宋" w:cs="仿宋"/>
          <w:sz w:val="32"/>
          <w:szCs w:val="32"/>
          <w:lang w:val="zh-CN"/>
        </w:rPr>
        <w:t>主要原因是</w:t>
      </w:r>
      <w:r>
        <w:rPr>
          <w:rFonts w:hint="eastAsia" w:ascii="仿宋" w:hAnsi="仿宋" w:eastAsia="仿宋" w:cs="仿宋"/>
          <w:sz w:val="32"/>
          <w:szCs w:val="32"/>
        </w:rPr>
        <w:t>：公用经费调增引起。其中：一般公共预算财政拨款收入年初预算165.39万元，比上年增长15.01万元。年度执行中因单位人数变动及单位事</w:t>
      </w:r>
      <w:r>
        <w:rPr>
          <w:rFonts w:hint="eastAsia" w:ascii="仿宋" w:hAnsi="仿宋" w:eastAsia="仿宋" w:cs="仿宋"/>
          <w:sz w:val="32"/>
          <w:szCs w:val="32"/>
          <w:lang w:val="en-US" w:eastAsia="zh-CN"/>
        </w:rPr>
        <w:t>务</w:t>
      </w:r>
      <w:r>
        <w:rPr>
          <w:rFonts w:hint="eastAsia" w:ascii="仿宋" w:hAnsi="仿宋" w:eastAsia="仿宋" w:cs="仿宋"/>
          <w:sz w:val="32"/>
          <w:szCs w:val="32"/>
        </w:rPr>
        <w:t>调整，预算跟随调整情况，主要变化是：收入调整预算数为一般公共预算财政拨款收入394.09万元，其他收入0.67万元。</w:t>
      </w:r>
    </w:p>
    <w:p w14:paraId="46920FD3">
      <w:pPr>
        <w:spacing w:line="520" w:lineRule="exact"/>
        <w:ind w:firstLine="643"/>
        <w:rPr>
          <w:rFonts w:hint="eastAsia" w:ascii="仿宋" w:hAnsi="仿宋" w:eastAsia="仿宋" w:cs="仿宋"/>
          <w:b/>
          <w:sz w:val="32"/>
          <w:szCs w:val="32"/>
        </w:rPr>
      </w:pPr>
      <w:r>
        <w:rPr>
          <w:rFonts w:hint="eastAsia" w:ascii="仿宋" w:hAnsi="仿宋" w:eastAsia="仿宋" w:cs="仿宋"/>
          <w:b/>
          <w:sz w:val="32"/>
          <w:szCs w:val="32"/>
        </w:rPr>
        <w:t>（2）收入支出预算执行情况。</w:t>
      </w:r>
    </w:p>
    <w:p w14:paraId="62EBD989">
      <w:pPr>
        <w:ind w:firstLine="640" w:firstLineChars="200"/>
        <w:rPr>
          <w:rFonts w:hint="eastAsia" w:ascii="仿宋" w:hAnsi="仿宋" w:eastAsia="仿宋" w:cs="仿宋"/>
          <w:sz w:val="32"/>
          <w:szCs w:val="32"/>
        </w:rPr>
      </w:pPr>
      <w:r>
        <w:rPr>
          <w:rFonts w:hint="eastAsia" w:ascii="仿宋" w:hAnsi="仿宋" w:eastAsia="仿宋" w:cs="仿宋"/>
          <w:sz w:val="32"/>
          <w:szCs w:val="32"/>
        </w:rPr>
        <w:t>2023年收入实际完成</w:t>
      </w:r>
      <w:r>
        <w:rPr>
          <w:rFonts w:hint="eastAsia" w:ascii="仿宋" w:hAnsi="仿宋" w:eastAsia="仿宋" w:cs="仿宋"/>
          <w:color w:val="000000"/>
          <w:kern w:val="0"/>
          <w:sz w:val="32"/>
          <w:szCs w:val="32"/>
        </w:rPr>
        <w:t>394.76</w:t>
      </w:r>
      <w:r>
        <w:rPr>
          <w:rFonts w:hint="eastAsia" w:ascii="仿宋" w:hAnsi="仿宋" w:eastAsia="仿宋" w:cs="仿宋"/>
          <w:sz w:val="32"/>
          <w:szCs w:val="32"/>
        </w:rPr>
        <w:t>万元，比上年增加</w:t>
      </w:r>
      <w:r>
        <w:rPr>
          <w:rFonts w:hint="eastAsia" w:ascii="仿宋" w:hAnsi="仿宋" w:eastAsia="仿宋" w:cs="仿宋"/>
          <w:color w:val="000000"/>
          <w:kern w:val="0"/>
          <w:sz w:val="32"/>
          <w:szCs w:val="32"/>
        </w:rPr>
        <w:t>161.90</w:t>
      </w:r>
      <w:r>
        <w:rPr>
          <w:rFonts w:hint="eastAsia" w:ascii="仿宋" w:hAnsi="仿宋" w:eastAsia="仿宋" w:cs="仿宋"/>
          <w:sz w:val="32"/>
          <w:szCs w:val="32"/>
        </w:rPr>
        <w:t>万元，增加69.53%。其中：一般公共预算财政拨款收入完成394.09万元，比上年增加177.46万元，增加81.92</w:t>
      </w:r>
      <w:r>
        <w:rPr>
          <w:rFonts w:hint="eastAsia" w:ascii="仿宋" w:hAnsi="仿宋" w:eastAsia="仿宋" w:cs="仿宋"/>
          <w:sz w:val="32"/>
          <w:szCs w:val="32"/>
          <w:lang w:val="zh-CN"/>
        </w:rPr>
        <w:t>%，变化的主要原因是：</w:t>
      </w:r>
      <w:r>
        <w:rPr>
          <w:rFonts w:hint="eastAsia" w:ascii="仿宋" w:hAnsi="仿宋" w:eastAsia="仿宋" w:cs="仿宋"/>
          <w:sz w:val="32"/>
          <w:szCs w:val="32"/>
        </w:rPr>
        <w:t>年内预算追加项目经费网络安全应急指挥中心建设经费和人员调资及公用经费增加；其他收入完成0.67万元，比上年减少15.56万元，减少95.87</w:t>
      </w:r>
      <w:r>
        <w:rPr>
          <w:rFonts w:hint="eastAsia" w:ascii="仿宋" w:hAnsi="仿宋" w:eastAsia="仿宋" w:cs="仿宋"/>
          <w:sz w:val="32"/>
          <w:szCs w:val="32"/>
          <w:lang w:val="zh-CN"/>
        </w:rPr>
        <w:t>%，变化的主要原因是：</w:t>
      </w:r>
      <w:r>
        <w:rPr>
          <w:rFonts w:hint="eastAsia" w:ascii="仿宋" w:hAnsi="仿宋" w:eastAsia="仿宋" w:cs="仿宋"/>
          <w:sz w:val="32"/>
          <w:szCs w:val="32"/>
        </w:rPr>
        <w:t>其他单位委托网络宣传业务减少。</w:t>
      </w:r>
    </w:p>
    <w:p w14:paraId="309611E6">
      <w:pPr>
        <w:ind w:firstLine="640" w:firstLineChars="200"/>
        <w:rPr>
          <w:rFonts w:hint="eastAsia" w:ascii="仿宋" w:hAnsi="仿宋" w:eastAsia="仿宋" w:cs="仿宋"/>
          <w:color w:val="000000"/>
          <w:kern w:val="0"/>
          <w:sz w:val="32"/>
          <w:szCs w:val="32"/>
        </w:rPr>
      </w:pPr>
      <w:r>
        <w:rPr>
          <w:rFonts w:hint="eastAsia" w:ascii="仿宋" w:hAnsi="仿宋" w:eastAsia="仿宋" w:cs="仿宋"/>
          <w:sz w:val="32"/>
          <w:szCs w:val="32"/>
        </w:rPr>
        <w:t>2023年本部门支出394.76万元，比上年增加161.90万元，增加69.53%；</w:t>
      </w:r>
      <w:r>
        <w:rPr>
          <w:rFonts w:hint="eastAsia" w:ascii="仿宋" w:hAnsi="仿宋" w:eastAsia="仿宋" w:cs="仿宋"/>
          <w:sz w:val="32"/>
          <w:szCs w:val="32"/>
          <w:lang w:val="zh-CN"/>
        </w:rPr>
        <w:t>变化的主要原因</w:t>
      </w:r>
      <w:r>
        <w:rPr>
          <w:rFonts w:hint="eastAsia" w:ascii="仿宋" w:hAnsi="仿宋" w:eastAsia="仿宋" w:cs="仿宋"/>
          <w:sz w:val="32"/>
          <w:szCs w:val="32"/>
        </w:rPr>
        <w:t>：年内新增支出项目经费网络安全应急指挥中心建设经费和人员调资及公用经费增加。其中：基本支出完成67.40万元，比上年减少6.68万元，减少9.02%。项目支出327.37万元，比上年增加168.59万元，增加106.18%；</w:t>
      </w:r>
      <w:r>
        <w:rPr>
          <w:rFonts w:hint="eastAsia" w:ascii="仿宋" w:hAnsi="仿宋" w:eastAsia="仿宋" w:cs="仿宋"/>
          <w:sz w:val="32"/>
          <w:szCs w:val="32"/>
          <w:lang w:val="zh-CN"/>
        </w:rPr>
        <w:t>变化的主要原因：</w:t>
      </w:r>
      <w:r>
        <w:rPr>
          <w:rFonts w:hint="eastAsia" w:ascii="仿宋" w:hAnsi="仿宋" w:eastAsia="仿宋" w:cs="仿宋"/>
          <w:sz w:val="32"/>
          <w:szCs w:val="32"/>
        </w:rPr>
        <w:t>年内新增支出项目经费网络安全应急指挥中心建设经费等。</w:t>
      </w:r>
      <w:r>
        <w:rPr>
          <w:rFonts w:hint="eastAsia" w:ascii="仿宋" w:hAnsi="仿宋" w:eastAsia="仿宋" w:cs="仿宋"/>
          <w:sz w:val="32"/>
          <w:szCs w:val="32"/>
          <w:lang w:val="zh-CN"/>
        </w:rPr>
        <w:t>人员经费</w:t>
      </w:r>
      <w:r>
        <w:rPr>
          <w:rFonts w:hint="eastAsia" w:ascii="仿宋" w:hAnsi="仿宋" w:eastAsia="仿宋" w:cs="仿宋"/>
          <w:sz w:val="32"/>
          <w:szCs w:val="32"/>
        </w:rPr>
        <w:t>完成</w:t>
      </w:r>
      <w:r>
        <w:rPr>
          <w:rFonts w:hint="eastAsia" w:ascii="仿宋" w:hAnsi="仿宋" w:eastAsia="仿宋" w:cs="仿宋"/>
          <w:color w:val="000000"/>
          <w:kern w:val="0"/>
          <w:sz w:val="32"/>
          <w:szCs w:val="32"/>
        </w:rPr>
        <w:t>48.52</w:t>
      </w:r>
      <w:r>
        <w:rPr>
          <w:rFonts w:hint="eastAsia" w:ascii="仿宋" w:hAnsi="仿宋" w:eastAsia="仿宋" w:cs="仿宋"/>
          <w:sz w:val="32"/>
          <w:szCs w:val="32"/>
        </w:rPr>
        <w:t>万元，比上年减少14.96万元，减少23.57%，</w:t>
      </w:r>
      <w:r>
        <w:rPr>
          <w:rFonts w:hint="eastAsia" w:ascii="仿宋" w:hAnsi="仿宋" w:eastAsia="仿宋" w:cs="仿宋"/>
          <w:sz w:val="32"/>
          <w:szCs w:val="32"/>
          <w:lang w:val="zh-CN"/>
        </w:rPr>
        <w:t>变化的主要原因：</w:t>
      </w:r>
      <w:r>
        <w:rPr>
          <w:rFonts w:hint="eastAsia" w:ascii="仿宋" w:hAnsi="仿宋" w:eastAsia="仿宋" w:cs="仿宋"/>
          <w:sz w:val="32"/>
          <w:szCs w:val="32"/>
        </w:rPr>
        <w:t>2022年补发上年度应发未发奖金；公用</w:t>
      </w:r>
      <w:r>
        <w:rPr>
          <w:rFonts w:hint="eastAsia" w:ascii="仿宋" w:hAnsi="仿宋" w:eastAsia="仿宋" w:cs="仿宋"/>
          <w:sz w:val="32"/>
          <w:szCs w:val="32"/>
          <w:lang w:val="zh-CN"/>
        </w:rPr>
        <w:t>经费</w:t>
      </w:r>
      <w:r>
        <w:rPr>
          <w:rFonts w:hint="eastAsia" w:ascii="仿宋" w:hAnsi="仿宋" w:eastAsia="仿宋" w:cs="仿宋"/>
          <w:color w:val="000000"/>
          <w:kern w:val="0"/>
          <w:sz w:val="32"/>
          <w:szCs w:val="32"/>
        </w:rPr>
        <w:t>18.88</w:t>
      </w:r>
      <w:r>
        <w:rPr>
          <w:rFonts w:hint="eastAsia" w:ascii="仿宋" w:hAnsi="仿宋" w:eastAsia="仿宋" w:cs="仿宋"/>
          <w:sz w:val="32"/>
          <w:szCs w:val="32"/>
        </w:rPr>
        <w:t>万元，比上年增8.04万元，增长74.17%，</w:t>
      </w:r>
      <w:r>
        <w:rPr>
          <w:rFonts w:hint="eastAsia" w:ascii="仿宋" w:hAnsi="仿宋" w:eastAsia="仿宋" w:cs="仿宋"/>
          <w:sz w:val="32"/>
          <w:szCs w:val="32"/>
          <w:lang w:val="zh-CN"/>
        </w:rPr>
        <w:t>变化的主要原因：</w:t>
      </w:r>
      <w:r>
        <w:rPr>
          <w:rFonts w:hint="eastAsia" w:ascii="仿宋" w:hAnsi="仿宋" w:eastAsia="仿宋" w:cs="仿宋"/>
          <w:sz w:val="32"/>
          <w:szCs w:val="32"/>
        </w:rPr>
        <w:t>印刷费、工会经费、其他交通费等</w:t>
      </w:r>
      <w:r>
        <w:rPr>
          <w:rFonts w:hint="eastAsia" w:ascii="仿宋" w:hAnsi="仿宋" w:eastAsia="仿宋" w:cs="仿宋"/>
          <w:sz w:val="32"/>
          <w:szCs w:val="32"/>
          <w:lang w:val="en-US" w:eastAsia="zh-CN"/>
        </w:rPr>
        <w:t>支</w:t>
      </w:r>
      <w:r>
        <w:rPr>
          <w:rFonts w:hint="eastAsia" w:ascii="仿宋" w:hAnsi="仿宋" w:eastAsia="仿宋" w:cs="仿宋"/>
          <w:sz w:val="32"/>
          <w:szCs w:val="32"/>
        </w:rPr>
        <w:t>出增加。</w:t>
      </w:r>
    </w:p>
    <w:p w14:paraId="01D3599E">
      <w:pPr>
        <w:numPr>
          <w:ilvl w:val="0"/>
          <w:numId w:val="3"/>
        </w:numPr>
        <w:snapToGrid w:val="0"/>
        <w:spacing w:line="520" w:lineRule="exact"/>
        <w:ind w:left="640"/>
        <w:rPr>
          <w:rFonts w:hint="eastAsia" w:ascii="仿宋" w:hAnsi="仿宋" w:eastAsia="仿宋" w:cs="仿宋"/>
          <w:b/>
          <w:bCs/>
          <w:sz w:val="32"/>
          <w:szCs w:val="32"/>
        </w:rPr>
      </w:pPr>
      <w:r>
        <w:rPr>
          <w:rFonts w:hint="eastAsia" w:ascii="仿宋" w:hAnsi="仿宋" w:eastAsia="仿宋" w:cs="仿宋"/>
          <w:b/>
          <w:bCs/>
          <w:sz w:val="32"/>
          <w:szCs w:val="32"/>
        </w:rPr>
        <w:t>支出分类情况：</w:t>
      </w:r>
    </w:p>
    <w:p w14:paraId="29584441">
      <w:pPr>
        <w:adjustRightInd w:val="0"/>
        <w:snapToGrid w:val="0"/>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（1）按支出性质分：总支出394.76万元，其中基本支出</w:t>
      </w:r>
      <w:r>
        <w:rPr>
          <w:rFonts w:hint="eastAsia" w:ascii="仿宋" w:hAnsi="仿宋" w:eastAsia="仿宋" w:cs="仿宋"/>
          <w:bCs/>
          <w:sz w:val="32"/>
          <w:szCs w:val="32"/>
        </w:rPr>
        <w:t xml:space="preserve"> </w:t>
      </w:r>
      <w:r>
        <w:rPr>
          <w:rFonts w:hint="eastAsia" w:ascii="仿宋" w:hAnsi="仿宋" w:eastAsia="仿宋" w:cs="仿宋"/>
          <w:color w:val="000000"/>
          <w:sz w:val="32"/>
          <w:szCs w:val="32"/>
        </w:rPr>
        <w:t>67.40</w:t>
      </w:r>
      <w:r>
        <w:rPr>
          <w:rFonts w:hint="eastAsia" w:ascii="仿宋" w:hAnsi="仿宋" w:eastAsia="仿宋" w:cs="仿宋"/>
          <w:sz w:val="32"/>
          <w:szCs w:val="32"/>
        </w:rPr>
        <w:t>万元，用于保障我社机构正常运转，完成日常工作任务而发生的各项支出，包括用于在职人员基本工资，津贴补贴等人员经费，以及办公费、印刷费、办公设备购置等日常公用经费。该支出较上年同期比增加</w:t>
      </w:r>
      <w:r>
        <w:rPr>
          <w:rFonts w:hint="eastAsia" w:ascii="仿宋" w:hAnsi="仿宋" w:eastAsia="仿宋" w:cs="仿宋"/>
          <w:color w:val="000000"/>
          <w:kern w:val="0"/>
          <w:sz w:val="32"/>
          <w:szCs w:val="32"/>
        </w:rPr>
        <w:t>17.10</w:t>
      </w:r>
      <w:r>
        <w:rPr>
          <w:rFonts w:hint="eastAsia" w:ascii="仿宋" w:hAnsi="仿宋" w:eastAsia="仿宋" w:cs="仿宋"/>
          <w:color w:val="000000"/>
          <w:sz w:val="32"/>
          <w:szCs w:val="32"/>
        </w:rPr>
        <w:t>%</w:t>
      </w:r>
      <w:r>
        <w:rPr>
          <w:rFonts w:hint="eastAsia" w:ascii="仿宋" w:hAnsi="仿宋" w:eastAsia="仿宋" w:cs="仿宋"/>
          <w:bCs/>
          <w:sz w:val="32"/>
          <w:szCs w:val="32"/>
        </w:rPr>
        <w:t>；</w:t>
      </w:r>
      <w:r>
        <w:rPr>
          <w:rFonts w:hint="eastAsia" w:ascii="仿宋" w:hAnsi="仿宋" w:eastAsia="仿宋" w:cs="仿宋"/>
          <w:sz w:val="32"/>
          <w:szCs w:val="32"/>
        </w:rPr>
        <w:t>项目支出</w:t>
      </w:r>
      <w:r>
        <w:rPr>
          <w:rFonts w:hint="eastAsia" w:ascii="仿宋" w:hAnsi="仿宋" w:eastAsia="仿宋" w:cs="仿宋"/>
          <w:color w:val="000000"/>
          <w:kern w:val="0"/>
          <w:sz w:val="32"/>
          <w:szCs w:val="32"/>
        </w:rPr>
        <w:t>327.36</w:t>
      </w:r>
      <w:r>
        <w:rPr>
          <w:rFonts w:hint="eastAsia" w:ascii="仿宋" w:hAnsi="仿宋" w:eastAsia="仿宋" w:cs="仿宋"/>
          <w:sz w:val="32"/>
          <w:szCs w:val="32"/>
        </w:rPr>
        <w:t>万元，主要用于网络安全应急指挥中心建设经费，县委中心工作及重点工作网络宣传；协调中央、省、市重点新闻网站和龙头商业网站外宣报道；党政机关及企事业单位网站和全县关键信息基础设施网络安全检查、检测、培训等；国家网络安全宣传周活动；网络评论工作会议、培训、绩效管理和稿酬发放；政府购买服务岗位经费支出；每年高规格县委网信委全会会务费、资料印刷费等；舆情专报、早报、月报、季报、年报和舆情交办函编辑出版费用等支出</w:t>
      </w:r>
      <w:r>
        <w:rPr>
          <w:rFonts w:hint="eastAsia" w:ascii="仿宋" w:hAnsi="仿宋" w:eastAsia="仿宋" w:cs="仿宋"/>
          <w:sz w:val="32"/>
          <w:szCs w:val="32"/>
          <w:lang w:eastAsia="zh-CN"/>
        </w:rPr>
        <w:t>。</w:t>
      </w:r>
    </w:p>
    <w:p w14:paraId="2A1B90C3">
      <w:pPr>
        <w:snapToGrid w:val="0"/>
        <w:spacing w:line="520" w:lineRule="exact"/>
        <w:ind w:firstLine="640" w:firstLineChars="200"/>
        <w:rPr>
          <w:rFonts w:hint="eastAsia" w:ascii="仿宋" w:hAnsi="仿宋" w:eastAsia="仿宋" w:cs="仿宋"/>
          <w:sz w:val="32"/>
          <w:szCs w:val="32"/>
        </w:rPr>
      </w:pPr>
      <w:r>
        <w:rPr>
          <w:rFonts w:hint="eastAsia" w:ascii="仿宋" w:hAnsi="仿宋" w:eastAsia="仿宋" w:cs="仿宋"/>
          <w:bCs/>
          <w:sz w:val="32"/>
          <w:szCs w:val="32"/>
        </w:rPr>
        <w:t>（2）按经济结构分：</w:t>
      </w:r>
      <w:r>
        <w:rPr>
          <w:rFonts w:hint="eastAsia" w:ascii="仿宋" w:hAnsi="仿宋" w:eastAsia="仿宋" w:cs="仿宋"/>
          <w:sz w:val="32"/>
          <w:szCs w:val="32"/>
        </w:rPr>
        <w:t>其中工资福利支出</w:t>
      </w:r>
      <w:r>
        <w:rPr>
          <w:rFonts w:hint="eastAsia" w:ascii="仿宋" w:hAnsi="仿宋" w:eastAsia="仿宋" w:cs="仿宋"/>
          <w:bCs/>
          <w:sz w:val="32"/>
          <w:szCs w:val="32"/>
        </w:rPr>
        <w:t>48.52万元，占支出总额的12.29%，</w:t>
      </w:r>
      <w:r>
        <w:rPr>
          <w:rFonts w:hint="eastAsia" w:ascii="仿宋" w:hAnsi="仿宋" w:eastAsia="仿宋" w:cs="仿宋"/>
          <w:sz w:val="32"/>
          <w:szCs w:val="32"/>
        </w:rPr>
        <w:t>对个人和家庭的补助</w:t>
      </w:r>
      <w:r>
        <w:rPr>
          <w:rFonts w:hint="eastAsia" w:ascii="仿宋" w:hAnsi="仿宋" w:eastAsia="仿宋" w:cs="仿宋"/>
          <w:bCs/>
          <w:sz w:val="32"/>
          <w:szCs w:val="32"/>
        </w:rPr>
        <w:t>0万元，占支出总额的0%</w:t>
      </w:r>
      <w:r>
        <w:rPr>
          <w:rFonts w:hint="eastAsia" w:ascii="仿宋" w:hAnsi="仿宋" w:eastAsia="仿宋" w:cs="仿宋"/>
          <w:sz w:val="32"/>
          <w:szCs w:val="32"/>
        </w:rPr>
        <w:t>，商品和服务支出</w:t>
      </w:r>
      <w:r>
        <w:rPr>
          <w:rFonts w:hint="eastAsia" w:ascii="仿宋" w:hAnsi="仿宋" w:eastAsia="仿宋" w:cs="仿宋"/>
          <w:bCs/>
          <w:sz w:val="32"/>
          <w:szCs w:val="32"/>
        </w:rPr>
        <w:t>18.88万元，占支出总额的4.78%</w:t>
      </w:r>
      <w:r>
        <w:rPr>
          <w:rFonts w:hint="eastAsia" w:ascii="仿宋" w:hAnsi="仿宋" w:eastAsia="仿宋" w:cs="仿宋"/>
          <w:sz w:val="32"/>
          <w:szCs w:val="32"/>
        </w:rPr>
        <w:t>，项目支出</w:t>
      </w:r>
      <w:r>
        <w:rPr>
          <w:rFonts w:hint="eastAsia" w:ascii="仿宋" w:hAnsi="仿宋" w:eastAsia="仿宋" w:cs="仿宋"/>
          <w:color w:val="000000"/>
          <w:kern w:val="0"/>
          <w:sz w:val="32"/>
          <w:szCs w:val="32"/>
        </w:rPr>
        <w:t>327.36</w:t>
      </w:r>
      <w:r>
        <w:rPr>
          <w:rFonts w:hint="eastAsia" w:ascii="仿宋" w:hAnsi="仿宋" w:eastAsia="仿宋" w:cs="仿宋"/>
          <w:bCs/>
          <w:sz w:val="32"/>
          <w:szCs w:val="32"/>
        </w:rPr>
        <w:t>万元，占总支出的82.93%</w:t>
      </w:r>
      <w:r>
        <w:rPr>
          <w:rFonts w:hint="eastAsia" w:ascii="仿宋" w:hAnsi="仿宋" w:eastAsia="仿宋" w:cs="仿宋"/>
          <w:sz w:val="32"/>
          <w:szCs w:val="32"/>
        </w:rPr>
        <w:t>。</w:t>
      </w:r>
    </w:p>
    <w:p w14:paraId="1AAD4C79">
      <w:pPr>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（3）项目经费支出情况：</w:t>
      </w:r>
    </w:p>
    <w:p w14:paraId="2449AB52">
      <w:pPr>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项目支出</w:t>
      </w:r>
      <w:r>
        <w:rPr>
          <w:rFonts w:hint="eastAsia" w:ascii="仿宋" w:hAnsi="仿宋" w:eastAsia="仿宋" w:cs="仿宋"/>
          <w:color w:val="000000"/>
          <w:kern w:val="0"/>
          <w:sz w:val="32"/>
          <w:szCs w:val="32"/>
        </w:rPr>
        <w:t>327.36</w:t>
      </w:r>
      <w:r>
        <w:rPr>
          <w:rFonts w:hint="eastAsia" w:ascii="仿宋" w:hAnsi="仿宋" w:eastAsia="仿宋" w:cs="仿宋"/>
          <w:bCs/>
          <w:sz w:val="32"/>
          <w:szCs w:val="32"/>
        </w:rPr>
        <w:t>万元，</w:t>
      </w:r>
      <w:r>
        <w:rPr>
          <w:rFonts w:hint="eastAsia" w:ascii="仿宋" w:hAnsi="仿宋" w:eastAsia="仿宋" w:cs="仿宋"/>
          <w:sz w:val="32"/>
          <w:szCs w:val="32"/>
        </w:rPr>
        <w:t>其中工资福利支出60.20万元，商品和服务支出203.49万元，对个人和家庭的补助0.50万元。资本性支出63.17万元。</w:t>
      </w:r>
    </w:p>
    <w:p w14:paraId="08DCCD47">
      <w:pPr>
        <w:pStyle w:val="6"/>
        <w:spacing w:before="0" w:beforeAutospacing="0" w:after="0" w:afterAutospacing="0" w:line="560" w:lineRule="exact"/>
        <w:ind w:firstLine="640" w:firstLineChars="200"/>
        <w:contextualSpacing/>
        <w:jc w:val="both"/>
        <w:rPr>
          <w:rFonts w:hint="eastAsia" w:ascii="仿宋" w:hAnsi="仿宋" w:eastAsia="仿宋" w:cs="仿宋"/>
          <w:kern w:val="2"/>
          <w:sz w:val="32"/>
          <w:szCs w:val="32"/>
        </w:rPr>
      </w:pPr>
      <w:r>
        <w:rPr>
          <w:rFonts w:hint="eastAsia" w:ascii="仿宋" w:hAnsi="仿宋" w:eastAsia="仿宋" w:cs="仿宋"/>
          <w:kern w:val="2"/>
          <w:sz w:val="32"/>
          <w:szCs w:val="32"/>
        </w:rPr>
        <w:t>3、“三公”经费情况</w:t>
      </w:r>
    </w:p>
    <w:p w14:paraId="48EB286C">
      <w:pPr>
        <w:adjustRightInd w:val="0"/>
        <w:snapToGrid w:val="0"/>
        <w:spacing w:line="560" w:lineRule="exact"/>
        <w:ind w:firstLine="643" w:firstLineChars="200"/>
        <w:rPr>
          <w:rFonts w:hint="eastAsia" w:ascii="仿宋" w:hAnsi="仿宋" w:eastAsia="仿宋" w:cs="仿宋"/>
          <w:sz w:val="32"/>
          <w:szCs w:val="32"/>
          <w:lang w:val="zh-CN"/>
        </w:rPr>
      </w:pPr>
      <w:r>
        <w:rPr>
          <w:rFonts w:hint="eastAsia" w:ascii="仿宋" w:hAnsi="仿宋" w:eastAsia="仿宋" w:cs="仿宋"/>
          <w:b/>
          <w:sz w:val="32"/>
          <w:szCs w:val="32"/>
        </w:rPr>
        <w:t>“</w:t>
      </w:r>
      <w:r>
        <w:rPr>
          <w:rFonts w:hint="eastAsia" w:ascii="仿宋" w:hAnsi="仿宋" w:eastAsia="仿宋" w:cs="仿宋"/>
          <w:sz w:val="32"/>
          <w:szCs w:val="32"/>
        </w:rPr>
        <w:t>三公</w:t>
      </w:r>
      <w:r>
        <w:rPr>
          <w:rFonts w:hint="eastAsia" w:ascii="仿宋" w:hAnsi="仿宋" w:eastAsia="仿宋" w:cs="仿宋"/>
          <w:b/>
          <w:sz w:val="32"/>
          <w:szCs w:val="32"/>
        </w:rPr>
        <w:t>”</w:t>
      </w:r>
      <w:r>
        <w:rPr>
          <w:rFonts w:hint="eastAsia" w:ascii="仿宋" w:hAnsi="仿宋" w:eastAsia="仿宋" w:cs="仿宋"/>
          <w:sz w:val="32"/>
          <w:szCs w:val="32"/>
        </w:rPr>
        <w:t>经费支出情况：2023年“三公”经费完成1.27万元，比上年减少0.45万元，减少26.16%，</w:t>
      </w:r>
      <w:r>
        <w:rPr>
          <w:rFonts w:hint="eastAsia" w:ascii="仿宋" w:hAnsi="仿宋" w:eastAsia="仿宋" w:cs="仿宋"/>
          <w:sz w:val="32"/>
          <w:szCs w:val="32"/>
          <w:highlight w:val="none"/>
          <w:lang w:val="en-US" w:eastAsia="zh-CN"/>
        </w:rPr>
        <w:t>减少</w:t>
      </w:r>
      <w:r>
        <w:rPr>
          <w:rFonts w:hint="eastAsia" w:ascii="仿宋" w:hAnsi="仿宋" w:eastAsia="仿宋" w:cs="仿宋"/>
          <w:sz w:val="32"/>
          <w:szCs w:val="32"/>
        </w:rPr>
        <w:t>的主要原因是：压缩接待来访支出</w:t>
      </w:r>
      <w:r>
        <w:rPr>
          <w:rFonts w:hint="eastAsia" w:ascii="仿宋" w:hAnsi="仿宋" w:eastAsia="仿宋" w:cs="仿宋"/>
          <w:sz w:val="32"/>
          <w:szCs w:val="32"/>
          <w:lang w:val="zh-CN"/>
        </w:rPr>
        <w:t>。</w:t>
      </w:r>
    </w:p>
    <w:p w14:paraId="45ED147F">
      <w:pPr>
        <w:adjustRightInd w:val="0"/>
        <w:snapToGrid w:val="0"/>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三、部门整体支出绩效情况</w:t>
      </w:r>
    </w:p>
    <w:p w14:paraId="4BEE9185">
      <w:pPr>
        <w:spacing w:after="240"/>
        <w:jc w:val="left"/>
        <w:rPr>
          <w:rFonts w:hint="eastAsia" w:ascii="仿宋" w:hAnsi="仿宋" w:eastAsia="仿宋" w:cs="仿宋"/>
          <w:b/>
          <w:sz w:val="32"/>
          <w:szCs w:val="32"/>
        </w:rPr>
      </w:pPr>
      <w:r>
        <w:rPr>
          <w:rFonts w:hint="eastAsia" w:ascii="仿宋" w:hAnsi="仿宋" w:eastAsia="仿宋" w:cs="仿宋"/>
          <w:bCs/>
          <w:sz w:val="32"/>
          <w:szCs w:val="32"/>
        </w:rPr>
        <w:t xml:space="preserve">    一年来，</w:t>
      </w:r>
      <w:r>
        <w:rPr>
          <w:rFonts w:hint="eastAsia" w:ascii="仿宋" w:hAnsi="仿宋" w:eastAsia="仿宋" w:cs="仿宋"/>
          <w:bCs/>
          <w:sz w:val="32"/>
          <w:szCs w:val="32"/>
          <w:highlight w:val="none"/>
        </w:rPr>
        <w:t>我</w:t>
      </w:r>
      <w:r>
        <w:rPr>
          <w:rFonts w:hint="eastAsia" w:ascii="仿宋" w:hAnsi="仿宋" w:eastAsia="仿宋" w:cs="仿宋"/>
          <w:bCs/>
          <w:sz w:val="32"/>
          <w:szCs w:val="32"/>
          <w:highlight w:val="none"/>
          <w:lang w:val="en-US" w:eastAsia="zh-CN"/>
        </w:rPr>
        <w:t>办</w:t>
      </w:r>
      <w:r>
        <w:rPr>
          <w:rFonts w:hint="eastAsia" w:ascii="仿宋" w:hAnsi="仿宋" w:eastAsia="仿宋" w:cs="仿宋"/>
          <w:bCs/>
          <w:sz w:val="32"/>
          <w:szCs w:val="32"/>
        </w:rPr>
        <w:t>通过内抓管理，外树形象,较好地完成了省市相关部门交办的年度工作目标任务。对照“部门整体支出绩效评价指标评分表”得出绩效考核目标自评分为98分。具体情况如下</w:t>
      </w:r>
      <w:r>
        <w:rPr>
          <w:rFonts w:hint="eastAsia" w:ascii="仿宋" w:hAnsi="仿宋" w:eastAsia="仿宋" w:cs="仿宋"/>
          <w:b/>
          <w:sz w:val="32"/>
          <w:szCs w:val="32"/>
        </w:rPr>
        <w:t>：</w:t>
      </w:r>
    </w:p>
    <w:p w14:paraId="18601551">
      <w:pPr>
        <w:widowControl/>
        <w:ind w:firstLine="640" w:firstLineChars="200"/>
        <w:rPr>
          <w:rFonts w:hint="eastAsia" w:ascii="仿宋" w:hAnsi="仿宋" w:eastAsia="仿宋" w:cs="仿宋"/>
          <w:bCs/>
          <w:sz w:val="32"/>
          <w:szCs w:val="32"/>
        </w:rPr>
      </w:pPr>
      <w:r>
        <w:rPr>
          <w:rFonts w:hint="eastAsia" w:ascii="仿宋" w:hAnsi="仿宋" w:eastAsia="仿宋" w:cs="仿宋"/>
          <w:bCs/>
          <w:sz w:val="32"/>
          <w:szCs w:val="32"/>
        </w:rPr>
        <w:t>（一）在目标设定方面得</w:t>
      </w:r>
      <w:r>
        <w:rPr>
          <w:rFonts w:hint="eastAsia" w:ascii="仿宋" w:hAnsi="仿宋" w:eastAsia="仿宋" w:cs="仿宋"/>
          <w:bCs/>
          <w:sz w:val="32"/>
          <w:szCs w:val="32"/>
          <w:lang w:val="en-US" w:eastAsia="zh-CN"/>
        </w:rPr>
        <w:t>4</w:t>
      </w:r>
      <w:r>
        <w:rPr>
          <w:rFonts w:hint="eastAsia" w:ascii="仿宋" w:hAnsi="仿宋" w:eastAsia="仿宋" w:cs="仿宋"/>
          <w:bCs/>
          <w:sz w:val="32"/>
          <w:szCs w:val="32"/>
        </w:rPr>
        <w:t>分，其中绩效目标合理性</w:t>
      </w:r>
      <w:r>
        <w:rPr>
          <w:rFonts w:hint="eastAsia" w:ascii="仿宋" w:hAnsi="仿宋" w:eastAsia="仿宋" w:cs="仿宋"/>
          <w:bCs/>
          <w:sz w:val="32"/>
          <w:szCs w:val="32"/>
          <w:lang w:val="en-US" w:eastAsia="zh-CN"/>
        </w:rPr>
        <w:t>2</w:t>
      </w:r>
      <w:r>
        <w:rPr>
          <w:rFonts w:hint="eastAsia" w:ascii="仿宋" w:hAnsi="仿宋" w:eastAsia="仿宋" w:cs="仿宋"/>
          <w:bCs/>
          <w:sz w:val="32"/>
          <w:szCs w:val="32"/>
        </w:rPr>
        <w:t>分，绩效指标明确性</w:t>
      </w:r>
      <w:r>
        <w:rPr>
          <w:rFonts w:hint="eastAsia" w:ascii="仿宋" w:hAnsi="仿宋" w:eastAsia="仿宋" w:cs="仿宋"/>
          <w:bCs/>
          <w:sz w:val="32"/>
          <w:szCs w:val="32"/>
          <w:lang w:val="en-US" w:eastAsia="zh-CN"/>
        </w:rPr>
        <w:t>2</w:t>
      </w:r>
      <w:r>
        <w:rPr>
          <w:rFonts w:hint="eastAsia" w:ascii="仿宋" w:hAnsi="仿宋" w:eastAsia="仿宋" w:cs="仿宋"/>
          <w:bCs/>
          <w:sz w:val="32"/>
          <w:szCs w:val="32"/>
        </w:rPr>
        <w:t>分。</w:t>
      </w:r>
    </w:p>
    <w:p w14:paraId="5F84C414">
      <w:pPr>
        <w:pStyle w:val="6"/>
        <w:spacing w:before="0" w:beforeAutospacing="0" w:after="0" w:afterAutospacing="0"/>
        <w:ind w:left="775" w:leftChars="261" w:hanging="227" w:hangingChars="71"/>
        <w:jc w:val="both"/>
        <w:rPr>
          <w:rFonts w:hint="eastAsia" w:ascii="仿宋" w:hAnsi="仿宋" w:eastAsia="仿宋" w:cs="仿宋"/>
          <w:bCs/>
          <w:sz w:val="32"/>
          <w:szCs w:val="32"/>
        </w:rPr>
      </w:pPr>
      <w:r>
        <w:rPr>
          <w:rFonts w:hint="eastAsia" w:ascii="仿宋" w:hAnsi="仿宋" w:eastAsia="仿宋" w:cs="仿宋"/>
          <w:bCs/>
          <w:sz w:val="32"/>
          <w:szCs w:val="32"/>
        </w:rPr>
        <w:t>（二）预算配置方面得</w:t>
      </w:r>
      <w:r>
        <w:rPr>
          <w:rFonts w:hint="eastAsia" w:ascii="仿宋" w:hAnsi="仿宋" w:eastAsia="仿宋" w:cs="仿宋"/>
          <w:bCs/>
          <w:sz w:val="32"/>
          <w:szCs w:val="32"/>
          <w:lang w:val="en-US" w:eastAsia="zh-CN"/>
        </w:rPr>
        <w:t>6</w:t>
      </w:r>
      <w:r>
        <w:rPr>
          <w:rFonts w:hint="eastAsia" w:ascii="仿宋" w:hAnsi="仿宋" w:eastAsia="仿宋" w:cs="仿宋"/>
          <w:bCs/>
          <w:sz w:val="32"/>
          <w:szCs w:val="32"/>
        </w:rPr>
        <w:t>分；</w:t>
      </w:r>
    </w:p>
    <w:p w14:paraId="4C11102D">
      <w:pPr>
        <w:pStyle w:val="6"/>
        <w:spacing w:before="0" w:beforeAutospacing="0" w:after="0" w:afterAutospacing="0"/>
        <w:ind w:firstLine="640" w:firstLineChars="200"/>
        <w:rPr>
          <w:rFonts w:hint="eastAsia" w:ascii="仿宋" w:hAnsi="仿宋" w:eastAsia="仿宋" w:cs="仿宋"/>
          <w:bCs/>
          <w:sz w:val="32"/>
          <w:szCs w:val="32"/>
        </w:rPr>
      </w:pPr>
      <w:r>
        <w:rPr>
          <w:rFonts w:hint="eastAsia" w:ascii="仿宋" w:hAnsi="仿宋" w:eastAsia="仿宋" w:cs="仿宋"/>
          <w:bCs/>
          <w:sz w:val="32"/>
          <w:szCs w:val="32"/>
        </w:rPr>
        <w:t>1、在职人员控制率得2分（我</w:t>
      </w:r>
      <w:r>
        <w:rPr>
          <w:rFonts w:hint="eastAsia" w:ascii="仿宋" w:hAnsi="仿宋" w:eastAsia="仿宋" w:cs="仿宋"/>
          <w:bCs/>
          <w:sz w:val="32"/>
          <w:szCs w:val="32"/>
          <w:highlight w:val="none"/>
          <w:lang w:val="en-US" w:eastAsia="zh-CN"/>
        </w:rPr>
        <w:t>办</w:t>
      </w:r>
      <w:r>
        <w:rPr>
          <w:rFonts w:hint="eastAsia" w:ascii="仿宋" w:hAnsi="仿宋" w:eastAsia="仿宋" w:cs="仿宋"/>
          <w:bCs/>
          <w:sz w:val="32"/>
          <w:szCs w:val="32"/>
        </w:rPr>
        <w:t>人员编制为12人,实有在岗人数为7人，人员控制率为1）；</w:t>
      </w:r>
    </w:p>
    <w:p w14:paraId="7194E0E5">
      <w:pPr>
        <w:pStyle w:val="6"/>
        <w:spacing w:before="0" w:beforeAutospacing="0" w:after="0" w:afterAutospacing="0"/>
        <w:ind w:firstLine="640" w:firstLineChars="200"/>
        <w:jc w:val="both"/>
        <w:rPr>
          <w:rFonts w:hint="eastAsia" w:ascii="仿宋" w:hAnsi="仿宋" w:eastAsia="仿宋" w:cs="仿宋"/>
          <w:sz w:val="32"/>
          <w:szCs w:val="32"/>
        </w:rPr>
      </w:pPr>
      <w:r>
        <w:rPr>
          <w:rFonts w:hint="eastAsia" w:ascii="仿宋" w:hAnsi="仿宋" w:eastAsia="仿宋" w:cs="仿宋"/>
          <w:bCs/>
          <w:sz w:val="32"/>
          <w:szCs w:val="32"/>
        </w:rPr>
        <w:t>2、</w:t>
      </w:r>
      <w:r>
        <w:rPr>
          <w:rFonts w:hint="eastAsia" w:ascii="仿宋" w:hAnsi="仿宋" w:eastAsia="仿宋" w:cs="仿宋"/>
          <w:sz w:val="32"/>
          <w:szCs w:val="32"/>
        </w:rPr>
        <w:t>“三公经费”变动率得</w:t>
      </w:r>
      <w:r>
        <w:rPr>
          <w:rFonts w:hint="eastAsia" w:ascii="仿宋" w:hAnsi="仿宋" w:eastAsia="仿宋" w:cs="仿宋"/>
          <w:sz w:val="32"/>
          <w:szCs w:val="32"/>
          <w:lang w:val="en-US" w:eastAsia="zh-CN"/>
        </w:rPr>
        <w:t>2</w:t>
      </w:r>
      <w:r>
        <w:rPr>
          <w:rFonts w:hint="eastAsia" w:ascii="仿宋" w:hAnsi="仿宋" w:eastAsia="仿宋" w:cs="仿宋"/>
          <w:sz w:val="32"/>
          <w:szCs w:val="32"/>
        </w:rPr>
        <w:t>分。本年初招待费预算为2.1万元，较上年比略有</w:t>
      </w:r>
      <w:r>
        <w:rPr>
          <w:rFonts w:hint="eastAsia" w:ascii="仿宋" w:hAnsi="仿宋" w:eastAsia="仿宋" w:cs="仿宋"/>
          <w:sz w:val="32"/>
          <w:szCs w:val="32"/>
          <w:lang w:val="en-US" w:eastAsia="zh-CN"/>
        </w:rPr>
        <w:t>减少</w:t>
      </w:r>
      <w:r>
        <w:rPr>
          <w:rFonts w:hint="eastAsia" w:ascii="仿宋" w:hAnsi="仿宋" w:eastAsia="仿宋" w:cs="仿宋"/>
          <w:sz w:val="32"/>
          <w:szCs w:val="32"/>
        </w:rPr>
        <w:t>，变动率</w:t>
      </w:r>
      <w:r>
        <w:rPr>
          <w:rFonts w:hint="eastAsia" w:ascii="仿宋" w:hAnsi="仿宋" w:eastAsia="仿宋" w:cs="仿宋"/>
          <w:sz w:val="32"/>
          <w:szCs w:val="32"/>
          <w:lang w:val="en-US" w:eastAsia="zh-CN"/>
        </w:rPr>
        <w:t>小</w:t>
      </w:r>
      <w:r>
        <w:rPr>
          <w:rFonts w:hint="eastAsia" w:ascii="仿宋" w:hAnsi="仿宋" w:eastAsia="仿宋" w:cs="仿宋"/>
          <w:sz w:val="32"/>
          <w:szCs w:val="32"/>
        </w:rPr>
        <w:t>于0。</w:t>
      </w:r>
    </w:p>
    <w:p w14:paraId="61F7CE87">
      <w:pPr>
        <w:pStyle w:val="6"/>
        <w:spacing w:before="0" w:beforeAutospacing="0" w:after="0" w:afterAutospacing="0"/>
        <w:ind w:firstLine="640" w:firstLineChars="200"/>
        <w:jc w:val="both"/>
        <w:rPr>
          <w:rFonts w:hint="eastAsia" w:ascii="仿宋" w:hAnsi="仿宋" w:eastAsia="仿宋" w:cs="仿宋"/>
          <w:bCs/>
          <w:color w:val="030303"/>
          <w:sz w:val="32"/>
          <w:szCs w:val="32"/>
        </w:rPr>
      </w:pPr>
      <w:r>
        <w:rPr>
          <w:rFonts w:hint="eastAsia" w:ascii="仿宋" w:hAnsi="仿宋" w:eastAsia="仿宋" w:cs="仿宋"/>
          <w:bCs/>
          <w:sz w:val="32"/>
          <w:szCs w:val="32"/>
        </w:rPr>
        <w:t>3、重点支出安排率得2分（本年内</w:t>
      </w:r>
      <w:r>
        <w:rPr>
          <w:rFonts w:hint="eastAsia" w:ascii="仿宋" w:hAnsi="仿宋" w:eastAsia="仿宋" w:cs="仿宋"/>
          <w:sz w:val="32"/>
          <w:szCs w:val="32"/>
        </w:rPr>
        <w:t>“重点支出安排率”=100%</w:t>
      </w:r>
      <w:r>
        <w:rPr>
          <w:rFonts w:hint="eastAsia" w:ascii="仿宋" w:hAnsi="仿宋" w:eastAsia="仿宋" w:cs="仿宋"/>
          <w:bCs/>
          <w:sz w:val="32"/>
          <w:szCs w:val="32"/>
        </w:rPr>
        <w:t>）。</w:t>
      </w:r>
    </w:p>
    <w:p w14:paraId="2CBDEE75">
      <w:pPr>
        <w:pStyle w:val="6"/>
        <w:spacing w:before="0" w:beforeAutospacing="0" w:after="0" w:afterAutospacing="0"/>
        <w:ind w:firstLine="640" w:firstLineChars="200"/>
        <w:jc w:val="both"/>
        <w:rPr>
          <w:rFonts w:hint="eastAsia" w:ascii="仿宋" w:hAnsi="仿宋" w:eastAsia="仿宋" w:cs="仿宋"/>
          <w:bCs/>
          <w:color w:val="030303"/>
          <w:sz w:val="32"/>
          <w:szCs w:val="32"/>
        </w:rPr>
      </w:pPr>
      <w:r>
        <w:rPr>
          <w:rFonts w:hint="eastAsia" w:ascii="仿宋" w:hAnsi="仿宋" w:eastAsia="仿宋" w:cs="仿宋"/>
          <w:bCs/>
          <w:sz w:val="32"/>
          <w:szCs w:val="32"/>
        </w:rPr>
        <w:t>（三）预算执行比较到位得1</w:t>
      </w:r>
      <w:r>
        <w:rPr>
          <w:rFonts w:hint="eastAsia" w:ascii="仿宋" w:hAnsi="仿宋" w:eastAsia="仿宋" w:cs="仿宋"/>
          <w:bCs/>
          <w:sz w:val="32"/>
          <w:szCs w:val="32"/>
          <w:lang w:val="en-US" w:eastAsia="zh-CN"/>
        </w:rPr>
        <w:t>5</w:t>
      </w:r>
      <w:r>
        <w:rPr>
          <w:rFonts w:hint="eastAsia" w:ascii="仿宋" w:hAnsi="仿宋" w:eastAsia="仿宋" w:cs="仿宋"/>
          <w:bCs/>
          <w:sz w:val="32"/>
          <w:szCs w:val="32"/>
        </w:rPr>
        <w:t>分；</w:t>
      </w:r>
    </w:p>
    <w:p w14:paraId="05895971">
      <w:pPr>
        <w:pStyle w:val="6"/>
        <w:spacing w:before="0" w:beforeAutospacing="0" w:after="0" w:afterAutospacing="0"/>
        <w:ind w:firstLine="640" w:firstLineChars="200"/>
        <w:jc w:val="both"/>
        <w:rPr>
          <w:rFonts w:hint="eastAsia" w:ascii="仿宋" w:hAnsi="仿宋" w:eastAsia="仿宋" w:cs="仿宋"/>
          <w:bCs/>
          <w:sz w:val="32"/>
          <w:szCs w:val="32"/>
        </w:rPr>
      </w:pPr>
      <w:r>
        <w:rPr>
          <w:rFonts w:hint="eastAsia" w:ascii="仿宋" w:hAnsi="仿宋" w:eastAsia="仿宋" w:cs="仿宋"/>
          <w:bCs/>
          <w:sz w:val="32"/>
          <w:szCs w:val="32"/>
        </w:rPr>
        <w:t>1、预算完成率得2分（</w:t>
      </w:r>
      <w:r>
        <w:rPr>
          <w:rFonts w:hint="eastAsia" w:ascii="仿宋" w:hAnsi="仿宋" w:eastAsia="仿宋" w:cs="仿宋"/>
          <w:sz w:val="32"/>
          <w:szCs w:val="32"/>
        </w:rPr>
        <w:t>预算完成率=（上年结转+年初预算+本年追加预算-年末结余）/（上年结转+年初预算+本年追加预算）×100%=100%</w:t>
      </w:r>
      <w:r>
        <w:rPr>
          <w:rFonts w:hint="eastAsia" w:ascii="仿宋" w:hAnsi="仿宋" w:eastAsia="仿宋" w:cs="仿宋"/>
          <w:bCs/>
          <w:sz w:val="32"/>
          <w:szCs w:val="32"/>
        </w:rPr>
        <w:t>）</w:t>
      </w:r>
    </w:p>
    <w:p w14:paraId="759946C2">
      <w:pPr>
        <w:pStyle w:val="6"/>
        <w:spacing w:before="0" w:beforeAutospacing="0" w:after="0" w:afterAutospacing="0"/>
        <w:ind w:firstLine="640" w:firstLineChars="200"/>
        <w:jc w:val="both"/>
        <w:rPr>
          <w:rFonts w:hint="eastAsia" w:ascii="仿宋" w:hAnsi="仿宋" w:eastAsia="仿宋" w:cs="仿宋"/>
          <w:bCs/>
          <w:color w:val="030303"/>
          <w:sz w:val="32"/>
          <w:szCs w:val="32"/>
        </w:rPr>
      </w:pPr>
      <w:r>
        <w:rPr>
          <w:rFonts w:hint="eastAsia" w:ascii="仿宋" w:hAnsi="仿宋" w:eastAsia="仿宋" w:cs="仿宋"/>
          <w:bCs/>
          <w:sz w:val="32"/>
          <w:szCs w:val="32"/>
        </w:rPr>
        <w:t>2、预算调整率得</w:t>
      </w:r>
      <w:r>
        <w:rPr>
          <w:rFonts w:hint="eastAsia" w:ascii="仿宋" w:hAnsi="仿宋" w:eastAsia="仿宋" w:cs="仿宋"/>
          <w:bCs/>
          <w:sz w:val="32"/>
          <w:szCs w:val="32"/>
          <w:lang w:val="en-US" w:eastAsia="zh-CN"/>
        </w:rPr>
        <w:t>1</w:t>
      </w:r>
      <w:r>
        <w:rPr>
          <w:rFonts w:hint="eastAsia" w:ascii="仿宋" w:hAnsi="仿宋" w:eastAsia="仿宋" w:cs="仿宋"/>
          <w:bCs/>
          <w:sz w:val="32"/>
          <w:szCs w:val="32"/>
        </w:rPr>
        <w:t>分（</w:t>
      </w:r>
      <w:r>
        <w:rPr>
          <w:rFonts w:hint="eastAsia" w:ascii="仿宋" w:hAnsi="仿宋" w:eastAsia="仿宋" w:cs="仿宋"/>
          <w:sz w:val="32"/>
          <w:szCs w:val="32"/>
        </w:rPr>
        <w:t>预算调整率=（预算调整数/预算数）×100</w:t>
      </w:r>
      <w:r>
        <w:rPr>
          <w:rFonts w:hint="eastAsia" w:ascii="仿宋" w:hAnsi="仿宋" w:eastAsia="仿宋" w:cs="仿宋"/>
          <w:sz w:val="32"/>
          <w:szCs w:val="32"/>
          <w:lang w:val="en-US" w:eastAsia="zh-CN"/>
        </w:rPr>
        <w:t>%</w:t>
      </w:r>
      <w:r>
        <w:rPr>
          <w:rFonts w:hint="eastAsia" w:ascii="仿宋" w:hAnsi="仿宋" w:eastAsia="仿宋" w:cs="仿宋"/>
          <w:sz w:val="32"/>
          <w:szCs w:val="32"/>
        </w:rPr>
        <w:t>，大于30%，</w:t>
      </w:r>
      <w:r>
        <w:rPr>
          <w:rFonts w:hint="eastAsia" w:ascii="仿宋" w:hAnsi="仿宋" w:eastAsia="仿宋" w:cs="仿宋"/>
          <w:sz w:val="32"/>
          <w:szCs w:val="32"/>
          <w:lang w:val="en-US" w:eastAsia="zh-CN"/>
        </w:rPr>
        <w:t>扣1</w:t>
      </w:r>
      <w:r>
        <w:rPr>
          <w:rFonts w:hint="eastAsia" w:ascii="仿宋" w:hAnsi="仿宋" w:eastAsia="仿宋" w:cs="仿宋"/>
          <w:sz w:val="32"/>
          <w:szCs w:val="32"/>
        </w:rPr>
        <w:t>分</w:t>
      </w:r>
      <w:r>
        <w:rPr>
          <w:rFonts w:hint="eastAsia" w:ascii="仿宋" w:hAnsi="仿宋" w:eastAsia="仿宋" w:cs="仿宋"/>
          <w:bCs/>
          <w:sz w:val="32"/>
          <w:szCs w:val="32"/>
        </w:rPr>
        <w:t>）；</w:t>
      </w:r>
    </w:p>
    <w:p w14:paraId="3C45B7B0">
      <w:pPr>
        <w:pStyle w:val="6"/>
        <w:spacing w:before="0" w:beforeAutospacing="0" w:after="0" w:afterAutospacing="0"/>
        <w:ind w:firstLine="726" w:firstLineChars="227"/>
        <w:jc w:val="both"/>
        <w:rPr>
          <w:rFonts w:hint="eastAsia" w:ascii="仿宋" w:hAnsi="仿宋" w:eastAsia="仿宋" w:cs="仿宋"/>
          <w:bCs/>
          <w:sz w:val="32"/>
          <w:szCs w:val="32"/>
        </w:rPr>
      </w:pPr>
      <w:r>
        <w:rPr>
          <w:rFonts w:hint="eastAsia" w:ascii="仿宋" w:hAnsi="仿宋" w:eastAsia="仿宋" w:cs="仿宋"/>
          <w:bCs/>
          <w:sz w:val="32"/>
          <w:szCs w:val="32"/>
        </w:rPr>
        <w:t>3、支付进度率得</w:t>
      </w:r>
      <w:r>
        <w:rPr>
          <w:rFonts w:hint="eastAsia" w:ascii="仿宋" w:hAnsi="仿宋" w:eastAsia="仿宋" w:cs="仿宋"/>
          <w:bCs/>
          <w:sz w:val="32"/>
          <w:szCs w:val="32"/>
          <w:lang w:val="en-US" w:eastAsia="zh-CN"/>
        </w:rPr>
        <w:t>2</w:t>
      </w:r>
      <w:r>
        <w:rPr>
          <w:rFonts w:hint="eastAsia" w:ascii="仿宋" w:hAnsi="仿宋" w:eastAsia="仿宋" w:cs="仿宋"/>
          <w:bCs/>
          <w:sz w:val="32"/>
          <w:szCs w:val="32"/>
        </w:rPr>
        <w:t>分（</w:t>
      </w:r>
      <w:r>
        <w:rPr>
          <w:rFonts w:hint="eastAsia" w:ascii="仿宋" w:hAnsi="仿宋" w:eastAsia="仿宋" w:cs="仿宋"/>
          <w:sz w:val="32"/>
          <w:szCs w:val="32"/>
        </w:rPr>
        <w:t>支付进度率=[实际支付进度/既定支付进度]*100%=100%，</w:t>
      </w:r>
      <w:r>
        <w:rPr>
          <w:rFonts w:hint="eastAsia" w:ascii="仿宋" w:hAnsi="仿宋" w:eastAsia="仿宋" w:cs="仿宋"/>
          <w:sz w:val="32"/>
          <w:szCs w:val="32"/>
          <w:lang w:val="en-US" w:eastAsia="zh-CN"/>
        </w:rPr>
        <w:t>严格按照支付进度进行支付</w:t>
      </w:r>
      <w:r>
        <w:rPr>
          <w:rFonts w:hint="eastAsia" w:ascii="仿宋" w:hAnsi="仿宋" w:eastAsia="仿宋" w:cs="仿宋"/>
          <w:bCs/>
          <w:sz w:val="32"/>
          <w:szCs w:val="32"/>
        </w:rPr>
        <w:t>）；</w:t>
      </w:r>
    </w:p>
    <w:p w14:paraId="2D8432D6">
      <w:pPr>
        <w:pStyle w:val="6"/>
        <w:spacing w:before="0" w:beforeAutospacing="0" w:after="0" w:afterAutospacing="0"/>
        <w:ind w:firstLine="726" w:firstLineChars="227"/>
        <w:jc w:val="both"/>
        <w:rPr>
          <w:rFonts w:hint="eastAsia" w:ascii="仿宋" w:hAnsi="仿宋" w:eastAsia="仿宋" w:cs="仿宋"/>
          <w:bCs/>
          <w:sz w:val="32"/>
          <w:szCs w:val="32"/>
        </w:rPr>
      </w:pPr>
      <w:r>
        <w:rPr>
          <w:rFonts w:hint="eastAsia" w:ascii="仿宋" w:hAnsi="仿宋" w:eastAsia="仿宋" w:cs="仿宋"/>
          <w:bCs/>
          <w:sz w:val="32"/>
          <w:szCs w:val="32"/>
        </w:rPr>
        <w:t>4、结余结转变动率得2分（</w:t>
      </w:r>
      <w:r>
        <w:rPr>
          <w:rFonts w:hint="eastAsia" w:ascii="仿宋" w:hAnsi="仿宋" w:eastAsia="仿宋" w:cs="仿宋"/>
          <w:sz w:val="32"/>
          <w:szCs w:val="32"/>
        </w:rPr>
        <w:t>结余结转变动率=[(本年度累计结余资金总额-上年度累计结转结余资金总额)/ 上年度累计结转结余资金=0，计满分</w:t>
      </w:r>
      <w:r>
        <w:rPr>
          <w:rFonts w:hint="eastAsia" w:ascii="仿宋" w:hAnsi="仿宋" w:eastAsia="仿宋" w:cs="仿宋"/>
          <w:bCs/>
          <w:sz w:val="32"/>
          <w:szCs w:val="32"/>
        </w:rPr>
        <w:t>）；</w:t>
      </w:r>
    </w:p>
    <w:p w14:paraId="083FF7AE">
      <w:pPr>
        <w:widowControl/>
        <w:ind w:firstLine="640" w:firstLineChars="200"/>
        <w:rPr>
          <w:rFonts w:hint="eastAsia" w:ascii="仿宋" w:hAnsi="仿宋" w:eastAsia="仿宋" w:cs="仿宋"/>
          <w:sz w:val="32"/>
          <w:szCs w:val="32"/>
        </w:rPr>
      </w:pPr>
      <w:r>
        <w:rPr>
          <w:rFonts w:hint="eastAsia" w:ascii="仿宋" w:hAnsi="仿宋" w:eastAsia="仿宋" w:cs="仿宋"/>
          <w:bCs/>
          <w:sz w:val="32"/>
          <w:szCs w:val="32"/>
        </w:rPr>
        <w:t>5、公用经费控制率得</w:t>
      </w:r>
      <w:r>
        <w:rPr>
          <w:rFonts w:hint="eastAsia" w:ascii="仿宋" w:hAnsi="仿宋" w:eastAsia="仿宋" w:cs="仿宋"/>
          <w:bCs/>
          <w:sz w:val="32"/>
          <w:szCs w:val="32"/>
          <w:lang w:val="en-US" w:eastAsia="zh-CN"/>
        </w:rPr>
        <w:t>2</w:t>
      </w:r>
      <w:r>
        <w:rPr>
          <w:rFonts w:hint="eastAsia" w:ascii="仿宋" w:hAnsi="仿宋" w:eastAsia="仿宋" w:cs="仿宋"/>
          <w:bCs/>
          <w:sz w:val="32"/>
          <w:szCs w:val="32"/>
        </w:rPr>
        <w:t>分，年初预算20万元，实际支出18.88万元，公用经费控制率小于1，不扣分。</w:t>
      </w:r>
    </w:p>
    <w:p w14:paraId="29EC9701">
      <w:pPr>
        <w:pStyle w:val="6"/>
        <w:spacing w:before="0" w:beforeAutospacing="0" w:after="0" w:afterAutospacing="0"/>
        <w:ind w:firstLine="640" w:firstLineChars="200"/>
        <w:jc w:val="both"/>
        <w:rPr>
          <w:rFonts w:hint="eastAsia" w:ascii="仿宋" w:hAnsi="仿宋" w:eastAsia="仿宋" w:cs="仿宋"/>
          <w:bCs/>
          <w:sz w:val="32"/>
          <w:szCs w:val="32"/>
        </w:rPr>
      </w:pPr>
      <w:r>
        <w:rPr>
          <w:rFonts w:hint="eastAsia" w:ascii="仿宋" w:hAnsi="仿宋" w:eastAsia="仿宋" w:cs="仿宋"/>
          <w:bCs/>
          <w:sz w:val="32"/>
          <w:szCs w:val="32"/>
        </w:rPr>
        <w:t>6、“三公经费”控制率2分，由于年度实际接待支出小于年初预算数，三公经费控制率小于1。</w:t>
      </w:r>
    </w:p>
    <w:p w14:paraId="5E3C23EE">
      <w:pPr>
        <w:pStyle w:val="6"/>
        <w:spacing w:before="0" w:beforeAutospacing="0" w:after="0" w:afterAutospacing="0"/>
        <w:ind w:firstLine="640" w:firstLineChars="200"/>
        <w:jc w:val="both"/>
        <w:rPr>
          <w:rFonts w:hint="eastAsia" w:ascii="仿宋" w:hAnsi="仿宋" w:eastAsia="仿宋" w:cs="仿宋"/>
          <w:bCs/>
          <w:sz w:val="32"/>
          <w:szCs w:val="32"/>
        </w:rPr>
      </w:pPr>
      <w:r>
        <w:rPr>
          <w:rFonts w:hint="eastAsia" w:ascii="仿宋" w:hAnsi="仿宋" w:eastAsia="仿宋" w:cs="仿宋"/>
          <w:bCs/>
          <w:color w:val="030303"/>
          <w:sz w:val="32"/>
          <w:szCs w:val="32"/>
        </w:rPr>
        <w:t>7、</w:t>
      </w:r>
      <w:r>
        <w:rPr>
          <w:rFonts w:hint="eastAsia" w:ascii="仿宋" w:hAnsi="仿宋" w:eastAsia="仿宋" w:cs="仿宋"/>
          <w:bCs/>
          <w:sz w:val="32"/>
          <w:szCs w:val="32"/>
        </w:rPr>
        <w:t>政府采购节支率得</w:t>
      </w:r>
      <w:r>
        <w:rPr>
          <w:rFonts w:hint="eastAsia" w:ascii="仿宋" w:hAnsi="仿宋" w:eastAsia="仿宋" w:cs="仿宋"/>
          <w:bCs/>
          <w:sz w:val="32"/>
          <w:szCs w:val="32"/>
          <w:lang w:val="en-US" w:eastAsia="zh-CN"/>
        </w:rPr>
        <w:t>2</w:t>
      </w:r>
      <w:r>
        <w:rPr>
          <w:rFonts w:hint="eastAsia" w:ascii="仿宋" w:hAnsi="仿宋" w:eastAsia="仿宋" w:cs="仿宋"/>
          <w:bCs/>
          <w:sz w:val="32"/>
          <w:szCs w:val="32"/>
        </w:rPr>
        <w:t>分（</w:t>
      </w:r>
      <w:r>
        <w:rPr>
          <w:rFonts w:hint="eastAsia" w:ascii="仿宋" w:hAnsi="仿宋" w:eastAsia="仿宋" w:cs="仿宋"/>
          <w:sz w:val="32"/>
          <w:szCs w:val="32"/>
        </w:rPr>
        <w:t>节资率=（预算资金-实际政府采购金额/预算资金）×100%，本年度发生政府采购货物支出17.98万元，采购、验收符合程序，计满分</w:t>
      </w:r>
      <w:r>
        <w:rPr>
          <w:rFonts w:hint="eastAsia" w:ascii="仿宋" w:hAnsi="仿宋" w:eastAsia="仿宋" w:cs="仿宋"/>
          <w:bCs/>
          <w:sz w:val="32"/>
          <w:szCs w:val="32"/>
        </w:rPr>
        <w:t>）；</w:t>
      </w:r>
    </w:p>
    <w:p w14:paraId="58404681">
      <w:pPr>
        <w:pStyle w:val="6"/>
        <w:spacing w:before="0" w:beforeAutospacing="0" w:after="0" w:afterAutospacing="0"/>
        <w:ind w:firstLine="640" w:firstLineChars="200"/>
        <w:rPr>
          <w:rFonts w:hint="eastAsia" w:ascii="仿宋" w:hAnsi="仿宋" w:eastAsia="仿宋" w:cs="仿宋"/>
          <w:bCs/>
          <w:color w:val="030303"/>
          <w:sz w:val="32"/>
          <w:szCs w:val="32"/>
        </w:rPr>
      </w:pPr>
      <w:r>
        <w:rPr>
          <w:rFonts w:hint="eastAsia" w:ascii="仿宋" w:hAnsi="仿宋" w:eastAsia="仿宋" w:cs="仿宋"/>
          <w:bCs/>
          <w:sz w:val="32"/>
          <w:szCs w:val="32"/>
        </w:rPr>
        <w:t>8、政府采购执行率得2分（本单位严格按政府采购标准执行采购）;</w:t>
      </w:r>
    </w:p>
    <w:p w14:paraId="7CADAD59">
      <w:pPr>
        <w:pStyle w:val="6"/>
        <w:spacing w:before="0" w:beforeAutospacing="0" w:after="0" w:afterAutospacing="0"/>
        <w:ind w:firstLine="480"/>
        <w:jc w:val="both"/>
        <w:rPr>
          <w:rFonts w:hint="eastAsia" w:ascii="仿宋" w:hAnsi="仿宋" w:eastAsia="仿宋" w:cs="仿宋"/>
          <w:bCs/>
          <w:color w:val="030303"/>
          <w:sz w:val="32"/>
          <w:szCs w:val="32"/>
        </w:rPr>
      </w:pPr>
      <w:r>
        <w:rPr>
          <w:rFonts w:hint="eastAsia" w:ascii="仿宋" w:hAnsi="仿宋" w:eastAsia="仿宋" w:cs="仿宋"/>
          <w:bCs/>
          <w:sz w:val="32"/>
          <w:szCs w:val="32"/>
        </w:rPr>
        <w:t>（四）预算管理得10分</w:t>
      </w:r>
    </w:p>
    <w:p w14:paraId="4E7FFB05">
      <w:pPr>
        <w:pStyle w:val="6"/>
        <w:spacing w:before="0" w:beforeAutospacing="0" w:after="0" w:afterAutospacing="0"/>
        <w:ind w:firstLine="640" w:firstLineChars="200"/>
        <w:jc w:val="both"/>
        <w:rPr>
          <w:rFonts w:hint="eastAsia" w:ascii="仿宋" w:hAnsi="仿宋" w:eastAsia="仿宋" w:cs="仿宋"/>
          <w:bCs/>
          <w:color w:val="030303"/>
          <w:sz w:val="32"/>
          <w:szCs w:val="32"/>
        </w:rPr>
      </w:pPr>
      <w:r>
        <w:rPr>
          <w:rFonts w:hint="eastAsia" w:ascii="仿宋" w:hAnsi="仿宋" w:eastAsia="仿宋" w:cs="仿宋"/>
          <w:bCs/>
          <w:sz w:val="32"/>
          <w:szCs w:val="32"/>
        </w:rPr>
        <w:t>1、管理制度健全性得2分（本单位制订了财务管理制度，依据财经相关法律法规规定我们在制度中明确了</w:t>
      </w:r>
      <w:r>
        <w:rPr>
          <w:rFonts w:hint="eastAsia" w:ascii="仿宋" w:hAnsi="仿宋" w:eastAsia="仿宋" w:cs="仿宋"/>
          <w:sz w:val="32"/>
          <w:szCs w:val="32"/>
        </w:rPr>
        <w:t>内部财务预算管理、支出审批审核、会计核算、厉行节约、资金及资产管理等一系列管理要求，并在实际管理过程中得到有效实施</w:t>
      </w:r>
      <w:r>
        <w:rPr>
          <w:rFonts w:hint="eastAsia" w:ascii="仿宋" w:hAnsi="仿宋" w:eastAsia="仿宋" w:cs="仿宋"/>
          <w:bCs/>
          <w:sz w:val="32"/>
          <w:szCs w:val="32"/>
        </w:rPr>
        <w:t>）；</w:t>
      </w:r>
    </w:p>
    <w:p w14:paraId="4FFEE8CF">
      <w:pPr>
        <w:pStyle w:val="6"/>
        <w:spacing w:before="0" w:beforeAutospacing="0" w:after="0" w:afterAutospacing="0"/>
        <w:ind w:firstLine="640" w:firstLineChars="200"/>
        <w:jc w:val="both"/>
        <w:rPr>
          <w:rFonts w:hint="eastAsia" w:ascii="仿宋" w:hAnsi="仿宋" w:eastAsia="仿宋" w:cs="仿宋"/>
          <w:bCs/>
          <w:sz w:val="32"/>
          <w:szCs w:val="32"/>
        </w:rPr>
      </w:pPr>
      <w:r>
        <w:rPr>
          <w:rFonts w:hint="eastAsia" w:ascii="仿宋" w:hAnsi="仿宋" w:eastAsia="仿宋" w:cs="仿宋"/>
          <w:bCs/>
          <w:sz w:val="32"/>
          <w:szCs w:val="32"/>
        </w:rPr>
        <w:t>2、资金使用合规性得4分（</w:t>
      </w:r>
      <w:r>
        <w:rPr>
          <w:rFonts w:hint="eastAsia" w:ascii="仿宋" w:hAnsi="仿宋" w:eastAsia="仿宋" w:cs="仿宋"/>
          <w:sz w:val="32"/>
          <w:szCs w:val="32"/>
        </w:rPr>
        <w:t>支出符合国家财政法规和财务管理制度规定，对项目资金严格实行专款专用;资金拨付严格审批审核程序，严格按预算批复要求使用资金，资金使用无截留、挤占、挪用、虚列支出等情况</w:t>
      </w:r>
      <w:r>
        <w:rPr>
          <w:rFonts w:hint="eastAsia" w:ascii="仿宋" w:hAnsi="仿宋" w:eastAsia="仿宋" w:cs="仿宋"/>
          <w:bCs/>
          <w:sz w:val="32"/>
          <w:szCs w:val="32"/>
        </w:rPr>
        <w:t>）；</w:t>
      </w:r>
    </w:p>
    <w:p w14:paraId="46427ACF">
      <w:pPr>
        <w:pStyle w:val="6"/>
        <w:spacing w:before="0" w:beforeAutospacing="0" w:after="0" w:afterAutospacing="0"/>
        <w:ind w:firstLine="640" w:firstLineChars="200"/>
        <w:jc w:val="both"/>
        <w:rPr>
          <w:rFonts w:hint="eastAsia" w:ascii="仿宋" w:hAnsi="仿宋" w:eastAsia="仿宋" w:cs="仿宋"/>
          <w:bCs/>
          <w:color w:val="030303"/>
          <w:sz w:val="32"/>
          <w:szCs w:val="32"/>
        </w:rPr>
      </w:pPr>
      <w:r>
        <w:rPr>
          <w:rFonts w:hint="eastAsia" w:ascii="仿宋" w:hAnsi="仿宋" w:eastAsia="仿宋" w:cs="仿宋"/>
          <w:bCs/>
          <w:sz w:val="32"/>
          <w:szCs w:val="32"/>
        </w:rPr>
        <w:t>3、预决算信息公开性得2分（对预决算我们严格按财政部门要求在财政规定网站进行公开公示）；</w:t>
      </w:r>
    </w:p>
    <w:p w14:paraId="7527882D">
      <w:pPr>
        <w:pStyle w:val="6"/>
        <w:spacing w:before="0" w:beforeAutospacing="0" w:after="0" w:afterAutospacing="0"/>
        <w:ind w:firstLine="640" w:firstLineChars="200"/>
        <w:jc w:val="both"/>
        <w:rPr>
          <w:rFonts w:hint="eastAsia" w:ascii="仿宋" w:hAnsi="仿宋" w:eastAsia="仿宋" w:cs="仿宋"/>
          <w:bCs/>
          <w:color w:val="030303"/>
          <w:sz w:val="32"/>
          <w:szCs w:val="32"/>
        </w:rPr>
      </w:pPr>
      <w:r>
        <w:rPr>
          <w:rFonts w:hint="eastAsia" w:ascii="仿宋" w:hAnsi="仿宋" w:eastAsia="仿宋" w:cs="仿宋"/>
          <w:bCs/>
          <w:sz w:val="32"/>
          <w:szCs w:val="32"/>
        </w:rPr>
        <w:t>4、基础信息完善性2分（对于</w:t>
      </w:r>
      <w:r>
        <w:rPr>
          <w:rFonts w:hint="eastAsia" w:ascii="仿宋" w:hAnsi="仿宋" w:eastAsia="仿宋" w:cs="仿宋"/>
          <w:sz w:val="32"/>
          <w:szCs w:val="32"/>
        </w:rPr>
        <w:t>基础数据信息和会计信息资料我们做到了</w:t>
      </w:r>
      <w:r>
        <w:rPr>
          <w:rFonts w:hint="eastAsia" w:ascii="仿宋" w:hAnsi="仿宋" w:eastAsia="仿宋" w:cs="仿宋"/>
          <w:bCs/>
          <w:sz w:val="32"/>
          <w:szCs w:val="32"/>
        </w:rPr>
        <w:t>真实、完整、准确无误）；</w:t>
      </w:r>
    </w:p>
    <w:p w14:paraId="5F63352E">
      <w:pPr>
        <w:pStyle w:val="6"/>
        <w:spacing w:before="0" w:beforeAutospacing="0" w:after="0" w:afterAutospacing="0"/>
        <w:ind w:firstLine="480"/>
        <w:jc w:val="both"/>
        <w:rPr>
          <w:rFonts w:hint="eastAsia" w:ascii="仿宋" w:hAnsi="仿宋" w:eastAsia="仿宋" w:cs="仿宋"/>
          <w:bCs/>
          <w:sz w:val="32"/>
          <w:szCs w:val="32"/>
        </w:rPr>
      </w:pPr>
      <w:r>
        <w:rPr>
          <w:rFonts w:hint="eastAsia" w:ascii="仿宋" w:hAnsi="仿宋" w:eastAsia="仿宋" w:cs="仿宋"/>
          <w:bCs/>
          <w:sz w:val="32"/>
          <w:szCs w:val="32"/>
        </w:rPr>
        <w:t xml:space="preserve"> （五）资产管理得</w:t>
      </w:r>
      <w:r>
        <w:rPr>
          <w:rFonts w:hint="eastAsia" w:ascii="仿宋" w:hAnsi="仿宋" w:eastAsia="仿宋" w:cs="仿宋"/>
          <w:bCs/>
          <w:sz w:val="32"/>
          <w:szCs w:val="32"/>
          <w:lang w:val="en-US" w:eastAsia="zh-CN"/>
        </w:rPr>
        <w:t>6</w:t>
      </w:r>
      <w:r>
        <w:rPr>
          <w:rFonts w:hint="eastAsia" w:ascii="仿宋" w:hAnsi="仿宋" w:eastAsia="仿宋" w:cs="仿宋"/>
          <w:bCs/>
          <w:sz w:val="32"/>
          <w:szCs w:val="32"/>
        </w:rPr>
        <w:t>分</w:t>
      </w:r>
    </w:p>
    <w:p w14:paraId="4424B17E">
      <w:pPr>
        <w:pStyle w:val="6"/>
        <w:spacing w:before="0" w:beforeAutospacing="0" w:after="0" w:afterAutospacing="0"/>
        <w:ind w:firstLine="640" w:firstLineChars="200"/>
        <w:jc w:val="both"/>
        <w:rPr>
          <w:rFonts w:hint="eastAsia" w:ascii="仿宋" w:hAnsi="仿宋" w:eastAsia="仿宋" w:cs="仿宋"/>
          <w:bCs/>
          <w:sz w:val="32"/>
          <w:szCs w:val="32"/>
        </w:rPr>
      </w:pPr>
      <w:r>
        <w:rPr>
          <w:rFonts w:hint="eastAsia" w:ascii="仿宋" w:hAnsi="仿宋" w:eastAsia="仿宋" w:cs="仿宋"/>
          <w:bCs/>
          <w:sz w:val="32"/>
          <w:szCs w:val="32"/>
        </w:rPr>
        <w:t>1</w:t>
      </w:r>
      <w:r>
        <w:rPr>
          <w:rFonts w:hint="eastAsia" w:ascii="仿宋" w:hAnsi="仿宋" w:eastAsia="仿宋" w:cs="仿宋"/>
          <w:bCs/>
          <w:sz w:val="32"/>
          <w:szCs w:val="32"/>
          <w:lang w:eastAsia="zh-CN"/>
        </w:rPr>
        <w:t>、</w:t>
      </w:r>
      <w:r>
        <w:rPr>
          <w:rFonts w:hint="eastAsia" w:ascii="仿宋" w:hAnsi="仿宋" w:eastAsia="仿宋" w:cs="仿宋"/>
          <w:bCs/>
          <w:sz w:val="32"/>
          <w:szCs w:val="32"/>
        </w:rPr>
        <w:t>管理制度健全性得</w:t>
      </w:r>
      <w:r>
        <w:rPr>
          <w:rFonts w:hint="eastAsia" w:ascii="仿宋" w:hAnsi="仿宋" w:eastAsia="仿宋" w:cs="仿宋"/>
          <w:bCs/>
          <w:sz w:val="32"/>
          <w:szCs w:val="32"/>
          <w:lang w:val="en-US" w:eastAsia="zh-CN"/>
        </w:rPr>
        <w:t>2</w:t>
      </w:r>
      <w:r>
        <w:rPr>
          <w:rFonts w:hint="eastAsia" w:ascii="仿宋" w:hAnsi="仿宋" w:eastAsia="仿宋" w:cs="仿宋"/>
          <w:bCs/>
          <w:sz w:val="32"/>
          <w:szCs w:val="32"/>
        </w:rPr>
        <w:t>分（根据单位具体情况制订财务制度中对于资产的管理和使用有明确的规定，并将付诸于实施落实）。</w:t>
      </w:r>
    </w:p>
    <w:p w14:paraId="4C6BFF02">
      <w:pPr>
        <w:pStyle w:val="6"/>
        <w:spacing w:before="0" w:beforeAutospacing="0" w:after="0" w:afterAutospacing="0"/>
        <w:ind w:firstLine="640" w:firstLineChars="200"/>
        <w:jc w:val="both"/>
        <w:rPr>
          <w:rFonts w:hint="eastAsia" w:ascii="仿宋" w:hAnsi="仿宋" w:eastAsia="仿宋" w:cs="仿宋"/>
          <w:bCs/>
          <w:sz w:val="32"/>
          <w:szCs w:val="32"/>
        </w:rPr>
      </w:pPr>
      <w:r>
        <w:rPr>
          <w:rFonts w:hint="eastAsia" w:ascii="仿宋" w:hAnsi="仿宋" w:eastAsia="仿宋" w:cs="仿宋"/>
          <w:bCs/>
          <w:sz w:val="32"/>
          <w:szCs w:val="32"/>
        </w:rPr>
        <w:t>2、资产管理安全性得</w:t>
      </w:r>
      <w:r>
        <w:rPr>
          <w:rFonts w:hint="eastAsia" w:ascii="仿宋" w:hAnsi="仿宋" w:eastAsia="仿宋" w:cs="仿宋"/>
          <w:bCs/>
          <w:sz w:val="32"/>
          <w:szCs w:val="32"/>
          <w:lang w:val="en-US" w:eastAsia="zh-CN"/>
        </w:rPr>
        <w:t>2.5</w:t>
      </w:r>
      <w:r>
        <w:rPr>
          <w:rFonts w:hint="eastAsia" w:ascii="仿宋" w:hAnsi="仿宋" w:eastAsia="仿宋" w:cs="仿宋"/>
          <w:bCs/>
          <w:sz w:val="32"/>
          <w:szCs w:val="32"/>
        </w:rPr>
        <w:t>分（通过具体实施管理我们做到了账实相符，定期盘点，建立详细的领用登记，使用保管</w:t>
      </w:r>
      <w:r>
        <w:rPr>
          <w:rFonts w:hint="eastAsia" w:ascii="仿宋" w:hAnsi="仿宋" w:eastAsia="仿宋" w:cs="仿宋"/>
          <w:bCs/>
          <w:sz w:val="32"/>
          <w:szCs w:val="32"/>
          <w:highlight w:val="none"/>
          <w:lang w:val="en-US" w:eastAsia="zh-CN"/>
        </w:rPr>
        <w:t>记</w:t>
      </w:r>
      <w:r>
        <w:rPr>
          <w:rFonts w:hint="eastAsia" w:ascii="仿宋" w:hAnsi="仿宋" w:eastAsia="仿宋" w:cs="仿宋"/>
          <w:bCs/>
          <w:sz w:val="32"/>
          <w:szCs w:val="32"/>
          <w:highlight w:val="none"/>
        </w:rPr>
        <w:t>录</w:t>
      </w:r>
      <w:r>
        <w:rPr>
          <w:rFonts w:hint="eastAsia" w:ascii="仿宋" w:hAnsi="仿宋" w:eastAsia="仿宋" w:cs="仿宋"/>
          <w:bCs/>
          <w:sz w:val="32"/>
          <w:szCs w:val="32"/>
        </w:rPr>
        <w:t>）；</w:t>
      </w:r>
    </w:p>
    <w:p w14:paraId="176552A4">
      <w:pPr>
        <w:pStyle w:val="6"/>
        <w:spacing w:before="0" w:beforeAutospacing="0" w:after="0" w:afterAutospacing="0"/>
        <w:ind w:firstLine="640" w:firstLineChars="200"/>
        <w:jc w:val="both"/>
        <w:rPr>
          <w:rFonts w:hint="eastAsia" w:ascii="仿宋" w:hAnsi="仿宋" w:eastAsia="仿宋" w:cs="仿宋"/>
          <w:bCs/>
          <w:sz w:val="32"/>
          <w:szCs w:val="32"/>
        </w:rPr>
      </w:pPr>
      <w:r>
        <w:rPr>
          <w:rFonts w:hint="eastAsia" w:ascii="仿宋" w:hAnsi="仿宋" w:eastAsia="仿宋" w:cs="仿宋"/>
          <w:bCs/>
          <w:sz w:val="32"/>
          <w:szCs w:val="32"/>
        </w:rPr>
        <w:t>3、 固定资产利用率得1</w:t>
      </w:r>
      <w:r>
        <w:rPr>
          <w:rFonts w:hint="eastAsia" w:ascii="仿宋" w:hAnsi="仿宋" w:eastAsia="仿宋" w:cs="仿宋"/>
          <w:bCs/>
          <w:sz w:val="32"/>
          <w:szCs w:val="32"/>
          <w:lang w:val="en-US" w:eastAsia="zh-CN"/>
        </w:rPr>
        <w:t>.5</w:t>
      </w:r>
      <w:r>
        <w:rPr>
          <w:rFonts w:hint="eastAsia" w:ascii="仿宋" w:hAnsi="仿宋" w:eastAsia="仿宋" w:cs="仿宋"/>
          <w:bCs/>
          <w:sz w:val="32"/>
          <w:szCs w:val="32"/>
        </w:rPr>
        <w:t>分；</w:t>
      </w:r>
    </w:p>
    <w:p w14:paraId="5248DF91">
      <w:pPr>
        <w:pStyle w:val="6"/>
        <w:spacing w:before="0" w:beforeAutospacing="0" w:after="0" w:afterAutospacing="0"/>
        <w:ind w:firstLine="640" w:firstLineChars="200"/>
        <w:jc w:val="both"/>
        <w:rPr>
          <w:rFonts w:hint="eastAsia" w:ascii="仿宋" w:hAnsi="仿宋" w:eastAsia="仿宋" w:cs="仿宋"/>
          <w:bCs/>
          <w:sz w:val="32"/>
          <w:szCs w:val="32"/>
        </w:rPr>
      </w:pPr>
      <w:r>
        <w:rPr>
          <w:rFonts w:hint="eastAsia" w:ascii="仿宋" w:hAnsi="仿宋" w:eastAsia="仿宋" w:cs="仿宋"/>
          <w:bCs/>
          <w:sz w:val="32"/>
          <w:szCs w:val="32"/>
        </w:rPr>
        <w:t>（六）职责履行得</w:t>
      </w:r>
      <w:r>
        <w:rPr>
          <w:rFonts w:hint="eastAsia" w:ascii="仿宋" w:hAnsi="仿宋" w:eastAsia="仿宋" w:cs="仿宋"/>
          <w:bCs/>
          <w:sz w:val="32"/>
          <w:szCs w:val="32"/>
          <w:lang w:val="en-US" w:eastAsia="zh-CN"/>
        </w:rPr>
        <w:t>26</w:t>
      </w:r>
      <w:r>
        <w:rPr>
          <w:rFonts w:hint="eastAsia" w:ascii="仿宋" w:hAnsi="仿宋" w:eastAsia="仿宋" w:cs="仿宋"/>
          <w:bCs/>
          <w:sz w:val="32"/>
          <w:szCs w:val="32"/>
        </w:rPr>
        <w:t>分。2023年我单位在全体干部职工的共同努力下圆满出色完成了各项工作目标和任务。</w:t>
      </w:r>
    </w:p>
    <w:p w14:paraId="4D31CBC1">
      <w:pPr>
        <w:pStyle w:val="6"/>
        <w:spacing w:before="0" w:beforeAutospacing="0" w:after="0" w:afterAutospacing="0"/>
        <w:ind w:firstLine="960" w:firstLineChars="300"/>
        <w:jc w:val="both"/>
        <w:rPr>
          <w:rFonts w:hint="eastAsia" w:ascii="仿宋" w:hAnsi="仿宋" w:eastAsia="仿宋" w:cs="仿宋"/>
          <w:bCs/>
          <w:sz w:val="32"/>
          <w:szCs w:val="32"/>
        </w:rPr>
      </w:pPr>
      <w:r>
        <w:rPr>
          <w:rFonts w:hint="eastAsia" w:ascii="仿宋" w:hAnsi="仿宋" w:eastAsia="仿宋" w:cs="仿宋"/>
          <w:bCs/>
          <w:sz w:val="32"/>
          <w:szCs w:val="32"/>
        </w:rPr>
        <w:t>1、实际完成率得</w:t>
      </w:r>
      <w:r>
        <w:rPr>
          <w:rFonts w:hint="eastAsia" w:ascii="仿宋" w:hAnsi="仿宋" w:eastAsia="仿宋" w:cs="仿宋"/>
          <w:bCs/>
          <w:sz w:val="32"/>
          <w:szCs w:val="32"/>
          <w:lang w:val="en-US" w:eastAsia="zh-CN"/>
        </w:rPr>
        <w:t>8</w:t>
      </w:r>
      <w:r>
        <w:rPr>
          <w:rFonts w:hint="eastAsia" w:ascii="仿宋" w:hAnsi="仿宋" w:eastAsia="仿宋" w:cs="仿宋"/>
          <w:bCs/>
          <w:sz w:val="32"/>
          <w:szCs w:val="32"/>
        </w:rPr>
        <w:t>分；</w:t>
      </w:r>
    </w:p>
    <w:p w14:paraId="61012DC7">
      <w:pPr>
        <w:pStyle w:val="6"/>
        <w:spacing w:before="0" w:beforeAutospacing="0" w:after="0" w:afterAutospacing="0"/>
        <w:ind w:firstLine="1049" w:firstLineChars="328"/>
        <w:jc w:val="both"/>
        <w:rPr>
          <w:rFonts w:hint="eastAsia" w:ascii="仿宋" w:hAnsi="仿宋" w:eastAsia="仿宋" w:cs="仿宋"/>
          <w:bCs/>
          <w:sz w:val="32"/>
          <w:szCs w:val="32"/>
        </w:rPr>
      </w:pPr>
      <w:r>
        <w:rPr>
          <w:rFonts w:hint="eastAsia" w:ascii="仿宋" w:hAnsi="仿宋" w:eastAsia="仿宋" w:cs="仿宋"/>
          <w:bCs/>
          <w:sz w:val="32"/>
          <w:szCs w:val="32"/>
        </w:rPr>
        <w:t>2、完成及时率得</w:t>
      </w:r>
      <w:r>
        <w:rPr>
          <w:rFonts w:hint="eastAsia" w:ascii="仿宋" w:hAnsi="仿宋" w:eastAsia="仿宋" w:cs="仿宋"/>
          <w:bCs/>
          <w:sz w:val="32"/>
          <w:szCs w:val="32"/>
          <w:lang w:val="en-US" w:eastAsia="zh-CN"/>
        </w:rPr>
        <w:t>8</w:t>
      </w:r>
      <w:r>
        <w:rPr>
          <w:rFonts w:hint="eastAsia" w:ascii="仿宋" w:hAnsi="仿宋" w:eastAsia="仿宋" w:cs="仿宋"/>
          <w:bCs/>
          <w:sz w:val="32"/>
          <w:szCs w:val="32"/>
        </w:rPr>
        <w:t>分；</w:t>
      </w:r>
    </w:p>
    <w:p w14:paraId="1F55C30F">
      <w:pPr>
        <w:pStyle w:val="6"/>
        <w:spacing w:before="0" w:beforeAutospacing="0" w:after="0" w:afterAutospacing="0"/>
        <w:ind w:firstLine="1049" w:firstLineChars="328"/>
        <w:jc w:val="both"/>
        <w:rPr>
          <w:rFonts w:hint="eastAsia" w:ascii="仿宋" w:hAnsi="仿宋" w:eastAsia="仿宋" w:cs="仿宋"/>
          <w:bCs/>
          <w:sz w:val="32"/>
          <w:szCs w:val="32"/>
        </w:rPr>
      </w:pPr>
      <w:r>
        <w:rPr>
          <w:rFonts w:hint="eastAsia" w:ascii="仿宋" w:hAnsi="仿宋" w:eastAsia="仿宋" w:cs="仿宋"/>
          <w:bCs/>
          <w:sz w:val="32"/>
          <w:szCs w:val="32"/>
        </w:rPr>
        <w:t>3、质量达标率得</w:t>
      </w:r>
      <w:r>
        <w:rPr>
          <w:rFonts w:hint="eastAsia" w:ascii="仿宋" w:hAnsi="仿宋" w:eastAsia="仿宋" w:cs="仿宋"/>
          <w:bCs/>
          <w:sz w:val="32"/>
          <w:szCs w:val="32"/>
          <w:lang w:val="en-US" w:eastAsia="zh-CN"/>
        </w:rPr>
        <w:t>5</w:t>
      </w:r>
      <w:r>
        <w:rPr>
          <w:rFonts w:hint="eastAsia" w:ascii="仿宋" w:hAnsi="仿宋" w:eastAsia="仿宋" w:cs="仿宋"/>
          <w:bCs/>
          <w:sz w:val="32"/>
          <w:szCs w:val="32"/>
        </w:rPr>
        <w:t>分；</w:t>
      </w:r>
    </w:p>
    <w:p w14:paraId="7454AA60">
      <w:pPr>
        <w:pStyle w:val="6"/>
        <w:spacing w:before="0" w:beforeAutospacing="0" w:after="0" w:afterAutospacing="0"/>
        <w:ind w:firstLine="1049" w:firstLineChars="328"/>
        <w:jc w:val="both"/>
        <w:rPr>
          <w:rFonts w:hint="eastAsia" w:ascii="仿宋" w:hAnsi="仿宋" w:eastAsia="仿宋" w:cs="仿宋"/>
          <w:bCs/>
          <w:sz w:val="32"/>
          <w:szCs w:val="32"/>
        </w:rPr>
      </w:pPr>
      <w:r>
        <w:rPr>
          <w:rFonts w:hint="eastAsia" w:ascii="仿宋" w:hAnsi="仿宋" w:eastAsia="仿宋" w:cs="仿宋"/>
          <w:bCs/>
          <w:sz w:val="32"/>
          <w:szCs w:val="32"/>
        </w:rPr>
        <w:t>4、重点工作办结率得</w:t>
      </w:r>
      <w:r>
        <w:rPr>
          <w:rFonts w:hint="eastAsia" w:ascii="仿宋" w:hAnsi="仿宋" w:eastAsia="仿宋" w:cs="仿宋"/>
          <w:bCs/>
          <w:sz w:val="32"/>
          <w:szCs w:val="32"/>
          <w:lang w:val="en-US" w:eastAsia="zh-CN"/>
        </w:rPr>
        <w:t>5</w:t>
      </w:r>
      <w:r>
        <w:rPr>
          <w:rFonts w:hint="eastAsia" w:ascii="仿宋" w:hAnsi="仿宋" w:eastAsia="仿宋" w:cs="仿宋"/>
          <w:bCs/>
          <w:sz w:val="32"/>
          <w:szCs w:val="32"/>
        </w:rPr>
        <w:t>分；</w:t>
      </w:r>
    </w:p>
    <w:p w14:paraId="0762CC67">
      <w:pPr>
        <w:pStyle w:val="6"/>
        <w:spacing w:before="0" w:beforeAutospacing="0" w:after="0" w:afterAutospacing="0"/>
        <w:ind w:firstLine="640" w:firstLineChars="200"/>
        <w:jc w:val="both"/>
        <w:rPr>
          <w:rFonts w:hint="eastAsia" w:ascii="仿宋" w:hAnsi="仿宋" w:eastAsia="仿宋" w:cs="仿宋"/>
          <w:bCs/>
          <w:sz w:val="32"/>
          <w:szCs w:val="32"/>
        </w:rPr>
      </w:pPr>
      <w:r>
        <w:rPr>
          <w:rFonts w:hint="eastAsia" w:ascii="仿宋" w:hAnsi="仿宋" w:eastAsia="仿宋" w:cs="仿宋"/>
          <w:bCs/>
          <w:sz w:val="32"/>
          <w:szCs w:val="32"/>
        </w:rPr>
        <w:t>（七）履职效益得3</w:t>
      </w:r>
      <w:r>
        <w:rPr>
          <w:rFonts w:hint="eastAsia" w:ascii="仿宋" w:hAnsi="仿宋" w:eastAsia="仿宋" w:cs="仿宋"/>
          <w:bCs/>
          <w:sz w:val="32"/>
          <w:szCs w:val="32"/>
          <w:lang w:val="en-US" w:eastAsia="zh-CN"/>
        </w:rPr>
        <w:t>1</w:t>
      </w:r>
      <w:r>
        <w:rPr>
          <w:rFonts w:hint="eastAsia" w:ascii="仿宋" w:hAnsi="仿宋" w:eastAsia="仿宋" w:cs="仿宋"/>
          <w:bCs/>
          <w:sz w:val="32"/>
          <w:szCs w:val="32"/>
        </w:rPr>
        <w:t>分</w:t>
      </w:r>
    </w:p>
    <w:p w14:paraId="4A697190">
      <w:pPr>
        <w:pStyle w:val="6"/>
        <w:spacing w:before="0" w:beforeAutospacing="0" w:after="0" w:afterAutospacing="0"/>
        <w:ind w:firstLine="640" w:firstLineChars="200"/>
        <w:jc w:val="both"/>
        <w:rPr>
          <w:rFonts w:hint="eastAsia" w:ascii="仿宋" w:hAnsi="仿宋" w:eastAsia="仿宋" w:cs="仿宋"/>
          <w:bCs/>
          <w:color w:val="030303"/>
          <w:sz w:val="32"/>
          <w:szCs w:val="32"/>
        </w:rPr>
      </w:pPr>
      <w:r>
        <w:rPr>
          <w:rFonts w:hint="eastAsia" w:ascii="仿宋" w:hAnsi="仿宋" w:eastAsia="仿宋" w:cs="仿宋"/>
          <w:bCs/>
          <w:sz w:val="32"/>
          <w:szCs w:val="32"/>
        </w:rPr>
        <w:t>1、经济效益、社会效益、生态效益得1</w:t>
      </w:r>
      <w:r>
        <w:rPr>
          <w:rFonts w:hint="eastAsia" w:ascii="仿宋" w:hAnsi="仿宋" w:eastAsia="仿宋" w:cs="仿宋"/>
          <w:bCs/>
          <w:sz w:val="32"/>
          <w:szCs w:val="32"/>
          <w:lang w:val="en-US" w:eastAsia="zh-CN"/>
        </w:rPr>
        <w:t>6</w:t>
      </w:r>
      <w:r>
        <w:rPr>
          <w:rFonts w:hint="eastAsia" w:ascii="仿宋" w:hAnsi="仿宋" w:eastAsia="仿宋" w:cs="仿宋"/>
          <w:bCs/>
          <w:sz w:val="32"/>
          <w:szCs w:val="32"/>
        </w:rPr>
        <w:t>分：我单位在各方面工作都得到社会大众的肯定和好评。</w:t>
      </w:r>
    </w:p>
    <w:p w14:paraId="616B38CA">
      <w:pPr>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bCs/>
          <w:sz w:val="32"/>
          <w:szCs w:val="32"/>
          <w:lang w:val="en-US" w:eastAsia="zh-CN"/>
        </w:rPr>
        <w:t>2</w:t>
      </w:r>
      <w:r>
        <w:rPr>
          <w:rFonts w:hint="eastAsia" w:ascii="仿宋" w:hAnsi="仿宋" w:eastAsia="仿宋" w:cs="仿宋"/>
          <w:bCs/>
          <w:sz w:val="32"/>
          <w:szCs w:val="32"/>
        </w:rPr>
        <w:t>、社会公众或服务对象满意度得</w:t>
      </w:r>
      <w:r>
        <w:rPr>
          <w:rFonts w:hint="eastAsia" w:ascii="仿宋" w:hAnsi="仿宋" w:eastAsia="仿宋" w:cs="仿宋"/>
          <w:bCs/>
          <w:sz w:val="32"/>
          <w:szCs w:val="32"/>
          <w:lang w:val="en-US" w:eastAsia="zh-CN"/>
        </w:rPr>
        <w:t>15</w:t>
      </w:r>
      <w:r>
        <w:rPr>
          <w:rFonts w:hint="eastAsia" w:ascii="仿宋" w:hAnsi="仿宋" w:eastAsia="仿宋" w:cs="仿宋"/>
          <w:bCs/>
          <w:sz w:val="32"/>
          <w:szCs w:val="32"/>
        </w:rPr>
        <w:t>分：在年度绩效考核中成绩优异。</w:t>
      </w:r>
    </w:p>
    <w:p w14:paraId="45E88A55">
      <w:pPr>
        <w:adjustRightInd w:val="0"/>
        <w:snapToGrid w:val="0"/>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四、存在的主要问题</w:t>
      </w:r>
    </w:p>
    <w:p w14:paraId="2035099B">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1.预算编制的口径与实际执行出现误差：按照现行的预算编制原则，人员经费和日常公用经费都是按照上年度反映的人数安排，而实际执行中单位工作人员往往有变动或流动。</w:t>
      </w:r>
    </w:p>
    <w:p w14:paraId="756D8C22">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2.预算编制的分类和实行执行出现脱节：预算编制的功能分类与经济分类不够细化，而实际支出中的情况更加多元化和明细化，出现了分类不一致的情况。</w:t>
      </w:r>
    </w:p>
    <w:p w14:paraId="38C96ECB">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3.部门整体支出不能很好的对比支出与成果，投入与产出效果，进而很难有针对性的发现问题，分析问题，提出解决方案。</w:t>
      </w:r>
    </w:p>
    <w:p w14:paraId="55B47919">
      <w:pPr>
        <w:adjustRightInd w:val="0"/>
        <w:snapToGrid w:val="0"/>
        <w:spacing w:line="560" w:lineRule="exact"/>
        <w:ind w:firstLine="643" w:firstLineChars="200"/>
        <w:rPr>
          <w:rFonts w:hint="eastAsia" w:ascii="仿宋" w:hAnsi="仿宋" w:eastAsia="仿宋" w:cs="仿宋"/>
          <w:b/>
          <w:sz w:val="32"/>
          <w:szCs w:val="32"/>
        </w:rPr>
      </w:pPr>
      <w:r>
        <w:rPr>
          <w:rFonts w:hint="eastAsia" w:ascii="仿宋" w:hAnsi="仿宋" w:eastAsia="仿宋" w:cs="仿宋"/>
          <w:b/>
          <w:sz w:val="32"/>
          <w:szCs w:val="32"/>
        </w:rPr>
        <w:t>五、改进措施和有关建议</w:t>
      </w:r>
    </w:p>
    <w:p w14:paraId="2F95A3FF">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1.进一步强化预算管理意识，预算编制前多与有关各方做好沟通衔接，提高预算编制的科学性、合理性、准确性和可控性。</w:t>
      </w:r>
    </w:p>
    <w:p w14:paraId="2690A548">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2.进一步推进预算绩效管理信息系统建设，完善绩效管理相关制度，提高可操作性。</w:t>
      </w:r>
    </w:p>
    <w:p w14:paraId="7ECAD392">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3.构建单位财务部门和业务部门共同参与、协调配合的绩效评价工作机制，落实 “谁干事谁花钱、谁花钱谁担责”的权责机制，提高财政资金使用效益。</w:t>
      </w:r>
    </w:p>
    <w:p w14:paraId="0FC47082">
      <w:pPr>
        <w:spacing w:line="560" w:lineRule="exact"/>
        <w:ind w:firstLine="640" w:firstLineChars="200"/>
        <w:rPr>
          <w:rFonts w:hint="eastAsia" w:ascii="仿宋" w:hAnsi="仿宋" w:eastAsia="仿宋" w:cs="仿宋"/>
          <w:sz w:val="32"/>
          <w:szCs w:val="32"/>
          <w:highlight w:val="yellow"/>
        </w:rPr>
      </w:pPr>
    </w:p>
    <w:p w14:paraId="67B90F9F">
      <w:pPr>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w:t>
      </w:r>
    </w:p>
    <w:p w14:paraId="12636EA0">
      <w:pPr>
        <w:adjustRightInd w:val="0"/>
        <w:snapToGrid w:val="0"/>
        <w:spacing w:line="560" w:lineRule="exact"/>
        <w:ind w:right="160"/>
        <w:jc w:val="right"/>
        <w:rPr>
          <w:rFonts w:ascii="华文楷体" w:hAnsi="华文楷体" w:eastAsia="华文楷体" w:cs="仿宋_GB2312"/>
          <w:sz w:val="28"/>
          <w:szCs w:val="28"/>
        </w:rPr>
      </w:pPr>
      <w:r>
        <w:rPr>
          <w:rFonts w:hint="eastAsia" w:ascii="仿宋" w:hAnsi="仿宋" w:eastAsia="仿宋" w:cs="仿宋"/>
          <w:sz w:val="32"/>
          <w:szCs w:val="32"/>
          <w:lang w:val="en-US" w:eastAsia="zh-CN"/>
        </w:rPr>
        <w:t>2023年12月31日</w:t>
      </w:r>
      <w:r>
        <w:rPr>
          <w:rFonts w:hint="eastAsia" w:ascii="仿宋" w:hAnsi="仿宋" w:eastAsia="仿宋" w:cs="仿宋"/>
          <w:sz w:val="32"/>
          <w:szCs w:val="32"/>
        </w:rPr>
        <w:t xml:space="preserve">    </w:t>
      </w:r>
      <w:r>
        <w:rPr>
          <w:rFonts w:hint="eastAsia" w:ascii="华文楷体" w:hAnsi="华文楷体" w:eastAsia="华文楷体" w:cs="仿宋_GB2312"/>
          <w:sz w:val="28"/>
          <w:szCs w:val="28"/>
        </w:rPr>
        <w:t xml:space="preserve">                     </w:t>
      </w:r>
    </w:p>
    <w:sectPr>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AD6407"/>
    <w:multiLevelType w:val="singleLevel"/>
    <w:tmpl w:val="D4AD6407"/>
    <w:lvl w:ilvl="0" w:tentative="0">
      <w:start w:val="1"/>
      <w:numFmt w:val="decimal"/>
      <w:suff w:val="nothing"/>
      <w:lvlText w:val="%1、"/>
      <w:lvlJc w:val="left"/>
    </w:lvl>
  </w:abstractNum>
  <w:abstractNum w:abstractNumId="1">
    <w:nsid w:val="045D1728"/>
    <w:multiLevelType w:val="singleLevel"/>
    <w:tmpl w:val="045D1728"/>
    <w:lvl w:ilvl="0" w:tentative="0">
      <w:start w:val="3"/>
      <w:numFmt w:val="chineseCounting"/>
      <w:suff w:val="nothing"/>
      <w:lvlText w:val="（%1）"/>
      <w:lvlJc w:val="left"/>
      <w:pPr>
        <w:ind w:left="-10"/>
      </w:pPr>
      <w:rPr>
        <w:rFonts w:hint="eastAsia"/>
      </w:rPr>
    </w:lvl>
  </w:abstractNum>
  <w:abstractNum w:abstractNumId="2">
    <w:nsid w:val="633B043E"/>
    <w:multiLevelType w:val="singleLevel"/>
    <w:tmpl w:val="633B043E"/>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lNWE5ZjVkOThjNTllOTUxY2ZiZWYyMDlmYWFkN2QifQ=="/>
  </w:docVars>
  <w:rsids>
    <w:rsidRoot w:val="00006FAB"/>
    <w:rsid w:val="00006FAB"/>
    <w:rsid w:val="000C6B11"/>
    <w:rsid w:val="001B22FB"/>
    <w:rsid w:val="00361134"/>
    <w:rsid w:val="003C3394"/>
    <w:rsid w:val="003F46FB"/>
    <w:rsid w:val="004D2881"/>
    <w:rsid w:val="004E0163"/>
    <w:rsid w:val="00507604"/>
    <w:rsid w:val="006C4110"/>
    <w:rsid w:val="00932D70"/>
    <w:rsid w:val="00994ADF"/>
    <w:rsid w:val="00A724B5"/>
    <w:rsid w:val="00BA43ED"/>
    <w:rsid w:val="00C6557A"/>
    <w:rsid w:val="00DA76EE"/>
    <w:rsid w:val="00FF688D"/>
    <w:rsid w:val="01964C36"/>
    <w:rsid w:val="02DC3EDD"/>
    <w:rsid w:val="04FB2A81"/>
    <w:rsid w:val="08B301B5"/>
    <w:rsid w:val="0BDC0CF3"/>
    <w:rsid w:val="12517446"/>
    <w:rsid w:val="157206C1"/>
    <w:rsid w:val="163D5BF9"/>
    <w:rsid w:val="19DE09C2"/>
    <w:rsid w:val="1A6A0450"/>
    <w:rsid w:val="1FBE35D2"/>
    <w:rsid w:val="2A931C35"/>
    <w:rsid w:val="2B6752A2"/>
    <w:rsid w:val="2D2332CF"/>
    <w:rsid w:val="30A37B79"/>
    <w:rsid w:val="31281947"/>
    <w:rsid w:val="337B7D01"/>
    <w:rsid w:val="337C098D"/>
    <w:rsid w:val="340C71B6"/>
    <w:rsid w:val="3432255C"/>
    <w:rsid w:val="3AB807D8"/>
    <w:rsid w:val="3BF76953"/>
    <w:rsid w:val="44226D7A"/>
    <w:rsid w:val="47CA4B6D"/>
    <w:rsid w:val="48B25912"/>
    <w:rsid w:val="4A7639C2"/>
    <w:rsid w:val="4AAA348D"/>
    <w:rsid w:val="4AAB292B"/>
    <w:rsid w:val="4B35795A"/>
    <w:rsid w:val="4CE05860"/>
    <w:rsid w:val="4DBA25C8"/>
    <w:rsid w:val="4EC317CF"/>
    <w:rsid w:val="502473D1"/>
    <w:rsid w:val="53926C62"/>
    <w:rsid w:val="55C84CCF"/>
    <w:rsid w:val="576A537F"/>
    <w:rsid w:val="57AE684B"/>
    <w:rsid w:val="5B6519F8"/>
    <w:rsid w:val="5BCB6163"/>
    <w:rsid w:val="5D8544D0"/>
    <w:rsid w:val="60433739"/>
    <w:rsid w:val="620505FA"/>
    <w:rsid w:val="65163E6B"/>
    <w:rsid w:val="65AE40CC"/>
    <w:rsid w:val="65C866F7"/>
    <w:rsid w:val="6C350865"/>
    <w:rsid w:val="6E042A7B"/>
    <w:rsid w:val="70350E1A"/>
    <w:rsid w:val="70A3794F"/>
    <w:rsid w:val="70B0102E"/>
    <w:rsid w:val="73B861AD"/>
    <w:rsid w:val="77300CCA"/>
    <w:rsid w:val="777D3C34"/>
    <w:rsid w:val="78A9749E"/>
    <w:rsid w:val="7A3822CF"/>
    <w:rsid w:val="7A7C783B"/>
    <w:rsid w:val="7C8C7AF8"/>
    <w:rsid w:val="7F5C0C91"/>
    <w:rsid w:val="7FAD7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line="576" w:lineRule="auto"/>
      <w:outlineLvl w:val="0"/>
    </w:pPr>
    <w:rPr>
      <w:b/>
      <w:kern w:val="44"/>
      <w:sz w:val="44"/>
    </w:rPr>
  </w:style>
  <w:style w:type="paragraph" w:styleId="3">
    <w:name w:val="heading 2"/>
    <w:basedOn w:val="1"/>
    <w:next w:val="1"/>
    <w:autoRedefine/>
    <w:unhideWhenUsed/>
    <w:qFormat/>
    <w:uiPriority w:val="0"/>
    <w:pPr>
      <w:keepNext/>
      <w:keepLines/>
      <w:spacing w:line="413" w:lineRule="auto"/>
      <w:outlineLvl w:val="1"/>
    </w:pPr>
    <w:rPr>
      <w:rFonts w:ascii="Arial" w:hAnsi="Arial" w:eastAsia="黑体"/>
      <w:b/>
      <w:sz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footer"/>
    <w:basedOn w:val="1"/>
    <w:link w:val="11"/>
    <w:autoRedefine/>
    <w:qFormat/>
    <w:uiPriority w:val="0"/>
    <w:pPr>
      <w:tabs>
        <w:tab w:val="center" w:pos="4153"/>
        <w:tab w:val="right" w:pos="8306"/>
      </w:tabs>
      <w:snapToGrid w:val="0"/>
      <w:jc w:val="left"/>
    </w:pPr>
    <w:rPr>
      <w:sz w:val="18"/>
      <w:szCs w:val="18"/>
    </w:rPr>
  </w:style>
  <w:style w:type="paragraph" w:styleId="5">
    <w:name w:val="header"/>
    <w:basedOn w:val="1"/>
    <w:link w:val="10"/>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customStyle="1" w:styleId="9">
    <w:name w:val="样式 首行缩进:  2 字符"/>
    <w:basedOn w:val="1"/>
    <w:autoRedefine/>
    <w:qFormat/>
    <w:uiPriority w:val="2"/>
    <w:pPr>
      <w:ind w:firstLine="200"/>
      <w:jc w:val="left"/>
    </w:pPr>
    <w:rPr>
      <w:kern w:val="1"/>
      <w:szCs w:val="20"/>
    </w:rPr>
  </w:style>
  <w:style w:type="character" w:customStyle="1" w:styleId="10">
    <w:name w:val="页眉 Char"/>
    <w:basedOn w:val="8"/>
    <w:link w:val="5"/>
    <w:autoRedefine/>
    <w:qFormat/>
    <w:uiPriority w:val="0"/>
    <w:rPr>
      <w:kern w:val="2"/>
      <w:sz w:val="18"/>
      <w:szCs w:val="18"/>
    </w:rPr>
  </w:style>
  <w:style w:type="character" w:customStyle="1" w:styleId="11">
    <w:name w:val="页脚 Char"/>
    <w:basedOn w:val="8"/>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3324</Words>
  <Characters>3670</Characters>
  <Lines>3</Lines>
  <Paragraphs>7</Paragraphs>
  <TotalTime>77</TotalTime>
  <ScaleCrop>false</ScaleCrop>
  <LinksUpToDate>false</LinksUpToDate>
  <CharactersWithSpaces>3729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2022-04-27T03:14:00Z</cp:lastPrinted>
  <dcterms:modified xsi:type="dcterms:W3CDTF">2024-10-17T08:03:22Z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9EC325EBC3AA4CE2B26999B5FAF6638E_13</vt:lpwstr>
  </property>
</Properties>
</file>