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theme="majorEastAsia"/>
          <w:b/>
          <w:bCs/>
          <w:kern w:val="0"/>
          <w:sz w:val="44"/>
          <w:szCs w:val="44"/>
        </w:rPr>
      </w:pPr>
    </w:p>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衡南县市场监督管理局</w:t>
      </w:r>
    </w:p>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部门整体支出绩效自评报告</w:t>
      </w:r>
    </w:p>
    <w:p/>
    <w:p/>
    <w:p/>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为全面贯彻落实《中共湖南省委办公厅 湖南省人民政府办公厅关于全面实施预算绩效管理的实施意见》（湘办发〔2019〕10号）、财政部《项目支出绩效评价管理办法》（财预〔2020〕10号）、《湖南省预算支出绩效评价管理办法》（湘财绩〔2020〕7号）等文件精神，我局就2023年度财政资金部门整体支出的使用情况开展绩效评价，自评报告如下：</w:t>
      </w:r>
    </w:p>
    <w:p>
      <w:pPr>
        <w:numPr>
          <w:ilvl w:val="0"/>
          <w:numId w:val="1"/>
        </w:num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部门基本情况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1.部门职责</w:t>
      </w:r>
    </w:p>
    <w:p>
      <w:pPr>
        <w:numPr>
          <w:ilvl w:val="0"/>
          <w:numId w:val="0"/>
        </w:numPr>
        <w:ind w:firstLine="640"/>
        <w:rPr>
          <w:rFonts w:hint="eastAsia" w:ascii="仿宋" w:hAnsi="仿宋" w:eastAsia="仿宋" w:cs="仿宋"/>
          <w:sz w:val="32"/>
          <w:szCs w:val="32"/>
        </w:rPr>
      </w:pPr>
      <w:r>
        <w:rPr>
          <w:rFonts w:hint="eastAsia" w:ascii="仿宋" w:hAnsi="仿宋" w:eastAsia="仿宋" w:cs="仿宋"/>
          <w:sz w:val="32"/>
          <w:szCs w:val="32"/>
          <w:lang w:val="en-US" w:eastAsia="zh-CN"/>
        </w:rPr>
        <w:t>我</w:t>
      </w:r>
      <w:r>
        <w:rPr>
          <w:rFonts w:hint="eastAsia" w:ascii="仿宋" w:hAnsi="仿宋" w:eastAsia="仿宋" w:cs="仿宋"/>
          <w:sz w:val="32"/>
          <w:szCs w:val="32"/>
        </w:rPr>
        <w:t>局贯彻落实党中央关于市场监督管理工作的方针政策和决策部署,全面贯彻落实省委、市委</w:t>
      </w:r>
      <w:r>
        <w:rPr>
          <w:rFonts w:hint="eastAsia" w:ascii="仿宋" w:hAnsi="仿宋" w:eastAsia="仿宋" w:cs="仿宋"/>
          <w:sz w:val="32"/>
          <w:szCs w:val="32"/>
          <w:lang w:eastAsia="zh-CN"/>
        </w:rPr>
        <w:t>、</w:t>
      </w:r>
      <w:r>
        <w:rPr>
          <w:rFonts w:hint="eastAsia" w:ascii="仿宋" w:hAnsi="仿宋" w:eastAsia="仿宋" w:cs="仿宋"/>
          <w:sz w:val="32"/>
          <w:szCs w:val="32"/>
        </w:rPr>
        <w:t>县委关于市场监督管理工作的部署要求,在履行职责过程中坚持和加强党对市场监督管理工作的集中统一领导。</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2.机构设置情况</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全局共设内设办公室、政策法规股等机构</w:t>
      </w:r>
      <w:r>
        <w:rPr>
          <w:rFonts w:ascii="仿宋_GB2312" w:hAnsi="仿宋_GB2312" w:eastAsia="仿宋_GB2312" w:cs="仿宋_GB2312"/>
          <w:kern w:val="0"/>
          <w:sz w:val="32"/>
          <w:szCs w:val="32"/>
        </w:rPr>
        <w:t>26个，派出机构（乡镇监管所）1</w:t>
      </w:r>
      <w:r>
        <w:rPr>
          <w:rFonts w:hint="eastAsia" w:ascii="仿宋_GB2312" w:hAnsi="仿宋_GB2312" w:eastAsia="仿宋_GB2312" w:cs="仿宋_GB2312"/>
          <w:kern w:val="0"/>
          <w:sz w:val="32"/>
          <w:szCs w:val="32"/>
          <w:lang w:val="en-US" w:eastAsia="zh-CN"/>
        </w:rPr>
        <w:t>4</w:t>
      </w:r>
      <w:r>
        <w:rPr>
          <w:rFonts w:ascii="仿宋_GB2312" w:hAnsi="仿宋_GB2312" w:eastAsia="仿宋_GB2312" w:cs="仿宋_GB2312"/>
          <w:kern w:val="0"/>
          <w:sz w:val="32"/>
          <w:szCs w:val="32"/>
        </w:rPr>
        <w:t>个</w:t>
      </w:r>
      <w:r>
        <w:rPr>
          <w:rFonts w:hint="eastAsia" w:ascii="仿宋_GB2312" w:hAnsi="仿宋_GB2312" w:eastAsia="仿宋_GB2312" w:cs="仿宋_GB2312"/>
          <w:kern w:val="0"/>
          <w:sz w:val="32"/>
          <w:szCs w:val="32"/>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 w:hAnsi="仿宋" w:eastAsia="仿宋" w:cs="仿宋"/>
          <w:sz w:val="32"/>
          <w:szCs w:val="32"/>
          <w:lang w:val="en-US" w:eastAsia="zh-CN"/>
        </w:rPr>
        <w:t>人员编制情况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在职干部职工238人，其中,行政编制82人，全额事业编107人，差额编制30人，自费编制19</w:t>
      </w:r>
      <w:bookmarkStart w:id="0" w:name="_GoBack"/>
      <w:bookmarkEnd w:id="0"/>
      <w:r>
        <w:rPr>
          <w:rFonts w:hint="eastAsia" w:ascii="仿宋" w:hAnsi="仿宋" w:eastAsia="仿宋" w:cs="仿宋"/>
          <w:sz w:val="32"/>
          <w:szCs w:val="32"/>
          <w:lang w:val="en-US" w:eastAsia="zh-CN"/>
        </w:rPr>
        <w:t>人。</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二、部门整体支出管理及使用情况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1.部门预算收支情况（含公共财政拨款、政府性基金拨款、纳入专户管理的非税收入拨款及其他资金）及部门决算情况。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2023年度年初经费预算安排数为2790.33万元，其中：基本支出2531.33万元，项目支出259万元，年中追加财政预算1746.65万元，其中包括追加人员经费、公用经费等基本支出2227.81万元，追加知识产权工作资金、食品抽检等项目经费2050.17万元。</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2.支出分类情况</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部门整体支出分为基本支出和项目支出两部分，其中基本支出2227.81万元，项目支出2309.17万元，2023年支出决算数合计4536.98万元。具体分类情况如下：</w:t>
      </w:r>
    </w:p>
    <w:p>
      <w:pPr>
        <w:numPr>
          <w:ilvl w:val="0"/>
          <w:numId w:val="0"/>
        </w:numPr>
        <w:ind w:firstLine="64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年基本支出主要用于人员经费和日常公用经费。其中：工资福利支出</w:t>
      </w:r>
      <w:r>
        <w:rPr>
          <w:rFonts w:hint="eastAsia" w:ascii="仿宋" w:hAnsi="仿宋" w:eastAsia="仿宋" w:cs="仿宋"/>
          <w:sz w:val="32"/>
          <w:szCs w:val="32"/>
          <w:lang w:val="en-US" w:eastAsia="zh-CN"/>
        </w:rPr>
        <w:t>1925.41</w:t>
      </w:r>
      <w:r>
        <w:rPr>
          <w:rFonts w:hint="default" w:ascii="仿宋" w:hAnsi="仿宋" w:eastAsia="仿宋" w:cs="仿宋"/>
          <w:sz w:val="32"/>
          <w:szCs w:val="32"/>
          <w:lang w:val="en-US" w:eastAsia="zh-CN"/>
        </w:rPr>
        <w:t>万元，商品和服务支出</w:t>
      </w:r>
      <w:r>
        <w:rPr>
          <w:rFonts w:hint="eastAsia" w:ascii="仿宋" w:hAnsi="仿宋" w:eastAsia="仿宋" w:cs="仿宋"/>
          <w:sz w:val="32"/>
          <w:szCs w:val="32"/>
          <w:lang w:val="en-US" w:eastAsia="zh-CN"/>
        </w:rPr>
        <w:t>192.26</w:t>
      </w:r>
      <w:r>
        <w:rPr>
          <w:rFonts w:hint="default" w:ascii="仿宋" w:hAnsi="仿宋" w:eastAsia="仿宋" w:cs="仿宋"/>
          <w:sz w:val="32"/>
          <w:szCs w:val="32"/>
          <w:lang w:val="en-US" w:eastAsia="zh-CN"/>
        </w:rPr>
        <w:t>万元，对个人和家庭补助</w:t>
      </w:r>
      <w:r>
        <w:rPr>
          <w:rFonts w:hint="eastAsia" w:ascii="仿宋" w:hAnsi="仿宋" w:eastAsia="仿宋" w:cs="仿宋"/>
          <w:sz w:val="32"/>
          <w:szCs w:val="32"/>
          <w:lang w:val="en-US" w:eastAsia="zh-CN"/>
        </w:rPr>
        <w:t>101.75</w:t>
      </w:r>
      <w:r>
        <w:rPr>
          <w:rFonts w:hint="default" w:ascii="仿宋" w:hAnsi="仿宋" w:eastAsia="仿宋" w:cs="仿宋"/>
          <w:sz w:val="32"/>
          <w:szCs w:val="32"/>
          <w:lang w:val="en-US" w:eastAsia="zh-CN"/>
        </w:rPr>
        <w:t>万元</w:t>
      </w:r>
      <w:r>
        <w:rPr>
          <w:rFonts w:hint="eastAsia" w:ascii="仿宋" w:hAnsi="仿宋" w:eastAsia="仿宋" w:cs="仿宋"/>
          <w:sz w:val="32"/>
          <w:szCs w:val="32"/>
          <w:lang w:val="en-US" w:eastAsia="zh-CN"/>
        </w:rPr>
        <w:t>，资本性支出8.39万元</w:t>
      </w:r>
      <w:r>
        <w:rPr>
          <w:rFonts w:hint="default" w:ascii="仿宋" w:hAnsi="仿宋" w:eastAsia="仿宋" w:cs="仿宋"/>
          <w:sz w:val="32"/>
          <w:szCs w:val="32"/>
          <w:lang w:val="en-US" w:eastAsia="zh-CN"/>
        </w:rPr>
        <w:t>。</w:t>
      </w:r>
    </w:p>
    <w:p>
      <w:pPr>
        <w:numPr>
          <w:ilvl w:val="0"/>
          <w:numId w:val="0"/>
        </w:numPr>
        <w:ind w:firstLine="64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年项目支出</w:t>
      </w:r>
      <w:r>
        <w:rPr>
          <w:rFonts w:hint="eastAsia" w:ascii="仿宋" w:hAnsi="仿宋" w:eastAsia="仿宋" w:cs="仿宋"/>
          <w:sz w:val="32"/>
          <w:szCs w:val="32"/>
          <w:lang w:val="en-US" w:eastAsia="zh-CN"/>
        </w:rPr>
        <w:t>2309.17</w:t>
      </w:r>
      <w:r>
        <w:rPr>
          <w:rFonts w:hint="default" w:ascii="仿宋" w:hAnsi="仿宋" w:eastAsia="仿宋" w:cs="仿宋"/>
          <w:sz w:val="32"/>
          <w:szCs w:val="32"/>
          <w:lang w:val="en-US" w:eastAsia="zh-CN"/>
        </w:rPr>
        <w:t>万元，其中</w:t>
      </w:r>
      <w:r>
        <w:rPr>
          <w:rFonts w:hint="eastAsia" w:ascii="仿宋" w:hAnsi="仿宋" w:eastAsia="仿宋" w:cs="仿宋"/>
          <w:sz w:val="32"/>
          <w:szCs w:val="32"/>
          <w:lang w:val="en-US" w:eastAsia="zh-CN"/>
        </w:rPr>
        <w:t>政府办公室及相关机构事务支出246.35万元，</w:t>
      </w:r>
      <w:r>
        <w:rPr>
          <w:rFonts w:hint="default" w:ascii="仿宋" w:hAnsi="仿宋" w:eastAsia="仿宋" w:cs="仿宋"/>
          <w:sz w:val="32"/>
          <w:szCs w:val="32"/>
          <w:lang w:val="en-US" w:eastAsia="zh-CN"/>
        </w:rPr>
        <w:t>市场监督管理</w:t>
      </w:r>
      <w:r>
        <w:rPr>
          <w:rFonts w:hint="eastAsia" w:ascii="仿宋" w:hAnsi="仿宋" w:eastAsia="仿宋" w:cs="仿宋"/>
          <w:sz w:val="32"/>
          <w:szCs w:val="32"/>
          <w:lang w:val="en-US" w:eastAsia="zh-CN"/>
        </w:rPr>
        <w:t>事务</w:t>
      </w:r>
      <w:r>
        <w:rPr>
          <w:rFonts w:hint="default" w:ascii="仿宋" w:hAnsi="仿宋" w:eastAsia="仿宋" w:cs="仿宋"/>
          <w:sz w:val="32"/>
          <w:szCs w:val="32"/>
          <w:lang w:val="en-US" w:eastAsia="zh-CN"/>
        </w:rPr>
        <w:t>经费</w:t>
      </w:r>
      <w:r>
        <w:rPr>
          <w:rFonts w:hint="eastAsia" w:ascii="仿宋" w:hAnsi="仿宋" w:eastAsia="仿宋" w:cs="仿宋"/>
          <w:sz w:val="32"/>
          <w:szCs w:val="32"/>
          <w:lang w:val="en-US" w:eastAsia="zh-CN"/>
        </w:rPr>
        <w:t>合计1962.12</w:t>
      </w:r>
      <w:r>
        <w:rPr>
          <w:rFonts w:hint="default" w:ascii="仿宋" w:hAnsi="仿宋" w:eastAsia="仿宋" w:cs="仿宋"/>
          <w:sz w:val="32"/>
          <w:szCs w:val="32"/>
          <w:lang w:val="en-US" w:eastAsia="zh-CN"/>
        </w:rPr>
        <w:t>万元,系保障</w:t>
      </w:r>
      <w:r>
        <w:rPr>
          <w:rFonts w:hint="eastAsia" w:ascii="仿宋" w:hAnsi="仿宋" w:eastAsia="仿宋" w:cs="仿宋"/>
          <w:sz w:val="32"/>
          <w:szCs w:val="32"/>
          <w:lang w:val="en-US" w:eastAsia="zh-CN"/>
        </w:rPr>
        <w:t>多证合一工作经费</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查处取缔无证照经营工作经费</w:t>
      </w:r>
      <w:r>
        <w:rPr>
          <w:rFonts w:hint="default" w:ascii="仿宋" w:hAnsi="仿宋" w:eastAsia="仿宋" w:cs="仿宋"/>
          <w:sz w:val="32"/>
          <w:szCs w:val="32"/>
          <w:lang w:val="en-US" w:eastAsia="zh-CN"/>
        </w:rPr>
        <w:t>、省级市场监管专项、价格监督与反垄断</w:t>
      </w:r>
      <w:r>
        <w:rPr>
          <w:rFonts w:hint="eastAsia" w:ascii="仿宋" w:hAnsi="仿宋" w:eastAsia="仿宋" w:cs="仿宋"/>
          <w:sz w:val="32"/>
          <w:szCs w:val="32"/>
          <w:lang w:val="en-US" w:eastAsia="zh-CN"/>
        </w:rPr>
        <w:t>、食品安全抽检</w:t>
      </w:r>
      <w:r>
        <w:rPr>
          <w:rFonts w:hint="default" w:ascii="仿宋" w:hAnsi="仿宋" w:eastAsia="仿宋" w:cs="仿宋"/>
          <w:sz w:val="32"/>
          <w:szCs w:val="32"/>
          <w:lang w:val="en-US" w:eastAsia="zh-CN"/>
        </w:rPr>
        <w:t>等支出；</w:t>
      </w:r>
      <w:r>
        <w:rPr>
          <w:rFonts w:hint="eastAsia" w:ascii="仿宋" w:hAnsi="仿宋" w:eastAsia="仿宋" w:cs="仿宋"/>
          <w:sz w:val="32"/>
          <w:szCs w:val="32"/>
          <w:lang w:val="en-US" w:eastAsia="zh-CN"/>
        </w:rPr>
        <w:t>进修及培训4万；社会保障和就业支出34.35万元；2023年上半年财源建设工作经费5万元；食品抽检57.35万元</w:t>
      </w:r>
      <w:r>
        <w:rPr>
          <w:rFonts w:hint="default" w:ascii="仿宋" w:hAnsi="仿宋" w:eastAsia="仿宋" w:cs="仿宋"/>
          <w:sz w:val="32"/>
          <w:szCs w:val="32"/>
          <w:lang w:val="en-US" w:eastAsia="zh-CN"/>
        </w:rPr>
        <w:t>。</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3.“三公”经费情况</w:t>
      </w:r>
    </w:p>
    <w:p>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2022年“三公”经费开支39.94万元,其中,公务接待费0.03万元,公务用车购置及运行维护费39.91万元，无因公出国出境开支。</w:t>
      </w:r>
    </w:p>
    <w:p>
      <w:p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三、部门整体支出绩效评价情况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严格按照国家财经法律法规和制度的要求，围绕县委、县政府中心工作，积极履职，强化管理，较好的完成了年度工作目标，加强了对各项资金的绩效管理。通过内部控制领导小组，严格遵循专款专用、独立核算的管理原则。专项项目的申报严格按照县财政资金管理的要求进行，专项资金财政拨款到位后及时进行了项目开支和资金投入。</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2023年我局通过加强预算收支管理，不断建立健全内部管理制度，梳理内部管理流程，部门整体支出管理情况得到提升。根据2023年部门整体支出状况的概述和分析，部门整体支出绩效情况如下：</w:t>
      </w:r>
    </w:p>
    <w:p>
      <w:pPr>
        <w:numPr>
          <w:ilvl w:val="0"/>
          <w:numId w:val="2"/>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财政供养人员控制在预算编制以内，编制内在职人员控制率为100%；</w:t>
      </w:r>
    </w:p>
    <w:p>
      <w:pPr>
        <w:numPr>
          <w:ilvl w:val="0"/>
          <w:numId w:val="2"/>
        </w:num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“三公”经费变动率小于0，控制率为100%，主要因为我局在202</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年按照规定严格</w:t>
      </w:r>
      <w:r>
        <w:rPr>
          <w:rFonts w:hint="eastAsia" w:ascii="仿宋" w:hAnsi="仿宋" w:eastAsia="仿宋" w:cs="仿宋"/>
          <w:sz w:val="32"/>
          <w:szCs w:val="32"/>
          <w:lang w:val="en-US" w:eastAsia="zh-CN"/>
        </w:rPr>
        <w:t>按照三公经费预算开支，</w:t>
      </w:r>
      <w:r>
        <w:rPr>
          <w:rFonts w:hint="default" w:ascii="仿宋" w:hAnsi="仿宋" w:eastAsia="仿宋" w:cs="仿宋"/>
          <w:sz w:val="32"/>
          <w:szCs w:val="32"/>
          <w:lang w:val="en-US" w:eastAsia="zh-CN"/>
        </w:rPr>
        <w:t>招待费支出</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公务用车运行</w:t>
      </w:r>
      <w:r>
        <w:rPr>
          <w:rFonts w:hint="eastAsia" w:ascii="仿宋" w:hAnsi="仿宋" w:eastAsia="仿宋" w:cs="仿宋"/>
          <w:sz w:val="32"/>
          <w:szCs w:val="32"/>
          <w:lang w:val="en-US" w:eastAsia="zh-CN"/>
        </w:rPr>
        <w:t>购置</w:t>
      </w:r>
      <w:r>
        <w:rPr>
          <w:rFonts w:hint="default" w:ascii="仿宋" w:hAnsi="仿宋" w:eastAsia="仿宋" w:cs="仿宋"/>
          <w:sz w:val="32"/>
          <w:szCs w:val="32"/>
          <w:lang w:val="en-US" w:eastAsia="zh-CN"/>
        </w:rPr>
        <w:t>维护费开支</w:t>
      </w:r>
      <w:r>
        <w:rPr>
          <w:rFonts w:hint="eastAsia" w:ascii="仿宋" w:hAnsi="仿宋" w:eastAsia="仿宋" w:cs="仿宋"/>
          <w:sz w:val="32"/>
          <w:szCs w:val="32"/>
          <w:lang w:val="en-US" w:eastAsia="zh-CN"/>
        </w:rPr>
        <w:t>都</w:t>
      </w:r>
      <w:r>
        <w:rPr>
          <w:rFonts w:hint="default" w:ascii="仿宋" w:hAnsi="仿宋" w:eastAsia="仿宋" w:cs="仿宋"/>
          <w:sz w:val="32"/>
          <w:szCs w:val="32"/>
          <w:lang w:val="en-US" w:eastAsia="zh-CN"/>
        </w:rPr>
        <w:t>低于预算控制数</w:t>
      </w:r>
      <w:r>
        <w:rPr>
          <w:rFonts w:hint="eastAsia" w:ascii="仿宋" w:hAnsi="仿宋" w:eastAsia="仿宋" w:cs="仿宋"/>
          <w:sz w:val="32"/>
          <w:szCs w:val="32"/>
          <w:lang w:val="en-US"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rPr>
        <w:t>预算完成率：</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lang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预算调整率：162.6%。2023年预算调整数</w:t>
      </w:r>
      <w:r>
        <w:rPr>
          <w:rFonts w:hint="eastAsia" w:ascii="仿宋" w:hAnsi="仿宋" w:eastAsia="仿宋" w:cs="仿宋"/>
          <w:sz w:val="32"/>
          <w:szCs w:val="32"/>
          <w:lang w:val="en-US" w:eastAsia="zh-CN"/>
        </w:rPr>
        <w:t>4536.98</w:t>
      </w:r>
      <w:r>
        <w:rPr>
          <w:rFonts w:hint="eastAsia" w:ascii="仿宋_GB2312" w:hAnsi="仿宋_GB2312" w:eastAsia="仿宋_GB2312" w:cs="仿宋_GB2312"/>
          <w:kern w:val="0"/>
          <w:sz w:val="32"/>
          <w:szCs w:val="32"/>
          <w:lang w:val="en-US" w:eastAsia="zh-CN"/>
        </w:rPr>
        <w:t>万元，2023年决算数</w:t>
      </w:r>
      <w:r>
        <w:rPr>
          <w:rFonts w:hint="eastAsia" w:ascii="仿宋" w:hAnsi="仿宋" w:eastAsia="仿宋" w:cs="仿宋"/>
          <w:sz w:val="32"/>
          <w:szCs w:val="32"/>
          <w:lang w:val="en-US" w:eastAsia="zh-CN"/>
        </w:rPr>
        <w:t>4536.98</w:t>
      </w:r>
      <w:r>
        <w:rPr>
          <w:rFonts w:hint="eastAsia" w:ascii="仿宋_GB2312" w:hAnsi="仿宋_GB2312" w:eastAsia="仿宋_GB2312" w:cs="仿宋_GB2312"/>
          <w:kern w:val="0"/>
          <w:sz w:val="32"/>
          <w:szCs w:val="32"/>
          <w:lang w:val="en-US" w:eastAsia="zh-CN"/>
        </w:rPr>
        <w:t>万元。年初预算</w:t>
      </w:r>
      <w:r>
        <w:rPr>
          <w:rFonts w:hint="eastAsia" w:ascii="仿宋" w:hAnsi="仿宋" w:eastAsia="仿宋" w:cs="仿宋"/>
          <w:sz w:val="32"/>
          <w:szCs w:val="32"/>
          <w:lang w:val="en-US" w:eastAsia="zh-CN"/>
        </w:rPr>
        <w:t>2790.33</w:t>
      </w:r>
      <w:r>
        <w:rPr>
          <w:rFonts w:hint="eastAsia" w:ascii="仿宋_GB2312" w:hAnsi="仿宋_GB2312" w:eastAsia="仿宋_GB2312" w:cs="仿宋_GB2312"/>
          <w:kern w:val="0"/>
          <w:sz w:val="32"/>
          <w:szCs w:val="32"/>
          <w:lang w:val="en-US" w:eastAsia="zh-CN"/>
        </w:rPr>
        <w:t>万元，决算数为全年预算的162.60%，主要原因是：</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上年结转财政拨款</w:t>
      </w:r>
      <w:r>
        <w:rPr>
          <w:rFonts w:hint="eastAsia" w:ascii="仿宋_GB2312" w:hAnsi="仿宋_GB2312" w:eastAsia="仿宋_GB2312" w:cs="仿宋_GB2312"/>
          <w:kern w:val="0"/>
          <w:sz w:val="32"/>
          <w:szCs w:val="32"/>
          <w:lang w:eastAsia="zh-CN"/>
        </w:rPr>
        <w:t>。</w:t>
      </w: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我局2</w:t>
      </w:r>
      <w:r>
        <w:rPr>
          <w:rFonts w:ascii="仿宋_GB2312" w:hAnsi="仿宋_GB2312" w:eastAsia="仿宋_GB2312" w:cs="仿宋_GB2312"/>
          <w:kern w:val="0"/>
          <w:sz w:val="32"/>
          <w:szCs w:val="32"/>
        </w:rPr>
        <w:t>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知识产权资金</w:t>
      </w:r>
      <w:r>
        <w:rPr>
          <w:rFonts w:hint="eastAsia" w:ascii="仿宋" w:hAnsi="仿宋" w:eastAsia="仿宋" w:cs="仿宋"/>
          <w:sz w:val="32"/>
          <w:szCs w:val="32"/>
          <w:lang w:val="en-US" w:eastAsia="zh-CN"/>
        </w:rPr>
        <w:t>及食品安全抽检</w:t>
      </w:r>
      <w:r>
        <w:rPr>
          <w:rFonts w:hint="eastAsia" w:ascii="仿宋_GB2312" w:hAnsi="仿宋_GB2312" w:eastAsia="仿宋_GB2312" w:cs="仿宋_GB2312"/>
          <w:kern w:val="0"/>
          <w:sz w:val="32"/>
          <w:szCs w:val="32"/>
        </w:rPr>
        <w:t>，本级财政追加必要项目资金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3、市局追加</w:t>
      </w:r>
      <w:r>
        <w:rPr>
          <w:rFonts w:hint="eastAsia" w:ascii="仿宋_GB2312" w:hAnsi="仿宋_GB2312" w:eastAsia="仿宋_GB2312" w:cs="仿宋_GB2312"/>
          <w:kern w:val="0"/>
          <w:sz w:val="32"/>
          <w:szCs w:val="32"/>
          <w:lang w:val="en-US" w:eastAsia="zh-CN"/>
        </w:rPr>
        <w:t>执法装备和基层能力提升等</w:t>
      </w:r>
      <w:r>
        <w:rPr>
          <w:rFonts w:hint="eastAsia" w:ascii="仿宋_GB2312" w:hAnsi="仿宋_GB2312" w:eastAsia="仿宋_GB2312" w:cs="仿宋_GB2312"/>
          <w:kern w:val="0"/>
          <w:sz w:val="32"/>
          <w:szCs w:val="32"/>
        </w:rPr>
        <w:t>项目资金</w:t>
      </w:r>
      <w:r>
        <w:rPr>
          <w:rFonts w:hint="eastAsia" w:ascii="仿宋_GB2312" w:hAnsi="仿宋_GB2312" w:eastAsia="仿宋_GB2312" w:cs="仿宋_GB2312"/>
          <w:kern w:val="0"/>
          <w:sz w:val="32"/>
          <w:szCs w:val="32"/>
          <w:lang w:val="en-US"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政府采购执行率100%；</w:t>
      </w:r>
    </w:p>
    <w:p>
      <w:pPr>
        <w:numPr>
          <w:ilvl w:val="0"/>
          <w:numId w:val="2"/>
        </w:numPr>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在资金管理上，我局制定了一系列的财务管理制度。</w:t>
      </w:r>
    </w:p>
    <w:p>
      <w:pPr>
        <w:numPr>
          <w:ilvl w:val="0"/>
          <w:numId w:val="3"/>
        </w:num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存在的主要问题</w:t>
      </w:r>
    </w:p>
    <w:p>
      <w:pPr>
        <w:numPr>
          <w:ilvl w:val="0"/>
          <w:numId w:val="0"/>
        </w:numPr>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 xml:space="preserve">  1、预算收支方面。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pPr>
        <w:numPr>
          <w:ilvl w:val="0"/>
          <w:numId w:val="0"/>
        </w:numPr>
        <w:ind w:firstLine="640"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2、结转结余方面。预算管理方面，制度执行总体较为有效，仍需进一步强化；资金使用管理需进一步加强。</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五、改进措施及建议</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1、加强财务预算管理，严格执行财务管理制度，充分发挥监督作用，严格做好预算控制，精打细算执行资金管理。</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2、严格财务支出审批。抓好审核和审批两个环节，在审核审批中严把支出关，切实维护财务</w:t>
      </w:r>
      <w:r>
        <w:rPr>
          <w:rFonts w:hint="eastAsia" w:ascii="仿宋" w:hAnsi="仿宋" w:eastAsia="仿宋" w:cs="仿宋"/>
          <w:b w:val="0"/>
          <w:bCs w:val="0"/>
          <w:sz w:val="32"/>
          <w:szCs w:val="32"/>
          <w:lang w:val="en-US" w:eastAsia="zh-CN"/>
        </w:rPr>
        <w:t>制度</w:t>
      </w:r>
      <w:r>
        <w:rPr>
          <w:rFonts w:hint="default" w:ascii="仿宋" w:hAnsi="仿宋" w:eastAsia="仿宋" w:cs="仿宋"/>
          <w:b w:val="0"/>
          <w:bCs w:val="0"/>
          <w:sz w:val="32"/>
          <w:szCs w:val="32"/>
          <w:lang w:val="en-US" w:eastAsia="zh-CN"/>
        </w:rPr>
        <w:t>的严肃性。</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3、强化经费管理。重点加强公用经费管理，严格控制支出，降低行政运行成本。</w:t>
      </w:r>
    </w:p>
    <w:p>
      <w:pPr>
        <w:ind w:firstLine="640" w:firstLineChars="200"/>
        <w:rPr>
          <w:rFonts w:hint="default" w:ascii="仿宋" w:hAnsi="仿宋" w:eastAsia="仿宋" w:cs="仿宋"/>
          <w:b w:val="0"/>
          <w:bCs w:val="0"/>
          <w:sz w:val="32"/>
          <w:szCs w:val="32"/>
          <w:lang w:val="en-US" w:eastAsia="zh-CN"/>
        </w:rPr>
      </w:pPr>
    </w:p>
    <w:p>
      <w:pPr>
        <w:ind w:firstLine="640" w:firstLineChars="200"/>
        <w:jc w:val="righ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衡南县市场监督管理局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711FA"/>
    <w:multiLevelType w:val="singleLevel"/>
    <w:tmpl w:val="8C6711FA"/>
    <w:lvl w:ilvl="0" w:tentative="0">
      <w:start w:val="1"/>
      <w:numFmt w:val="chineseCounting"/>
      <w:suff w:val="nothing"/>
      <w:lvlText w:val="%1、"/>
      <w:lvlJc w:val="left"/>
      <w:rPr>
        <w:rFonts w:hint="eastAsia"/>
      </w:rPr>
    </w:lvl>
  </w:abstractNum>
  <w:abstractNum w:abstractNumId="1">
    <w:nsid w:val="5302D36B"/>
    <w:multiLevelType w:val="singleLevel"/>
    <w:tmpl w:val="5302D36B"/>
    <w:lvl w:ilvl="0" w:tentative="0">
      <w:start w:val="1"/>
      <w:numFmt w:val="decimal"/>
      <w:lvlText w:val="%1."/>
      <w:lvlJc w:val="left"/>
      <w:pPr>
        <w:tabs>
          <w:tab w:val="left" w:pos="312"/>
        </w:tabs>
      </w:pPr>
    </w:lvl>
  </w:abstractNum>
  <w:abstractNum w:abstractNumId="2">
    <w:nsid w:val="73E516C3"/>
    <w:multiLevelType w:val="singleLevel"/>
    <w:tmpl w:val="73E516C3"/>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wYzFmODU2Y2E5ZmU3OGY4NzNlZTI1N2E5N2E0MmMifQ=="/>
  </w:docVars>
  <w:rsids>
    <w:rsidRoot w:val="00000000"/>
    <w:rsid w:val="032E3753"/>
    <w:rsid w:val="04DF3623"/>
    <w:rsid w:val="084604D1"/>
    <w:rsid w:val="099A1244"/>
    <w:rsid w:val="108A00C9"/>
    <w:rsid w:val="10F45C00"/>
    <w:rsid w:val="12070C38"/>
    <w:rsid w:val="18AE2C91"/>
    <w:rsid w:val="1BDE051A"/>
    <w:rsid w:val="1D594678"/>
    <w:rsid w:val="1ECE2A12"/>
    <w:rsid w:val="214C3644"/>
    <w:rsid w:val="25217F33"/>
    <w:rsid w:val="2D021B5F"/>
    <w:rsid w:val="2E4B53AF"/>
    <w:rsid w:val="312044C9"/>
    <w:rsid w:val="3D3221CB"/>
    <w:rsid w:val="44E5172B"/>
    <w:rsid w:val="4C7B6DED"/>
    <w:rsid w:val="501C1595"/>
    <w:rsid w:val="50E7338E"/>
    <w:rsid w:val="52195EFA"/>
    <w:rsid w:val="5249428D"/>
    <w:rsid w:val="53F459EC"/>
    <w:rsid w:val="566136BD"/>
    <w:rsid w:val="59F95B23"/>
    <w:rsid w:val="5D0F6CD8"/>
    <w:rsid w:val="66D9405A"/>
    <w:rsid w:val="67376340"/>
    <w:rsid w:val="678E0B69"/>
    <w:rsid w:val="67B101D9"/>
    <w:rsid w:val="69FD44AB"/>
    <w:rsid w:val="6C7D0661"/>
    <w:rsid w:val="71F60505"/>
    <w:rsid w:val="761F0668"/>
    <w:rsid w:val="7B224790"/>
    <w:rsid w:val="7B4759C1"/>
    <w:rsid w:val="7B734BB7"/>
    <w:rsid w:val="7D0A4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1702</Words>
  <Characters>1913</Characters>
  <Lines>0</Lines>
  <Paragraphs>0</Paragraphs>
  <TotalTime>27</TotalTime>
  <ScaleCrop>false</ScaleCrop>
  <LinksUpToDate>false</LinksUpToDate>
  <CharactersWithSpaces>1926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2022-04-21T03:27:00Z</dcterms:created>
  <dc:creator>ASUS</dc:creator>
  <cp:lastModifiedBy>柿餅</cp:lastModifiedBy>
  <cp:lastPrinted>2024-05-22T09:43:56Z</cp:lastPrinted>
  <dcterms:modified xsi:type="dcterms:W3CDTF">2024-05-22T09:45:22Z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25438CC8C60B499E8D56D326032FE5EB_13</vt:lpwstr>
  </property>
</Properties>
</file>