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4E512A">
      <w:pPr>
        <w:jc w:val="center"/>
        <w:rPr>
          <w:rFonts w:asciiTheme="majorEastAsia" w:hAnsiTheme="majorEastAsia" w:eastAsiaTheme="majorEastAsia" w:cstheme="majorEastAsia"/>
          <w:b/>
          <w:bCs/>
          <w:kern w:val="0"/>
          <w:sz w:val="24"/>
          <w:szCs w:val="24"/>
        </w:rPr>
      </w:pPr>
    </w:p>
    <w:p w14:paraId="48CA6CE8">
      <w:pPr>
        <w:spacing w:line="640" w:lineRule="exact"/>
        <w:jc w:val="center"/>
        <w:rPr>
          <w:rFonts w:ascii="方正大标宋简体" w:eastAsia="方正大标宋简体" w:hAnsiTheme="majorEastAsia" w:cstheme="majorEastAsia"/>
          <w:bCs/>
          <w:kern w:val="0"/>
          <w:sz w:val="44"/>
          <w:szCs w:val="44"/>
        </w:rPr>
      </w:pPr>
      <w:r>
        <w:rPr>
          <w:rFonts w:hint="eastAsia" w:ascii="方正大标宋简体" w:eastAsia="方正大标宋简体" w:hAnsiTheme="majorEastAsia" w:cstheme="majorEastAsia"/>
          <w:bCs/>
          <w:kern w:val="0"/>
          <w:sz w:val="44"/>
          <w:szCs w:val="44"/>
        </w:rPr>
        <w:t>衡南县发展和改革局</w:t>
      </w:r>
      <w:r>
        <w:rPr>
          <w:rFonts w:hint="eastAsia" w:ascii="方正大标宋简体" w:eastAsia="方正大标宋简体" w:hAnsiTheme="majorEastAsia" w:cstheme="majorEastAsia"/>
          <w:bCs/>
          <w:kern w:val="0"/>
          <w:sz w:val="44"/>
          <w:szCs w:val="44"/>
          <w:lang w:val="en-US" w:eastAsia="zh-CN"/>
        </w:rPr>
        <w:t>2023年</w:t>
      </w:r>
      <w:r>
        <w:rPr>
          <w:rFonts w:hint="eastAsia" w:ascii="方正大标宋简体" w:eastAsia="方正大标宋简体" w:hAnsiTheme="majorEastAsia" w:cstheme="majorEastAsia"/>
          <w:bCs/>
          <w:kern w:val="0"/>
          <w:sz w:val="44"/>
          <w:szCs w:val="44"/>
        </w:rPr>
        <w:t>部门整体支出绩效自评报告</w:t>
      </w:r>
    </w:p>
    <w:p w14:paraId="51D93540">
      <w:pPr>
        <w:pStyle w:val="8"/>
        <w:spacing w:after="0" w:line="600" w:lineRule="exact"/>
        <w:ind w:firstLine="400"/>
      </w:pPr>
    </w:p>
    <w:p w14:paraId="30B1F2C9">
      <w:pPr>
        <w:spacing w:line="580" w:lineRule="exact"/>
        <w:ind w:firstLine="640" w:firstLineChars="200"/>
        <w:rPr>
          <w:rFonts w:ascii="仿宋" w:hAnsi="仿宋" w:eastAsia="仿宋" w:cs="仿宋"/>
          <w:b/>
          <w:bCs/>
          <w:kern w:val="0"/>
          <w:sz w:val="32"/>
          <w:szCs w:val="32"/>
        </w:rPr>
      </w:pPr>
      <w:r>
        <w:rPr>
          <w:rFonts w:hint="eastAsia" w:ascii="仿宋_GB2312" w:hAnsi="仿宋_GB2312" w:eastAsia="仿宋_GB2312" w:cs="仿宋_GB2312"/>
          <w:kern w:val="0"/>
          <w:sz w:val="32"/>
          <w:szCs w:val="32"/>
        </w:rPr>
        <w:t>为加强财政预算资金管理，进一步规范预算资金使用，提高财政资金使用效益，根据《衡南县财政局关于开展202</w:t>
      </w: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年度财政资金绩效自评工作的通知》要求，我局对202</w:t>
      </w: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年度本单位整体支出进行了绩效自评，现将具体绩效评价情况报告如下：</w:t>
      </w:r>
    </w:p>
    <w:p w14:paraId="07596430">
      <w:pPr>
        <w:spacing w:line="580" w:lineRule="exact"/>
        <w:ind w:firstLine="640" w:firstLineChars="200"/>
        <w:rPr>
          <w:rFonts w:ascii="黑体" w:hAnsi="黑体" w:eastAsia="黑体" w:cs="仿宋_GB2312"/>
          <w:kern w:val="0"/>
          <w:sz w:val="32"/>
          <w:szCs w:val="32"/>
        </w:rPr>
      </w:pPr>
      <w:r>
        <w:rPr>
          <w:rFonts w:hint="eastAsia" w:ascii="黑体" w:hAnsi="黑体" w:eastAsia="黑体" w:cs="仿宋_GB2312"/>
          <w:bCs/>
          <w:kern w:val="0"/>
          <w:sz w:val="32"/>
          <w:szCs w:val="32"/>
        </w:rPr>
        <w:t>一、部门基本情况</w:t>
      </w:r>
    </w:p>
    <w:p w14:paraId="582E02E3">
      <w:pPr>
        <w:spacing w:line="580" w:lineRule="exact"/>
        <w:ind w:firstLine="643" w:firstLineChars="200"/>
        <w:rPr>
          <w:rFonts w:ascii="楷体_GB2312" w:hAnsi="仿宋_GB2312" w:eastAsia="楷体_GB2312" w:cs="仿宋_GB2312"/>
          <w:b/>
          <w:kern w:val="0"/>
          <w:sz w:val="32"/>
          <w:szCs w:val="32"/>
        </w:rPr>
      </w:pPr>
      <w:r>
        <w:rPr>
          <w:rFonts w:hint="eastAsia" w:ascii="楷体_GB2312" w:hAnsi="仿宋_GB2312" w:eastAsia="楷体_GB2312" w:cs="仿宋_GB2312"/>
          <w:b/>
          <w:kern w:val="0"/>
          <w:sz w:val="32"/>
          <w:szCs w:val="32"/>
        </w:rPr>
        <w:t>1.部门职责</w:t>
      </w:r>
    </w:p>
    <w:p w14:paraId="64906689">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衡南县发展和改革局是县政府工作部门，是综合研究拟定全县经济和社会发展政策，进行总量平衡，指导全县总体经济体制改革的宏观调控部门。主要职责有：</w:t>
      </w:r>
    </w:p>
    <w:p w14:paraId="4250BA03">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（1）拟定并组织实施全县国民经济和社会发展战略、中长期规划和年度计划。</w:t>
      </w:r>
    </w:p>
    <w:p w14:paraId="0C8B2090">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（2）研究提出加快建设现代化经济体系、推动高质量发展的总体目标、重大任务及相关政策。</w:t>
      </w:r>
    </w:p>
    <w:p w14:paraId="25D8DA61">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（3）研究提出全县国民经济和社会发展主要目标，监测预测预警宏观经济和社会发展态势趋势，提出宏观调控政策建议，综合协调宏观经济政策，牵头研究宏观经济应对措施。</w:t>
      </w:r>
    </w:p>
    <w:p w14:paraId="3D6EA5C0">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（4）调节经济运行，协调解决经济运行中的重大问题。</w:t>
      </w:r>
    </w:p>
    <w:p w14:paraId="461D05D4">
      <w:pPr>
        <w:spacing w:line="580" w:lineRule="exact"/>
        <w:ind w:firstLine="624" w:firstLineChars="200"/>
        <w:rPr>
          <w:rFonts w:ascii="仿宋_GB2312" w:hAnsi="仿宋_GB2312" w:eastAsia="仿宋_GB2312" w:cs="仿宋_GB2312"/>
          <w:spacing w:val="-4"/>
          <w:kern w:val="0"/>
          <w:sz w:val="32"/>
          <w:szCs w:val="32"/>
        </w:rPr>
      </w:pPr>
      <w:r>
        <w:rPr>
          <w:rFonts w:hint="eastAsia" w:ascii="仿宋_GB2312" w:hAnsi="仿宋_GB2312" w:eastAsia="仿宋_GB2312" w:cs="仿宋_GB2312"/>
          <w:spacing w:val="-4"/>
          <w:kern w:val="0"/>
          <w:sz w:val="32"/>
          <w:szCs w:val="32"/>
        </w:rPr>
        <w:t>（5）研究提出和综合协调全县经济体制改革的建议与措施。</w:t>
      </w:r>
    </w:p>
    <w:p w14:paraId="7058D2FE">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（6）研究提出全县利用外资和境外投资的战略、规划、总量平衡和结构优化的政策。</w:t>
      </w:r>
    </w:p>
    <w:p w14:paraId="0606E8CF">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（7）负责投资综合管理，拟定全县全社会固定资产投资总规模和投资结构的调控目标、政策及措施。</w:t>
      </w:r>
    </w:p>
    <w:p w14:paraId="010E919F">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（8）推进落实区域协调发展战略、新型城镇化战略和重大政策，组织拟定相关区域规划和政策。</w:t>
      </w:r>
    </w:p>
    <w:p w14:paraId="2460351D">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（9）组织拟定综合性产业政策，负责协调第一、二、三产业发展的重大问题并统筹衔接相关发展规划和重大政策；推动实施创新驱动发展战略。</w:t>
      </w:r>
    </w:p>
    <w:p w14:paraId="5B4A9202">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（10）跟踪研判涉及经济安全、生态安全、资源安全、科技安全、社会安全等各类风险隐患，提出相关工作建议。</w:t>
      </w:r>
    </w:p>
    <w:p w14:paraId="0EB8FF0F">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（11）负责社会发展与国民经济发展的政策衔接，组织拟定社会发展战略、总体规划。</w:t>
      </w:r>
    </w:p>
    <w:p w14:paraId="0303E4E0">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（12）推进可持续发展战略，推动生态文明建设和改革，协调生态环境保护与修护、能源资源节约和综合利用等工作。</w:t>
      </w:r>
    </w:p>
    <w:p w14:paraId="6F9134CF">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（13）负责能源规划与社会发展规划的协调衔接。</w:t>
      </w:r>
    </w:p>
    <w:p w14:paraId="1DE59DB1">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（14）拟定全县价格改革方案和年度计划，研究提出价格调控目标和政策建议，组织实施价格总水平调控。</w:t>
      </w:r>
    </w:p>
    <w:p w14:paraId="6A2A13DC">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（15）牵头组织监督公共资源交易活动；研究拟定推进社会信用体系建设的法规、规划、政策措施，统筹推动统一的社会信用信息平台建设，协调有关重大问题。</w:t>
      </w:r>
    </w:p>
    <w:p w14:paraId="19900989">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（16）会同有关部门拟定推进全县经济建设与国防建设协调发展。</w:t>
      </w:r>
    </w:p>
    <w:p w14:paraId="08F9D966">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（17）牵头承担县国防动员委员会、推进“一带一路”建设暨国际产能合作领导小组、县推动长江经济带发展领导小组、县促进中部地区崛起领导小组等有关具体工作。</w:t>
      </w:r>
    </w:p>
    <w:p w14:paraId="40DD3B7E">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（18）负责本行业领域职责范围内的应急管理工作，对本行业领域职责范围内的安全生产工作实施监督管理。</w:t>
      </w:r>
    </w:p>
    <w:p w14:paraId="15A1A257">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（19）完成县委和县政府交办的其他任务。</w:t>
      </w:r>
    </w:p>
    <w:p w14:paraId="25F73EE3">
      <w:pPr>
        <w:numPr>
          <w:ilvl w:val="0"/>
          <w:numId w:val="1"/>
        </w:numPr>
        <w:spacing w:line="580" w:lineRule="exact"/>
        <w:ind w:firstLine="643" w:firstLineChars="200"/>
        <w:rPr>
          <w:rFonts w:ascii="楷体_GB2312" w:hAnsi="仿宋_GB2312" w:eastAsia="楷体_GB2312" w:cs="仿宋_GB2312"/>
          <w:b/>
          <w:kern w:val="0"/>
          <w:sz w:val="32"/>
          <w:szCs w:val="32"/>
        </w:rPr>
      </w:pPr>
      <w:r>
        <w:rPr>
          <w:rFonts w:hint="eastAsia" w:ascii="楷体_GB2312" w:hAnsi="仿宋_GB2312" w:eastAsia="楷体_GB2312" w:cs="仿宋_GB2312"/>
          <w:b/>
          <w:kern w:val="0"/>
          <w:sz w:val="32"/>
          <w:szCs w:val="32"/>
        </w:rPr>
        <w:t>机构设置情况</w:t>
      </w:r>
    </w:p>
    <w:p w14:paraId="1F0D91F0">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为了推进上述职能工作的开展，我局下设办公室、</w:t>
      </w:r>
      <w:r>
        <w:rPr>
          <w:rFonts w:hint="eastAsia" w:ascii="仿宋_GB2312" w:hAnsi="仿宋_GB2312" w:eastAsia="仿宋_GB2312" w:cs="仿宋_GB2312"/>
          <w:kern w:val="0"/>
          <w:sz w:val="32"/>
          <w:szCs w:val="32"/>
          <w:lang w:val="en-US" w:eastAsia="zh-CN"/>
        </w:rPr>
        <w:t>组织人事股、财务审计股、</w:t>
      </w:r>
      <w:r>
        <w:rPr>
          <w:rFonts w:hint="eastAsia" w:ascii="仿宋_GB2312" w:hAnsi="仿宋_GB2312" w:eastAsia="仿宋_GB2312" w:cs="仿宋_GB2312"/>
          <w:kern w:val="0"/>
          <w:sz w:val="32"/>
          <w:szCs w:val="32"/>
        </w:rPr>
        <w:t>行政审批服务股、固定资产投资股（国民经济综合和法规股）、农村经济股、工交能源和环保资源股（县“两型”社会建设办公室）、社会发展股、</w:t>
      </w:r>
      <w:r>
        <w:rPr>
          <w:rFonts w:hint="eastAsia" w:ascii="仿宋_GB2312" w:hAnsi="仿宋_GB2312" w:eastAsia="仿宋_GB2312" w:cs="仿宋_GB2312"/>
          <w:kern w:val="0"/>
          <w:sz w:val="32"/>
          <w:szCs w:val="32"/>
          <w:lang w:val="en-US" w:eastAsia="zh-CN"/>
        </w:rPr>
        <w:t>经贸笥服务业股、</w:t>
      </w:r>
      <w:r>
        <w:rPr>
          <w:rFonts w:hint="eastAsia" w:ascii="仿宋_GB2312" w:hAnsi="仿宋_GB2312" w:eastAsia="仿宋_GB2312" w:cs="仿宋_GB2312"/>
          <w:kern w:val="0"/>
          <w:sz w:val="32"/>
          <w:szCs w:val="32"/>
        </w:rPr>
        <w:t>价格</w:t>
      </w:r>
      <w:r>
        <w:rPr>
          <w:rFonts w:hint="eastAsia" w:ascii="仿宋_GB2312" w:hAnsi="仿宋_GB2312" w:eastAsia="仿宋_GB2312" w:cs="仿宋_GB2312"/>
          <w:kern w:val="0"/>
          <w:sz w:val="32"/>
          <w:szCs w:val="32"/>
          <w:lang w:val="en-US" w:eastAsia="zh-CN"/>
        </w:rPr>
        <w:t>调控</w:t>
      </w:r>
      <w:r>
        <w:rPr>
          <w:rFonts w:hint="eastAsia" w:ascii="仿宋_GB2312" w:hAnsi="仿宋_GB2312" w:eastAsia="仿宋_GB2312" w:cs="仿宋_GB2312"/>
          <w:kern w:val="0"/>
          <w:sz w:val="32"/>
          <w:szCs w:val="32"/>
        </w:rPr>
        <w:t>管理股</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粮食调控股、粮食企业管理股、粮食企业发展股、粮食执法督查股、电力执法大队、成本调查大队、指挥信息化股、工程管理与战备保障股、</w:t>
      </w:r>
      <w:r>
        <w:rPr>
          <w:rFonts w:hint="eastAsia" w:ascii="仿宋_GB2312" w:hAnsi="仿宋_GB2312" w:eastAsia="仿宋_GB2312" w:cs="仿宋_GB2312"/>
          <w:kern w:val="0"/>
          <w:sz w:val="32"/>
          <w:szCs w:val="32"/>
        </w:rPr>
        <w:t>共</w:t>
      </w:r>
      <w:r>
        <w:rPr>
          <w:rFonts w:hint="eastAsia" w:ascii="仿宋_GB2312" w:hAnsi="仿宋_GB2312" w:eastAsia="仿宋_GB2312" w:cs="仿宋_GB2312"/>
          <w:kern w:val="0"/>
          <w:sz w:val="32"/>
          <w:szCs w:val="32"/>
          <w:lang w:val="en-US" w:eastAsia="zh-CN"/>
        </w:rPr>
        <w:t>18</w:t>
      </w:r>
      <w:r>
        <w:rPr>
          <w:rFonts w:hint="eastAsia" w:ascii="仿宋_GB2312" w:hAnsi="仿宋_GB2312" w:eastAsia="仿宋_GB2312" w:cs="仿宋_GB2312"/>
          <w:kern w:val="0"/>
          <w:sz w:val="32"/>
          <w:szCs w:val="32"/>
        </w:rPr>
        <w:t>个股室。同时，下设衡南县重点项目建设事务中心、</w:t>
      </w:r>
      <w:r>
        <w:rPr>
          <w:rFonts w:hint="eastAsia" w:ascii="仿宋_GB2312" w:hAnsi="仿宋_GB2312" w:eastAsia="仿宋_GB2312" w:cs="仿宋_GB2312"/>
          <w:kern w:val="0"/>
          <w:sz w:val="32"/>
          <w:szCs w:val="32"/>
          <w:lang w:val="en-US" w:eastAsia="zh-CN"/>
        </w:rPr>
        <w:t>衡南县军粮供应站、衡南县粮油服务中心</w:t>
      </w:r>
      <w:r>
        <w:rPr>
          <w:rFonts w:hint="eastAsia" w:ascii="仿宋_GB2312" w:hAnsi="仿宋_GB2312" w:eastAsia="仿宋_GB2312" w:cs="仿宋_GB2312"/>
          <w:kern w:val="0"/>
          <w:sz w:val="32"/>
          <w:szCs w:val="32"/>
        </w:rPr>
        <w:t>三个独立核算二级机构</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衡南粮</w:t>
      </w:r>
      <w:r>
        <w:rPr>
          <w:rFonts w:hint="eastAsia" w:ascii="仿宋_GB2312" w:hAnsi="仿宋_GB2312" w:eastAsia="仿宋_GB2312" w:cs="仿宋_GB2312"/>
          <w:kern w:val="0"/>
          <w:sz w:val="32"/>
          <w:szCs w:val="32"/>
        </w:rPr>
        <w:t>衡南县价格认证中心、衡南县成本调查队</w:t>
      </w:r>
      <w:r>
        <w:rPr>
          <w:rFonts w:hint="eastAsia" w:ascii="仿宋_GB2312" w:hAnsi="仿宋_GB2312" w:eastAsia="仿宋_GB2312" w:cs="仿宋_GB2312"/>
          <w:kern w:val="0"/>
          <w:sz w:val="32"/>
          <w:szCs w:val="32"/>
          <w:lang w:val="en-US" w:eastAsia="zh-CN"/>
        </w:rPr>
        <w:t>二</w:t>
      </w:r>
      <w:r>
        <w:rPr>
          <w:rFonts w:hint="eastAsia" w:ascii="仿宋_GB2312" w:hAnsi="仿宋_GB2312" w:eastAsia="仿宋_GB2312" w:cs="仿宋_GB2312"/>
          <w:kern w:val="0"/>
          <w:sz w:val="32"/>
          <w:szCs w:val="32"/>
        </w:rPr>
        <w:t>个非独立核算二级机构</w:t>
      </w:r>
      <w:r>
        <w:rPr>
          <w:rFonts w:hint="eastAsia" w:ascii="仿宋_GB2312" w:hAnsi="仿宋_GB2312" w:eastAsia="仿宋_GB2312" w:cs="仿宋_GB2312"/>
          <w:kern w:val="0"/>
          <w:sz w:val="32"/>
          <w:szCs w:val="32"/>
          <w:lang w:eastAsia="zh-CN"/>
        </w:rPr>
        <w:t>。</w:t>
      </w:r>
    </w:p>
    <w:p w14:paraId="20E2CAF4">
      <w:pPr>
        <w:numPr>
          <w:ilvl w:val="0"/>
          <w:numId w:val="1"/>
        </w:numPr>
        <w:spacing w:line="580" w:lineRule="exact"/>
        <w:ind w:firstLine="643" w:firstLineChars="200"/>
        <w:rPr>
          <w:rFonts w:ascii="楷体_GB2312" w:hAnsi="仿宋_GB2312" w:eastAsia="楷体_GB2312" w:cs="仿宋_GB2312"/>
          <w:b/>
          <w:kern w:val="0"/>
          <w:sz w:val="32"/>
          <w:szCs w:val="32"/>
        </w:rPr>
      </w:pPr>
      <w:r>
        <w:rPr>
          <w:rFonts w:hint="eastAsia" w:ascii="楷体_GB2312" w:hAnsi="仿宋_GB2312" w:eastAsia="楷体_GB2312" w:cs="仿宋_GB2312"/>
          <w:b/>
          <w:kern w:val="0"/>
          <w:sz w:val="32"/>
          <w:szCs w:val="32"/>
        </w:rPr>
        <w:t>人员编制情况</w:t>
      </w:r>
    </w:p>
    <w:p w14:paraId="2B8B121B">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我局202</w:t>
      </w: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年12月底共有干部职工</w:t>
      </w:r>
      <w:r>
        <w:rPr>
          <w:rFonts w:hint="eastAsia" w:ascii="仿宋_GB2312" w:hAnsi="仿宋_GB2312" w:eastAsia="仿宋_GB2312" w:cs="仿宋_GB2312"/>
          <w:color w:val="0000FF"/>
          <w:kern w:val="0"/>
          <w:sz w:val="32"/>
          <w:szCs w:val="32"/>
          <w:lang w:val="en-US" w:eastAsia="zh-CN"/>
        </w:rPr>
        <w:t>102</w:t>
      </w:r>
      <w:r>
        <w:rPr>
          <w:rFonts w:hint="eastAsia" w:ascii="仿宋_GB2312" w:hAnsi="仿宋_GB2312" w:eastAsia="仿宋_GB2312" w:cs="仿宋_GB2312"/>
          <w:kern w:val="0"/>
          <w:sz w:val="32"/>
          <w:szCs w:val="32"/>
        </w:rPr>
        <w:t>人，其中在职</w:t>
      </w:r>
      <w:r>
        <w:rPr>
          <w:rFonts w:hint="eastAsia" w:ascii="仿宋_GB2312" w:hAnsi="仿宋_GB2312" w:eastAsia="仿宋_GB2312" w:cs="仿宋_GB2312"/>
          <w:color w:val="0000FF"/>
          <w:kern w:val="0"/>
          <w:sz w:val="32"/>
          <w:szCs w:val="32"/>
          <w:lang w:val="en-US" w:eastAsia="zh-CN"/>
        </w:rPr>
        <w:t>102</w:t>
      </w:r>
      <w:r>
        <w:rPr>
          <w:rFonts w:hint="eastAsia" w:ascii="仿宋_GB2312" w:hAnsi="仿宋_GB2312" w:eastAsia="仿宋_GB2312" w:cs="仿宋_GB2312"/>
          <w:kern w:val="0"/>
          <w:sz w:val="32"/>
          <w:szCs w:val="32"/>
        </w:rPr>
        <w:t>人（含全额编制</w:t>
      </w:r>
      <w:r>
        <w:rPr>
          <w:rFonts w:hint="eastAsia" w:ascii="仿宋_GB2312" w:hAnsi="仿宋_GB2312" w:eastAsia="仿宋_GB2312" w:cs="仿宋_GB2312"/>
          <w:kern w:val="0"/>
          <w:sz w:val="32"/>
          <w:szCs w:val="32"/>
          <w:lang w:val="en-US" w:eastAsia="zh-CN"/>
        </w:rPr>
        <w:t>87</w:t>
      </w:r>
      <w:r>
        <w:rPr>
          <w:rFonts w:hint="eastAsia" w:ascii="仿宋_GB2312" w:hAnsi="仿宋_GB2312" w:eastAsia="仿宋_GB2312" w:cs="仿宋_GB2312"/>
          <w:kern w:val="0"/>
          <w:sz w:val="32"/>
          <w:szCs w:val="32"/>
        </w:rPr>
        <w:t>、非全额编制</w:t>
      </w:r>
      <w:r>
        <w:rPr>
          <w:rFonts w:hint="eastAsia" w:ascii="仿宋_GB2312" w:hAnsi="仿宋_GB2312" w:eastAsia="仿宋_GB2312" w:cs="仿宋_GB2312"/>
          <w:color w:val="0000FF"/>
          <w:kern w:val="0"/>
          <w:sz w:val="32"/>
          <w:szCs w:val="32"/>
          <w:lang w:val="en-US" w:eastAsia="zh-CN"/>
        </w:rPr>
        <w:t>15</w:t>
      </w:r>
      <w:r>
        <w:rPr>
          <w:rFonts w:hint="eastAsia" w:ascii="仿宋_GB2312" w:hAnsi="仿宋_GB2312" w:eastAsia="仿宋_GB2312" w:cs="仿宋_GB2312"/>
          <w:kern w:val="0"/>
          <w:sz w:val="32"/>
          <w:szCs w:val="32"/>
        </w:rPr>
        <w:t>人），退休人员</w:t>
      </w:r>
      <w:r>
        <w:rPr>
          <w:rFonts w:hint="eastAsia" w:ascii="仿宋_GB2312" w:hAnsi="仿宋_GB2312" w:eastAsia="仿宋_GB2312" w:cs="仿宋_GB2312"/>
          <w:color w:val="0000FF"/>
          <w:kern w:val="0"/>
          <w:sz w:val="32"/>
          <w:szCs w:val="32"/>
          <w:lang w:val="en-US" w:eastAsia="zh-CN"/>
        </w:rPr>
        <w:t>138</w:t>
      </w:r>
      <w:r>
        <w:rPr>
          <w:rFonts w:hint="eastAsia" w:ascii="仿宋_GB2312" w:hAnsi="仿宋_GB2312" w:eastAsia="仿宋_GB2312" w:cs="仿宋_GB2312"/>
          <w:kern w:val="0"/>
          <w:sz w:val="32"/>
          <w:szCs w:val="32"/>
        </w:rPr>
        <w:t>人。</w:t>
      </w:r>
    </w:p>
    <w:p w14:paraId="406EBFDE">
      <w:pPr>
        <w:spacing w:line="580" w:lineRule="exact"/>
        <w:ind w:firstLine="640" w:firstLineChars="200"/>
        <w:rPr>
          <w:rFonts w:ascii="黑体" w:hAnsi="黑体" w:eastAsia="黑体" w:cs="仿宋_GB2312"/>
          <w:kern w:val="0"/>
          <w:sz w:val="32"/>
          <w:szCs w:val="32"/>
        </w:rPr>
      </w:pPr>
      <w:r>
        <w:rPr>
          <w:rFonts w:hint="eastAsia" w:ascii="黑体" w:hAnsi="黑体" w:eastAsia="黑体" w:cs="仿宋_GB2312"/>
          <w:bCs/>
          <w:kern w:val="0"/>
          <w:sz w:val="32"/>
          <w:szCs w:val="32"/>
        </w:rPr>
        <w:t>二、部门整体支出管理及使用情况</w:t>
      </w:r>
    </w:p>
    <w:p w14:paraId="423CEA67">
      <w:pPr>
        <w:spacing w:line="580" w:lineRule="exact"/>
        <w:ind w:firstLine="643" w:firstLineChars="200"/>
        <w:rPr>
          <w:rFonts w:ascii="仿宋_GB2312" w:hAnsi="仿宋_GB2312" w:eastAsia="仿宋_GB2312" w:cs="仿宋_GB2312"/>
          <w:kern w:val="0"/>
          <w:sz w:val="32"/>
          <w:szCs w:val="32"/>
        </w:rPr>
      </w:pPr>
      <w:r>
        <w:rPr>
          <w:rFonts w:hint="eastAsia" w:ascii="楷体_GB2312" w:hAnsi="仿宋_GB2312" w:eastAsia="楷体_GB2312" w:cs="仿宋_GB2312"/>
          <w:b/>
          <w:kern w:val="0"/>
          <w:sz w:val="32"/>
          <w:szCs w:val="32"/>
        </w:rPr>
        <w:t>1.部门预算收支情况</w:t>
      </w:r>
      <w:r>
        <w:rPr>
          <w:rFonts w:hint="eastAsia" w:ascii="仿宋_GB2312" w:hAnsi="仿宋_GB2312" w:eastAsia="仿宋_GB2312" w:cs="仿宋_GB2312"/>
          <w:kern w:val="0"/>
          <w:sz w:val="32"/>
          <w:szCs w:val="32"/>
        </w:rPr>
        <w:t>（含公共财政拨款、政府性基金拨款、纳入专户管理的非税收入拨款及其他资金）及部门决算情况。</w:t>
      </w:r>
    </w:p>
    <w:p w14:paraId="4D8D9B33">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（1）202</w:t>
      </w: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年部门预算情况</w:t>
      </w:r>
    </w:p>
    <w:p w14:paraId="229523AA">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我局202</w:t>
      </w: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年单位支出预算批复经费包干数为</w:t>
      </w:r>
      <w:r>
        <w:rPr>
          <w:rFonts w:hint="eastAsia" w:ascii="宋体" w:hAnsi="宋体" w:eastAsia="宋体" w:cs="宋体"/>
          <w:color w:val="000000"/>
          <w:sz w:val="32"/>
          <w:szCs w:val="32"/>
          <w:lang w:val="en-US" w:eastAsia="zh-CN"/>
        </w:rPr>
        <w:t>795.92</w:t>
      </w:r>
      <w:r>
        <w:rPr>
          <w:rFonts w:hint="eastAsia" w:ascii="仿宋_GB2312" w:hAnsi="仿宋_GB2312" w:eastAsia="仿宋_GB2312" w:cs="仿宋_GB2312"/>
          <w:kern w:val="0"/>
          <w:sz w:val="32"/>
          <w:szCs w:val="32"/>
        </w:rPr>
        <w:t>万元，其中工资福利支出</w:t>
      </w:r>
      <w:r>
        <w:rPr>
          <w:rFonts w:hint="eastAsia" w:ascii="仿宋_GB2312" w:hAnsi="仿宋_GB2312" w:eastAsia="仿宋_GB2312" w:cs="仿宋_GB2312"/>
          <w:kern w:val="0"/>
          <w:sz w:val="32"/>
          <w:szCs w:val="32"/>
          <w:lang w:val="en-US" w:eastAsia="zh-CN"/>
        </w:rPr>
        <w:t>443.54</w:t>
      </w:r>
      <w:r>
        <w:rPr>
          <w:rFonts w:hint="eastAsia" w:ascii="仿宋_GB2312" w:hAnsi="仿宋_GB2312" w:eastAsia="仿宋_GB2312" w:cs="仿宋_GB2312"/>
          <w:kern w:val="0"/>
          <w:sz w:val="32"/>
          <w:szCs w:val="32"/>
        </w:rPr>
        <w:t>万元，一般商品和服务支出</w:t>
      </w:r>
      <w:r>
        <w:rPr>
          <w:rFonts w:hint="eastAsia" w:ascii="仿宋_GB2312" w:hAnsi="仿宋_GB2312" w:eastAsia="仿宋_GB2312" w:cs="仿宋_GB2312"/>
          <w:kern w:val="0"/>
          <w:sz w:val="32"/>
          <w:szCs w:val="32"/>
          <w:lang w:val="en-US" w:eastAsia="zh-CN"/>
        </w:rPr>
        <w:t>29.4</w:t>
      </w:r>
      <w:r>
        <w:rPr>
          <w:rFonts w:hint="eastAsia" w:ascii="仿宋_GB2312" w:hAnsi="仿宋_GB2312" w:eastAsia="仿宋_GB2312" w:cs="仿宋_GB2312"/>
          <w:kern w:val="0"/>
          <w:sz w:val="32"/>
          <w:szCs w:val="32"/>
        </w:rPr>
        <w:t>万元，对个人和家庭补助</w:t>
      </w:r>
      <w:r>
        <w:rPr>
          <w:rFonts w:hint="eastAsia" w:ascii="仿宋_GB2312" w:hAnsi="仿宋_GB2312" w:eastAsia="仿宋_GB2312" w:cs="仿宋_GB2312"/>
          <w:kern w:val="0"/>
          <w:sz w:val="32"/>
          <w:szCs w:val="32"/>
          <w:lang w:val="en-US" w:eastAsia="zh-CN"/>
        </w:rPr>
        <w:t>11.98</w:t>
      </w:r>
      <w:r>
        <w:rPr>
          <w:rFonts w:hint="eastAsia" w:ascii="仿宋_GB2312" w:hAnsi="仿宋_GB2312" w:eastAsia="仿宋_GB2312" w:cs="仿宋_GB2312"/>
          <w:kern w:val="0"/>
          <w:sz w:val="32"/>
          <w:szCs w:val="32"/>
        </w:rPr>
        <w:t>万元，专项经费</w:t>
      </w:r>
      <w:r>
        <w:rPr>
          <w:rFonts w:hint="eastAsia" w:ascii="仿宋_GB2312" w:hAnsi="仿宋_GB2312" w:eastAsia="仿宋_GB2312" w:cs="仿宋_GB2312"/>
          <w:kern w:val="0"/>
          <w:sz w:val="32"/>
          <w:szCs w:val="32"/>
          <w:lang w:val="en-US" w:eastAsia="zh-CN"/>
        </w:rPr>
        <w:t>311</w:t>
      </w:r>
      <w:r>
        <w:rPr>
          <w:rFonts w:hint="eastAsia" w:ascii="仿宋_GB2312" w:hAnsi="仿宋_GB2312" w:eastAsia="仿宋_GB2312" w:cs="仿宋_GB2312"/>
          <w:kern w:val="0"/>
          <w:sz w:val="32"/>
          <w:szCs w:val="32"/>
        </w:rPr>
        <w:t>万元。</w:t>
      </w:r>
    </w:p>
    <w:p w14:paraId="6C1665C5">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（2）202</w:t>
      </w: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年部门决算情况</w:t>
      </w:r>
    </w:p>
    <w:p w14:paraId="0E926212">
      <w:pPr>
        <w:spacing w:line="580" w:lineRule="exact"/>
        <w:ind w:firstLine="640" w:firstLineChars="200"/>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1、2023年总收入15481.3万元，比预算增加14685.38万元，完成预算率948.5%，主要是因为机构改革原商务和粮食局粮食职能和人员、原住建局人防办职能和人员、原县委财经委办公室职能划转到我局。</w:t>
      </w:r>
    </w:p>
    <w:p w14:paraId="0E3AD892">
      <w:pPr>
        <w:spacing w:line="580" w:lineRule="exact"/>
        <w:ind w:firstLine="640" w:firstLineChars="200"/>
        <w:rPr>
          <w:rFonts w:hint="eastAsia" w:ascii="仿宋_GB2312" w:hAnsi="仿宋_GB2312" w:eastAsia="仿宋_GB2312" w:cs="仿宋_GB2312"/>
          <w:color w:val="FF0000"/>
          <w:kern w:val="0"/>
          <w:sz w:val="32"/>
          <w:szCs w:val="32"/>
        </w:rPr>
      </w:pPr>
      <w:r>
        <w:rPr>
          <w:rFonts w:hint="eastAsia" w:ascii="仿宋_GB2312" w:hAnsi="仿宋_GB2312" w:eastAsia="仿宋_GB2312" w:cs="仿宋_GB2312"/>
          <w:color w:val="FF0000"/>
          <w:kern w:val="0"/>
          <w:sz w:val="32"/>
          <w:szCs w:val="32"/>
        </w:rPr>
        <w:t>2．收入支出结构分析。</w:t>
      </w:r>
    </w:p>
    <w:p w14:paraId="1282B0AE">
      <w:pPr>
        <w:spacing w:line="580" w:lineRule="exact"/>
        <w:ind w:firstLine="640" w:firstLineChars="200"/>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color w:val="FF0000"/>
          <w:kern w:val="0"/>
          <w:sz w:val="32"/>
          <w:szCs w:val="32"/>
          <w:lang w:val="en-US" w:eastAsia="zh-CN"/>
        </w:rPr>
        <w:t>202</w:t>
      </w:r>
      <w:r>
        <w:rPr>
          <w:rFonts w:hint="eastAsia" w:ascii="仿宋_GB2312" w:hAnsi="仿宋_GB2312" w:eastAsia="仿宋_GB2312" w:cs="仿宋_GB2312"/>
          <w:kern w:val="0"/>
          <w:sz w:val="32"/>
          <w:szCs w:val="32"/>
          <w:lang w:val="en-US" w:eastAsia="zh-CN"/>
        </w:rPr>
        <w:t>3年总收入15481.3万元，比上年增加13917.18万元，增加889.7%，主要是因为机构改革职能增加人员增加及扶贫搬迁资金和专项债券资金。</w:t>
      </w:r>
    </w:p>
    <w:p w14:paraId="064CA2A3">
      <w:pPr>
        <w:spacing w:line="580" w:lineRule="exact"/>
        <w:ind w:firstLine="640" w:firstLineChars="200"/>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其中本年一般公共预算收入3591.5万元，占比23.2%；</w:t>
      </w:r>
      <w:r>
        <w:rPr>
          <w:rFonts w:hint="eastAsia" w:ascii="仿宋_GB2312" w:hAnsi="仿宋_GB2312" w:eastAsia="仿宋_GB2312" w:cs="仿宋_GB2312"/>
          <w:kern w:val="0"/>
          <w:sz w:val="32"/>
          <w:szCs w:val="32"/>
        </w:rPr>
        <w:t>政府性基金财政拨款收入0万元</w:t>
      </w:r>
      <w:r>
        <w:rPr>
          <w:rFonts w:hint="eastAsia" w:ascii="仿宋_GB2312" w:hAnsi="仿宋_GB2312" w:eastAsia="仿宋_GB2312" w:cs="仿宋_GB2312"/>
          <w:kern w:val="0"/>
          <w:sz w:val="32"/>
          <w:szCs w:val="32"/>
          <w:lang w:eastAsia="zh-CN"/>
        </w:rPr>
        <w:t>，占比</w:t>
      </w:r>
      <w:r>
        <w:rPr>
          <w:rFonts w:hint="eastAsia" w:ascii="仿宋_GB2312" w:hAnsi="仿宋_GB2312" w:eastAsia="仿宋_GB2312" w:cs="仿宋_GB2312"/>
          <w:kern w:val="0"/>
          <w:sz w:val="32"/>
          <w:szCs w:val="32"/>
          <w:lang w:val="en-US" w:eastAsia="zh-CN"/>
        </w:rPr>
        <w:t>0%；事业收入0万元，占比0%；其他收入11889.8万元，占比76.8%。</w:t>
      </w:r>
    </w:p>
    <w:p w14:paraId="3BA65B6F">
      <w:pPr>
        <w:spacing w:line="580" w:lineRule="exact"/>
        <w:ind w:firstLine="640" w:firstLineChars="200"/>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2023年总支出15481.3万元，比上年增加13917.18万元，增加889.7%，主要是因为机构改革职能增加人员增加及扶贫搬迁资金和专项债券资金。其中本年基本支出555.93万元，占比3.59%，项目支出14925.37万元，占比96.41%。</w:t>
      </w:r>
    </w:p>
    <w:p w14:paraId="79960094">
      <w:pPr>
        <w:spacing w:line="58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4.财政拨款收入、支出分析。</w:t>
      </w:r>
    </w:p>
    <w:p w14:paraId="2F3D6B5F">
      <w:pPr>
        <w:spacing w:line="580" w:lineRule="exact"/>
        <w:ind w:firstLine="640" w:firstLineChars="200"/>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2023年财政拨款收入15481.3万元，比上年增加13917.18万元，增加889.7%，其中一般公共预算收入15481.3万元，占比100%；</w:t>
      </w:r>
      <w:r>
        <w:rPr>
          <w:rFonts w:hint="eastAsia" w:ascii="仿宋_GB2312" w:hAnsi="仿宋_GB2312" w:eastAsia="仿宋_GB2312" w:cs="仿宋_GB2312"/>
          <w:kern w:val="0"/>
          <w:sz w:val="32"/>
          <w:szCs w:val="32"/>
        </w:rPr>
        <w:t>政府性基金财政拨款收入0万元</w:t>
      </w:r>
      <w:r>
        <w:rPr>
          <w:rFonts w:hint="eastAsia" w:ascii="仿宋_GB2312" w:hAnsi="仿宋_GB2312" w:eastAsia="仿宋_GB2312" w:cs="仿宋_GB2312"/>
          <w:kern w:val="0"/>
          <w:sz w:val="32"/>
          <w:szCs w:val="32"/>
          <w:lang w:eastAsia="zh-CN"/>
        </w:rPr>
        <w:t>，占比</w:t>
      </w:r>
      <w:r>
        <w:rPr>
          <w:rFonts w:hint="eastAsia" w:ascii="仿宋_GB2312" w:hAnsi="仿宋_GB2312" w:eastAsia="仿宋_GB2312" w:cs="仿宋_GB2312"/>
          <w:kern w:val="0"/>
          <w:sz w:val="32"/>
          <w:szCs w:val="32"/>
          <w:lang w:val="en-US" w:eastAsia="zh-CN"/>
        </w:rPr>
        <w:t>0%。</w:t>
      </w:r>
    </w:p>
    <w:p w14:paraId="501C509B">
      <w:pPr>
        <w:spacing w:line="58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5.非财政拨款收入分析。</w:t>
      </w:r>
    </w:p>
    <w:p w14:paraId="50B5441A">
      <w:pPr>
        <w:spacing w:line="58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2023年事业收入0万元，其他收入11889.8万元，主要是往来资金专户收入(扶贫搬迁资金和专项债券资金)。</w:t>
      </w:r>
    </w:p>
    <w:p w14:paraId="0A1BB519">
      <w:pPr>
        <w:numPr>
          <w:ilvl w:val="0"/>
          <w:numId w:val="2"/>
        </w:numPr>
        <w:spacing w:line="580" w:lineRule="exact"/>
        <w:ind w:firstLine="643" w:firstLineChars="200"/>
        <w:rPr>
          <w:rFonts w:ascii="楷体_GB2312" w:hAnsi="仿宋_GB2312" w:eastAsia="楷体_GB2312" w:cs="仿宋_GB2312"/>
          <w:b/>
          <w:kern w:val="0"/>
          <w:sz w:val="32"/>
          <w:szCs w:val="32"/>
        </w:rPr>
      </w:pPr>
      <w:r>
        <w:rPr>
          <w:rFonts w:hint="eastAsia" w:ascii="楷体_GB2312" w:hAnsi="仿宋_GB2312" w:eastAsia="楷体_GB2312" w:cs="仿宋_GB2312"/>
          <w:b/>
          <w:kern w:val="0"/>
          <w:sz w:val="32"/>
          <w:szCs w:val="32"/>
        </w:rPr>
        <w:t>支出分类情况</w:t>
      </w:r>
    </w:p>
    <w:p w14:paraId="3939B37B">
      <w:pPr>
        <w:numPr>
          <w:ilvl w:val="0"/>
          <w:numId w:val="3"/>
        </w:numPr>
        <w:spacing w:line="580" w:lineRule="exact"/>
        <w:ind w:left="840" w:leftChars="0" w:firstLineChars="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基本支出</w:t>
      </w:r>
    </w:p>
    <w:p w14:paraId="54E369B0">
      <w:pPr>
        <w:spacing w:line="580" w:lineRule="exact"/>
        <w:ind w:firstLine="640" w:firstLineChars="200"/>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rPr>
        <w:t>我局202</w:t>
      </w: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年基本支出总计</w:t>
      </w:r>
      <w:r>
        <w:rPr>
          <w:rFonts w:hint="eastAsia" w:ascii="仿宋_GB2312" w:hAnsi="仿宋_GB2312" w:eastAsia="仿宋_GB2312" w:cs="仿宋_GB2312"/>
          <w:kern w:val="0"/>
          <w:sz w:val="32"/>
          <w:szCs w:val="32"/>
          <w:lang w:val="en-US" w:eastAsia="zh-CN"/>
        </w:rPr>
        <w:t>555.93</w:t>
      </w:r>
      <w:r>
        <w:rPr>
          <w:rFonts w:hint="eastAsia" w:ascii="仿宋_GB2312" w:hAnsi="仿宋_GB2312" w:eastAsia="仿宋_GB2312" w:cs="仿宋_GB2312"/>
          <w:kern w:val="0"/>
          <w:sz w:val="32"/>
          <w:szCs w:val="32"/>
        </w:rPr>
        <w:t>万元，</w:t>
      </w:r>
      <w:r>
        <w:rPr>
          <w:rFonts w:hint="eastAsia" w:ascii="仿宋_GB2312" w:hAnsi="仿宋_GB2312" w:eastAsia="仿宋_GB2312" w:cs="仿宋_GB2312"/>
          <w:kern w:val="0"/>
          <w:sz w:val="32"/>
          <w:szCs w:val="32"/>
          <w:lang w:val="en-US" w:eastAsia="zh-CN"/>
        </w:rPr>
        <w:t>主要为一般公共服务，社会保障就业，卫生健康，住房保障和在职人员工资等支出。</w:t>
      </w:r>
    </w:p>
    <w:p w14:paraId="4943BB68">
      <w:pPr>
        <w:spacing w:line="580" w:lineRule="exact"/>
        <w:ind w:firstLine="640" w:firstLineChars="200"/>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rPr>
        <w:t>（1）“三公”经费支出情况：</w:t>
      </w:r>
      <w:r>
        <w:rPr>
          <w:rFonts w:hint="eastAsia" w:ascii="仿宋_GB2312" w:hAnsi="仿宋_GB2312" w:eastAsia="仿宋_GB2312" w:cs="仿宋_GB2312"/>
          <w:kern w:val="0"/>
          <w:sz w:val="32"/>
          <w:szCs w:val="32"/>
          <w:lang w:eastAsia="zh-CN"/>
        </w:rPr>
        <w:t>本年三公经费预算</w:t>
      </w:r>
      <w:r>
        <w:rPr>
          <w:rFonts w:hint="eastAsia" w:ascii="仿宋_GB2312" w:hAnsi="仿宋_GB2312" w:eastAsia="仿宋_GB2312" w:cs="仿宋_GB2312"/>
          <w:kern w:val="0"/>
          <w:sz w:val="32"/>
          <w:szCs w:val="32"/>
          <w:lang w:val="en-US" w:eastAsia="zh-CN"/>
        </w:rPr>
        <w:t>6万元，其中公务接待预算6万元，实际支出0.52万元、因公出国0元，公车运行支出3.51元(机构改革人防通信指挥车划转到我局因此产生公车运行费用)。</w:t>
      </w:r>
    </w:p>
    <w:p w14:paraId="7EA6A276">
      <w:pPr>
        <w:spacing w:line="580" w:lineRule="exact"/>
        <w:ind w:firstLine="640" w:firstLineChars="200"/>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）会议费支出情况：</w:t>
      </w:r>
      <w:r>
        <w:rPr>
          <w:rFonts w:hint="eastAsia" w:ascii="仿宋_GB2312" w:hAnsi="仿宋_GB2312" w:eastAsia="仿宋_GB2312" w:cs="仿宋_GB2312"/>
          <w:kern w:val="0"/>
          <w:sz w:val="32"/>
          <w:szCs w:val="32"/>
          <w:lang w:eastAsia="zh-CN"/>
        </w:rPr>
        <w:t>本年会议费支出</w:t>
      </w:r>
      <w:r>
        <w:rPr>
          <w:rFonts w:hint="eastAsia" w:ascii="仿宋_GB2312" w:hAnsi="仿宋_GB2312" w:eastAsia="仿宋_GB2312" w:cs="仿宋_GB2312"/>
          <w:kern w:val="0"/>
          <w:sz w:val="32"/>
          <w:szCs w:val="32"/>
          <w:lang w:val="en-US" w:eastAsia="zh-CN"/>
        </w:rPr>
        <w:t>4.13万元</w:t>
      </w:r>
    </w:p>
    <w:p w14:paraId="397E6F0A">
      <w:pPr>
        <w:spacing w:line="580" w:lineRule="exact"/>
        <w:ind w:firstLine="640" w:firstLineChars="200"/>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）培训费支出情况：</w:t>
      </w:r>
      <w:r>
        <w:rPr>
          <w:rFonts w:hint="eastAsia" w:ascii="仿宋_GB2312" w:hAnsi="仿宋_GB2312" w:eastAsia="仿宋_GB2312" w:cs="仿宋_GB2312"/>
          <w:kern w:val="0"/>
          <w:sz w:val="32"/>
          <w:szCs w:val="32"/>
          <w:lang w:eastAsia="zh-CN"/>
        </w:rPr>
        <w:t>本年培训费支出</w:t>
      </w:r>
      <w:r>
        <w:rPr>
          <w:rFonts w:hint="eastAsia" w:ascii="仿宋_GB2312" w:hAnsi="仿宋_GB2312" w:eastAsia="仿宋_GB2312" w:cs="仿宋_GB2312"/>
          <w:kern w:val="0"/>
          <w:sz w:val="32"/>
          <w:szCs w:val="32"/>
          <w:lang w:val="en-US" w:eastAsia="zh-CN"/>
        </w:rPr>
        <w:t>2.13万元</w:t>
      </w:r>
    </w:p>
    <w:p w14:paraId="47F52630">
      <w:pPr>
        <w:spacing w:line="580" w:lineRule="exact"/>
        <w:ind w:firstLine="640" w:firstLineChars="200"/>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）其他对单位影响较大的支出情况。</w:t>
      </w:r>
      <w:r>
        <w:rPr>
          <w:rFonts w:hint="eastAsia" w:ascii="仿宋_GB2312" w:hAnsi="仿宋_GB2312" w:eastAsia="仿宋_GB2312" w:cs="仿宋_GB2312"/>
          <w:kern w:val="0"/>
          <w:sz w:val="32"/>
          <w:szCs w:val="32"/>
          <w:lang w:eastAsia="zh-CN"/>
        </w:rPr>
        <w:t>无</w:t>
      </w:r>
    </w:p>
    <w:p w14:paraId="4DE8420C">
      <w:pPr>
        <w:numPr>
          <w:ilvl w:val="0"/>
          <w:numId w:val="3"/>
        </w:numPr>
        <w:spacing w:line="580" w:lineRule="exact"/>
        <w:ind w:left="840" w:leftChars="0" w:firstLineChars="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项目支出</w:t>
      </w:r>
      <w:r>
        <w:rPr>
          <w:rFonts w:hint="eastAsia" w:ascii="仿宋_GB2312" w:hAnsi="仿宋_GB2312" w:eastAsia="仿宋_GB2312" w:cs="仿宋_GB2312"/>
          <w:kern w:val="0"/>
          <w:sz w:val="32"/>
          <w:szCs w:val="32"/>
          <w:lang w:val="en-US" w:eastAsia="zh-CN"/>
        </w:rPr>
        <w:t xml:space="preserve"> </w:t>
      </w:r>
    </w:p>
    <w:p w14:paraId="2F76E57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rPr>
        <w:t>我局202</w:t>
      </w: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年项目支出总计</w:t>
      </w:r>
      <w:r>
        <w:rPr>
          <w:rFonts w:hint="eastAsia" w:ascii="仿宋_GB2312" w:hAnsi="仿宋_GB2312" w:eastAsia="仿宋_GB2312" w:cs="仿宋_GB2312"/>
          <w:kern w:val="0"/>
          <w:sz w:val="32"/>
          <w:szCs w:val="32"/>
          <w:lang w:val="en-US" w:eastAsia="zh-CN"/>
        </w:rPr>
        <w:t>3035.61</w:t>
      </w:r>
      <w:r>
        <w:rPr>
          <w:rFonts w:hint="eastAsia" w:ascii="仿宋_GB2312" w:hAnsi="仿宋_GB2312" w:eastAsia="仿宋_GB2312" w:cs="仿宋_GB2312"/>
          <w:kern w:val="0"/>
          <w:sz w:val="32"/>
          <w:szCs w:val="32"/>
        </w:rPr>
        <w:t>万元。其中</w:t>
      </w:r>
      <w:r>
        <w:rPr>
          <w:rFonts w:hint="eastAsia" w:ascii="仿宋_GB2312" w:hAnsi="仿宋_GB2312" w:eastAsia="仿宋_GB2312" w:cs="仿宋_GB2312"/>
          <w:kern w:val="0"/>
          <w:sz w:val="32"/>
          <w:szCs w:val="32"/>
          <w:lang w:val="en-US" w:eastAsia="zh-CN"/>
        </w:rPr>
        <w:t>727</w:t>
      </w:r>
      <w:r>
        <w:rPr>
          <w:rFonts w:hint="eastAsia" w:ascii="仿宋_GB2312" w:hAnsi="仿宋_GB2312" w:eastAsia="仿宋_GB2312" w:cs="仿宋_GB2312"/>
          <w:kern w:val="0"/>
          <w:sz w:val="32"/>
          <w:szCs w:val="32"/>
        </w:rPr>
        <w:t>万元经费主要用于</w:t>
      </w:r>
      <w:r>
        <w:rPr>
          <w:rFonts w:hint="eastAsia" w:ascii="仿宋_GB2312" w:hAnsi="仿宋_GB2312" w:eastAsia="仿宋_GB2312" w:cs="仿宋_GB2312"/>
          <w:kern w:val="0"/>
          <w:sz w:val="32"/>
          <w:szCs w:val="32"/>
          <w:lang w:val="en-US" w:eastAsia="zh-CN"/>
        </w:rPr>
        <w:t>转付各</w:t>
      </w:r>
      <w:r>
        <w:rPr>
          <w:rFonts w:hint="eastAsia" w:ascii="仿宋_GB2312" w:hAnsi="仿宋_GB2312" w:eastAsia="仿宋_GB2312" w:cs="仿宋_GB2312"/>
          <w:kern w:val="0"/>
          <w:sz w:val="32"/>
          <w:szCs w:val="32"/>
        </w:rPr>
        <w:t>项目</w:t>
      </w:r>
      <w:r>
        <w:rPr>
          <w:rFonts w:hint="eastAsia" w:ascii="仿宋_GB2312" w:hAnsi="仿宋_GB2312" w:eastAsia="仿宋_GB2312" w:cs="仿宋_GB2312"/>
          <w:kern w:val="0"/>
          <w:sz w:val="32"/>
          <w:szCs w:val="32"/>
          <w:lang w:val="en-US" w:eastAsia="zh-CN"/>
        </w:rPr>
        <w:t>单位</w:t>
      </w:r>
      <w:r>
        <w:rPr>
          <w:rFonts w:hint="eastAsia" w:ascii="仿宋_GB2312" w:hAnsi="仿宋_GB2312" w:eastAsia="仿宋_GB2312" w:cs="仿宋_GB2312"/>
          <w:kern w:val="0"/>
          <w:sz w:val="32"/>
          <w:szCs w:val="32"/>
        </w:rPr>
        <w:t>前期工作经费,</w:t>
      </w:r>
      <w:r>
        <w:rPr>
          <w:rFonts w:hint="eastAsia" w:ascii="Times New Roman" w:hAnsi="Times New Roman" w:eastAsia="仿宋_GB2312" w:cs="Times New Roman"/>
          <w:bCs/>
          <w:color w:val="auto"/>
          <w:sz w:val="32"/>
          <w:szCs w:val="32"/>
          <w:lang w:val="en-US" w:eastAsia="zh-CN"/>
        </w:rPr>
        <w:t>全县固定资产投资增速12.7%总投资额97.78亿元。</w:t>
      </w:r>
      <w:r>
        <w:rPr>
          <w:rFonts w:hint="eastAsia" w:ascii="Times New Roman" w:hAnsi="Times New Roman" w:eastAsia="仿宋_GB2312"/>
          <w:color w:val="auto"/>
          <w:sz w:val="32"/>
          <w:szCs w:val="32"/>
          <w:lang w:val="en-US" w:eastAsia="zh-CN"/>
        </w:rPr>
        <w:t>全年我县共谋划中央预算内项目63个；谋划专项债券项目24个，其中通过国家发改委审核项目8个；谋划特别国债项目59个</w:t>
      </w:r>
      <w:r>
        <w:rPr>
          <w:rFonts w:ascii="Times New Roman" w:hAnsi="Times New Roman" w:eastAsia="仿宋_GB2312"/>
          <w:color w:val="000000"/>
          <w:sz w:val="32"/>
          <w:szCs w:val="32"/>
        </w:rPr>
        <w:t>。</w:t>
      </w:r>
      <w:r>
        <w:rPr>
          <w:rFonts w:hint="eastAsia" w:ascii="仿宋_GB2312" w:hAnsi="仿宋_GB2312" w:eastAsia="仿宋_GB2312" w:cs="仿宋_GB2312"/>
          <w:sz w:val="32"/>
          <w:szCs w:val="32"/>
        </w:rPr>
        <w:t>为促进全县经济高质量发展、推进“四区一花园”建设，按照衡南县专题会议纪要（清委纪要【2019】4号）的相关规定，将政府投资重大项目策划包装前期工作经费纳入财政预算，项目主管部门或建设单位按照《衡南县政府投资重大项目策划包装前期工作经费管理暂行办法》的规定程序报请审核批准后，由我局拨付至项目主管部门或建设单位。</w:t>
      </w:r>
      <w:r>
        <w:rPr>
          <w:rFonts w:hint="eastAsia" w:ascii="仿宋_GB2312" w:hAnsi="仿宋_GB2312" w:eastAsia="仿宋_GB2312" w:cs="仿宋_GB2312"/>
          <w:kern w:val="0"/>
          <w:sz w:val="32"/>
          <w:szCs w:val="32"/>
          <w:lang w:val="en-US" w:eastAsia="zh-CN"/>
        </w:rPr>
        <w:t>异地搬迁后续帮扶资金30万元用于</w:t>
      </w:r>
      <w:r>
        <w:rPr>
          <w:rFonts w:hint="eastAsia" w:ascii="仿宋_GB2312" w:hAnsi="仿宋_GB2312" w:eastAsia="仿宋_GB2312" w:cs="仿宋_GB2312"/>
          <w:kern w:val="0"/>
          <w:sz w:val="32"/>
          <w:szCs w:val="32"/>
        </w:rPr>
        <w:t>相关</w:t>
      </w:r>
      <w:r>
        <w:rPr>
          <w:rFonts w:hint="eastAsia" w:ascii="仿宋_GB2312" w:hAnsi="仿宋_GB2312" w:eastAsia="仿宋_GB2312" w:cs="仿宋_GB2312"/>
          <w:kern w:val="0"/>
          <w:sz w:val="32"/>
          <w:szCs w:val="32"/>
          <w:lang w:val="en-US" w:eastAsia="zh-CN"/>
        </w:rPr>
        <w:t>帮扶及</w:t>
      </w:r>
      <w:r>
        <w:rPr>
          <w:rFonts w:hint="eastAsia" w:ascii="仿宋_GB2312" w:hAnsi="仿宋_GB2312" w:eastAsia="仿宋_GB2312" w:cs="仿宋_GB2312"/>
          <w:kern w:val="0"/>
          <w:sz w:val="32"/>
          <w:szCs w:val="32"/>
        </w:rPr>
        <w:t>工作开支，后盾单位帮扶资金</w:t>
      </w:r>
      <w:r>
        <w:rPr>
          <w:rFonts w:hint="eastAsia" w:ascii="仿宋_GB2312" w:hAnsi="仿宋_GB2312" w:eastAsia="仿宋_GB2312" w:cs="仿宋_GB2312"/>
          <w:color w:val="FF0000"/>
          <w:kern w:val="0"/>
          <w:sz w:val="32"/>
          <w:szCs w:val="32"/>
          <w:lang w:val="en-US" w:eastAsia="zh-CN"/>
        </w:rPr>
        <w:t>9</w:t>
      </w:r>
      <w:r>
        <w:rPr>
          <w:rFonts w:hint="eastAsia" w:ascii="仿宋_GB2312" w:hAnsi="仿宋_GB2312" w:eastAsia="仿宋_GB2312" w:cs="仿宋_GB2312"/>
          <w:kern w:val="0"/>
          <w:sz w:val="32"/>
          <w:szCs w:val="32"/>
          <w:lang w:val="en-US" w:eastAsia="zh-CN"/>
        </w:rPr>
        <w:t>万元，主要用于支持帮扶村乡村振兴工作</w:t>
      </w:r>
      <w:r>
        <w:rPr>
          <w:rFonts w:hint="eastAsia" w:ascii="仿宋_GB2312" w:hAnsi="仿宋_GB2312" w:eastAsia="仿宋_GB2312" w:cs="仿宋_GB2312"/>
          <w:kern w:val="0"/>
          <w:sz w:val="32"/>
          <w:szCs w:val="32"/>
        </w:rPr>
        <w:t>、驻村队工作经费</w:t>
      </w:r>
      <w:r>
        <w:rPr>
          <w:rFonts w:hint="eastAsia" w:ascii="仿宋_GB2312" w:hAnsi="仿宋_GB2312" w:eastAsia="仿宋_GB2312" w:cs="仿宋_GB2312"/>
          <w:kern w:val="0"/>
          <w:sz w:val="32"/>
          <w:szCs w:val="32"/>
          <w:lang w:val="en-US" w:eastAsia="zh-CN"/>
        </w:rPr>
        <w:t>2万元主要用于帮扶村工作经费</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对个人和家庭的补助2.14万元主要用于困难家庭帮扶</w:t>
      </w:r>
      <w:r>
        <w:rPr>
          <w:rFonts w:hint="eastAsia" w:ascii="仿宋_GB2312" w:hAnsi="仿宋_GB2312" w:eastAsia="仿宋_GB2312" w:cs="仿宋_GB2312"/>
          <w:kern w:val="0"/>
          <w:sz w:val="32"/>
          <w:szCs w:val="32"/>
        </w:rPr>
        <w:t>。节其中</w:t>
      </w:r>
      <w:r>
        <w:rPr>
          <w:rFonts w:hint="eastAsia" w:ascii="仿宋_GB2312" w:hAnsi="仿宋_GB2312" w:eastAsia="仿宋_GB2312" w:cs="仿宋_GB2312"/>
          <w:kern w:val="0"/>
          <w:sz w:val="32"/>
          <w:szCs w:val="32"/>
          <w:lang w:val="en-US" w:eastAsia="zh-CN"/>
        </w:rPr>
        <w:t>692.21</w:t>
      </w:r>
      <w:r>
        <w:rPr>
          <w:rFonts w:hint="eastAsia" w:ascii="仿宋_GB2312" w:hAnsi="仿宋_GB2312" w:eastAsia="仿宋_GB2312" w:cs="仿宋_GB2312"/>
          <w:kern w:val="0"/>
          <w:sz w:val="32"/>
          <w:szCs w:val="32"/>
        </w:rPr>
        <w:t>万元主要用于争资引项工作经费，重点项目调研、督查等工作开支以及固定资产投资、跑项争资、重点项目建设、规上服务业等固定资产联网直报工作</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人防工程设备维修维护、粮食安全生产及仓库维修维护、</w:t>
      </w:r>
      <w:r>
        <w:rPr>
          <w:rFonts w:hint="eastAsia" w:ascii="仿宋_GB2312" w:hAnsi="仿宋_GB2312" w:eastAsia="仿宋_GB2312" w:cs="仿宋_GB2312"/>
          <w:kern w:val="0"/>
          <w:sz w:val="32"/>
          <w:szCs w:val="32"/>
        </w:rPr>
        <w:t>社会信用体系平台建设</w:t>
      </w:r>
      <w:r>
        <w:rPr>
          <w:rFonts w:hint="eastAsia" w:ascii="仿宋_GB2312" w:hAnsi="仿宋_GB2312" w:eastAsia="仿宋_GB2312" w:cs="仿宋_GB2312"/>
          <w:kern w:val="0"/>
          <w:sz w:val="32"/>
          <w:szCs w:val="32"/>
          <w:lang w:val="en-US" w:eastAsia="zh-CN"/>
        </w:rPr>
        <w:t>维护。用于2022年产粮大县奖励资金100万元、用于全县粮食挂账利息1475.4万元。</w:t>
      </w:r>
    </w:p>
    <w:p w14:paraId="0F73D226">
      <w:pPr>
        <w:spacing w:line="580" w:lineRule="exact"/>
        <w:ind w:firstLine="640" w:firstLineChars="200"/>
        <w:rPr>
          <w:rFonts w:ascii="黑体" w:hAnsi="黑体" w:eastAsia="黑体" w:cs="仿宋_GB2312"/>
          <w:bCs/>
          <w:kern w:val="0"/>
          <w:sz w:val="32"/>
          <w:szCs w:val="32"/>
        </w:rPr>
      </w:pPr>
      <w:r>
        <w:rPr>
          <w:rFonts w:hint="eastAsia" w:ascii="黑体" w:hAnsi="黑体" w:eastAsia="黑体" w:cs="仿宋_GB2312"/>
          <w:bCs/>
          <w:kern w:val="0"/>
          <w:sz w:val="32"/>
          <w:szCs w:val="32"/>
        </w:rPr>
        <w:t>三、部门整体支出绩效评价情况</w:t>
      </w:r>
    </w:p>
    <w:p w14:paraId="7C342262">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为加强预算管理、规范财务行为，我局制定并完善了《局财务管理制度》并严格执行。同时为了规范政府投资重大项目策划包装前期工作经费使用和管理，与财政局一起制定了《衡南县政府投资重大项目策划包装前期工作经费管理暂行办法》。确保预算资金的使用均符合国家财经法规、财务管理制度规定及相关预算支出管理办法的规定。资金拨付严格按照县财政的相关要求和规定，履行完整的审批程序和手续。重大预算支出均经过评估论证。经费支出基本符合部门预算批复的用途，不存在截留、挤占、挪用、虚列支出等情况。同时，我局积极按照县财政的相关要求报送并公开预决算信息，加强固定资产管理。</w:t>
      </w:r>
    </w:p>
    <w:p w14:paraId="7E5D5E6F">
      <w:pPr>
        <w:spacing w:line="580" w:lineRule="exact"/>
        <w:ind w:firstLine="643" w:firstLineChars="200"/>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202</w:t>
      </w:r>
      <w:r>
        <w:rPr>
          <w:rFonts w:hint="eastAsia" w:ascii="仿宋_GB2312" w:hAnsi="仿宋_GB2312" w:eastAsia="仿宋_GB2312" w:cs="仿宋_GB2312"/>
          <w:b/>
          <w:bCs/>
          <w:kern w:val="0"/>
          <w:sz w:val="32"/>
          <w:szCs w:val="32"/>
          <w:lang w:val="en-US" w:eastAsia="zh-CN"/>
        </w:rPr>
        <w:t>3</w:t>
      </w:r>
      <w:r>
        <w:rPr>
          <w:rFonts w:hint="eastAsia" w:ascii="仿宋_GB2312" w:hAnsi="仿宋_GB2312" w:eastAsia="仿宋_GB2312" w:cs="仿宋_GB2312"/>
          <w:b/>
          <w:bCs/>
          <w:kern w:val="0"/>
          <w:sz w:val="32"/>
          <w:szCs w:val="32"/>
        </w:rPr>
        <w:t>年履职具体情况如下：</w:t>
      </w:r>
    </w:p>
    <w:p w14:paraId="72BB4E8B">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kern w:val="2"/>
          <w:sz w:val="32"/>
          <w:szCs w:val="32"/>
          <w:lang w:val="en-US" w:eastAsia="zh-CN" w:bidi="ar-SA"/>
        </w:rPr>
      </w:pPr>
      <w:bookmarkStart w:id="0" w:name="_Hlk62230345"/>
      <w:r>
        <w:rPr>
          <w:rFonts w:hint="eastAsia" w:ascii="仿宋_GB2312" w:hAnsi="仿宋_GB2312" w:eastAsia="仿宋_GB2312" w:cs="仿宋_GB2312"/>
          <w:kern w:val="2"/>
          <w:sz w:val="32"/>
          <w:szCs w:val="32"/>
          <w:lang w:val="en-US" w:eastAsia="zh-CN" w:bidi="ar-SA"/>
        </w:rPr>
        <w:t>2023年以来，在县委、县政府的坚强领导下，我局聚焦“三高四新”美好蓝图，</w:t>
      </w:r>
      <w:r>
        <w:rPr>
          <w:rFonts w:hint="default" w:ascii="仿宋_GB2312" w:hAnsi="仿宋_GB2312" w:eastAsia="仿宋_GB2312" w:cs="仿宋_GB2312"/>
          <w:kern w:val="2"/>
          <w:sz w:val="32"/>
          <w:szCs w:val="32"/>
          <w:lang w:val="en-US" w:eastAsia="zh-CN" w:bidi="ar-SA"/>
        </w:rPr>
        <w:t>认真落实</w:t>
      </w:r>
      <w:r>
        <w:rPr>
          <w:rFonts w:hint="eastAsia" w:ascii="仿宋_GB2312" w:hAnsi="仿宋_GB2312" w:eastAsia="仿宋_GB2312" w:cs="仿宋_GB2312"/>
          <w:kern w:val="2"/>
          <w:sz w:val="32"/>
          <w:szCs w:val="32"/>
          <w:lang w:val="en-US" w:eastAsia="zh-CN" w:bidi="ar-SA"/>
        </w:rPr>
        <w:t>各项</w:t>
      </w:r>
      <w:r>
        <w:rPr>
          <w:rFonts w:hint="default" w:ascii="仿宋_GB2312" w:hAnsi="仿宋_GB2312" w:eastAsia="仿宋_GB2312" w:cs="仿宋_GB2312"/>
          <w:kern w:val="2"/>
          <w:sz w:val="32"/>
          <w:szCs w:val="32"/>
          <w:lang w:val="en-US" w:eastAsia="zh-CN" w:bidi="ar-SA"/>
        </w:rPr>
        <w:t>决策部署</w:t>
      </w:r>
      <w:r>
        <w:rPr>
          <w:rFonts w:hint="eastAsia" w:ascii="仿宋_GB2312" w:hAnsi="仿宋_GB2312" w:eastAsia="仿宋_GB2312" w:cs="仿宋_GB2312"/>
          <w:kern w:val="2"/>
          <w:sz w:val="32"/>
          <w:szCs w:val="32"/>
          <w:lang w:val="en-US" w:eastAsia="zh-CN" w:bidi="ar-SA"/>
        </w:rPr>
        <w:t>，抗牢</w:t>
      </w:r>
      <w:r>
        <w:rPr>
          <w:rFonts w:hint="default" w:ascii="仿宋_GB2312" w:hAnsi="仿宋_GB2312" w:eastAsia="仿宋_GB2312" w:cs="仿宋_GB2312"/>
          <w:kern w:val="2"/>
          <w:sz w:val="32"/>
          <w:szCs w:val="32"/>
          <w:lang w:val="en-US" w:eastAsia="zh-CN" w:bidi="ar-SA"/>
        </w:rPr>
        <w:t>主职主责，</w:t>
      </w:r>
      <w:r>
        <w:rPr>
          <w:rFonts w:hint="eastAsia" w:ascii="仿宋_GB2312" w:hAnsi="仿宋_GB2312" w:eastAsia="仿宋_GB2312" w:cs="仿宋_GB2312"/>
          <w:kern w:val="2"/>
          <w:sz w:val="32"/>
          <w:szCs w:val="32"/>
          <w:lang w:val="en-US" w:eastAsia="zh-CN" w:bidi="ar-SA"/>
        </w:rPr>
        <w:t>在打好经济增长主动仗中争当主力，力促衡南经济社会稳中有进、稳中向好。</w:t>
      </w:r>
    </w:p>
    <w:p w14:paraId="36B3743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一、</w:t>
      </w:r>
      <w:r>
        <w:rPr>
          <w:rFonts w:hint="eastAsia" w:ascii="Times New Roman" w:hAnsi="Times New Roman" w:eastAsia="黑体" w:cs="Times New Roman"/>
          <w:color w:val="auto"/>
          <w:sz w:val="32"/>
          <w:szCs w:val="32"/>
          <w:lang w:val="en-US" w:eastAsia="zh-CN"/>
        </w:rPr>
        <w:t>主要</w:t>
      </w:r>
      <w:r>
        <w:rPr>
          <w:rFonts w:hint="default" w:ascii="Times New Roman" w:hAnsi="Times New Roman" w:eastAsia="黑体" w:cs="Times New Roman"/>
          <w:color w:val="auto"/>
          <w:sz w:val="32"/>
          <w:szCs w:val="32"/>
        </w:rPr>
        <w:t>工作</w:t>
      </w:r>
      <w:r>
        <w:rPr>
          <w:rFonts w:hint="eastAsia" w:ascii="Times New Roman" w:hAnsi="Times New Roman" w:eastAsia="黑体" w:cs="Times New Roman"/>
          <w:color w:val="auto"/>
          <w:sz w:val="32"/>
          <w:szCs w:val="32"/>
          <w:lang w:val="en-US" w:eastAsia="zh-CN"/>
        </w:rPr>
        <w:t>开展</w:t>
      </w:r>
      <w:r>
        <w:rPr>
          <w:rFonts w:hint="default" w:ascii="Times New Roman" w:hAnsi="Times New Roman" w:eastAsia="黑体" w:cs="Times New Roman"/>
          <w:color w:val="auto"/>
          <w:sz w:val="32"/>
          <w:szCs w:val="32"/>
        </w:rPr>
        <w:t>情况</w:t>
      </w:r>
    </w:p>
    <w:p w14:paraId="72C7AA6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楷体_GB2312" w:hAnsi="楷体_GB2312" w:eastAsia="楷体_GB2312" w:cs="楷体_GB2312"/>
          <w:b/>
          <w:bCs/>
          <w:color w:val="auto"/>
          <w:kern w:val="2"/>
          <w:sz w:val="32"/>
          <w:szCs w:val="32"/>
          <w:lang w:val="en-US" w:eastAsia="zh-CN" w:bidi="ar-SA"/>
        </w:rPr>
        <w:t>（一）坚持先谋后动，做好规划引领。</w:t>
      </w:r>
      <w:r>
        <w:rPr>
          <w:rFonts w:hint="eastAsia" w:ascii="仿宋_GB2312" w:hAnsi="仿宋_GB2312" w:eastAsia="仿宋_GB2312" w:cs="仿宋_GB2312"/>
          <w:color w:val="auto"/>
          <w:kern w:val="2"/>
          <w:sz w:val="32"/>
          <w:szCs w:val="32"/>
          <w:lang w:val="en-US" w:eastAsia="zh-CN" w:bidi="ar-SA"/>
        </w:rPr>
        <w:t>组织开展“十四五”规划实施情况中期评估，持续推动各项目标和主要任务顺利实施。牵头</w:t>
      </w:r>
      <w:r>
        <w:rPr>
          <w:rFonts w:hint="default" w:ascii="Times New Roman" w:hAnsi="Times New Roman" w:eastAsia="仿宋_GB2312" w:cs="Times New Roman"/>
          <w:color w:val="auto"/>
          <w:kern w:val="2"/>
          <w:sz w:val="32"/>
          <w:szCs w:val="32"/>
          <w:lang w:val="en-US" w:eastAsia="zh-CN" w:bidi="ar-SA"/>
        </w:rPr>
        <w:t>编制</w:t>
      </w:r>
      <w:r>
        <w:rPr>
          <w:rFonts w:hint="eastAsia" w:ascii="Times New Roman" w:hAnsi="Times New Roman" w:eastAsia="仿宋_GB2312" w:cs="Times New Roman"/>
          <w:color w:val="auto"/>
          <w:kern w:val="2"/>
          <w:sz w:val="32"/>
          <w:szCs w:val="32"/>
          <w:lang w:val="en-US" w:eastAsia="zh-CN" w:bidi="ar-SA"/>
        </w:rPr>
        <w:t>了</w:t>
      </w:r>
      <w:r>
        <w:rPr>
          <w:rFonts w:hint="default" w:ascii="Times New Roman" w:hAnsi="Times New Roman" w:eastAsia="仿宋_GB2312" w:cs="Times New Roman"/>
          <w:color w:val="auto"/>
          <w:kern w:val="2"/>
          <w:sz w:val="32"/>
          <w:szCs w:val="32"/>
          <w:lang w:val="en-US" w:eastAsia="zh-CN" w:bidi="ar-SA"/>
        </w:rPr>
        <w:t>《衡南县2023年“产业项目建设年”活动方案》，</w:t>
      </w:r>
      <w:r>
        <w:rPr>
          <w:rFonts w:hint="eastAsia" w:ascii="Times New Roman" w:hAnsi="Times New Roman" w:eastAsia="仿宋_GB2312" w:cs="Times New Roman"/>
          <w:color w:val="auto"/>
          <w:kern w:val="2"/>
          <w:sz w:val="32"/>
          <w:szCs w:val="32"/>
          <w:lang w:val="en-US" w:eastAsia="zh-CN" w:bidi="ar-SA"/>
        </w:rPr>
        <w:t>加快构建</w:t>
      </w:r>
      <w:r>
        <w:rPr>
          <w:rFonts w:hint="default" w:ascii="Times New Roman" w:hAnsi="Times New Roman" w:eastAsia="仿宋_GB2312" w:cs="Times New Roman"/>
          <w:color w:val="auto"/>
          <w:kern w:val="2"/>
          <w:sz w:val="32"/>
          <w:szCs w:val="32"/>
          <w:lang w:val="en-US" w:eastAsia="zh-CN" w:bidi="ar-SA"/>
        </w:rPr>
        <w:t>“一主一特双总部”现代产业发展格局。</w:t>
      </w:r>
      <w:r>
        <w:rPr>
          <w:rFonts w:hint="eastAsia" w:ascii="Times New Roman" w:hAnsi="Times New Roman" w:eastAsia="仿宋_GB2312" w:cs="Times New Roman"/>
          <w:color w:val="auto"/>
          <w:sz w:val="32"/>
          <w:szCs w:val="32"/>
          <w:lang w:val="en-US" w:eastAsia="zh-CN"/>
        </w:rPr>
        <w:t>聚焦打好打赢“发展六仗”，编制了</w:t>
      </w:r>
      <w:r>
        <w:rPr>
          <w:rFonts w:hint="eastAsia" w:ascii="Times New Roman" w:hAnsi="Times New Roman" w:eastAsia="仿宋_GB2312" w:cs="Times New Roman"/>
          <w:color w:val="auto"/>
          <w:kern w:val="2"/>
          <w:sz w:val="32"/>
          <w:szCs w:val="32"/>
          <w:lang w:val="en-US" w:eastAsia="zh-CN" w:bidi="ar-SA"/>
        </w:rPr>
        <w:t>《衡南县打好经济增长主动仗实施方案》，助推我县经济高质量发展。</w:t>
      </w:r>
      <w:r>
        <w:rPr>
          <w:rFonts w:hint="eastAsia" w:ascii="仿宋_GB2312" w:hAnsi="仿宋_GB2312" w:eastAsia="仿宋_GB2312" w:cs="仿宋_GB2312"/>
          <w:color w:val="auto"/>
          <w:kern w:val="2"/>
          <w:sz w:val="32"/>
          <w:szCs w:val="32"/>
          <w:lang w:val="en-US" w:eastAsia="zh-CN" w:bidi="ar-SA"/>
        </w:rPr>
        <w:t>出台了《衡南县县城城镇化实施方案（2023-2025）》，完成《衡南县“县城补短板”任务实施情况中期评估报告》，加快推进我县城镇化进程。</w:t>
      </w:r>
    </w:p>
    <w:p w14:paraId="2890064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Times New Roman" w:hAnsi="Times New Roman" w:eastAsia="仿宋_GB2312" w:cs="Times New Roman"/>
          <w:b w:val="0"/>
          <w:bCs w:val="0"/>
          <w:color w:val="auto"/>
          <w:kern w:val="2"/>
          <w:sz w:val="32"/>
          <w:szCs w:val="32"/>
          <w:lang w:val="en-US" w:eastAsia="zh-CN" w:bidi="ar-SA"/>
        </w:rPr>
      </w:pPr>
      <w:r>
        <w:rPr>
          <w:rFonts w:hint="default" w:ascii="Times New Roman" w:hAnsi="Times New Roman" w:eastAsia="楷体_GB2312" w:cs="Times New Roman"/>
          <w:b/>
          <w:color w:val="auto"/>
          <w:sz w:val="32"/>
          <w:szCs w:val="32"/>
          <w:lang w:eastAsia="zh-CN"/>
        </w:rPr>
        <w:t>（</w:t>
      </w:r>
      <w:r>
        <w:rPr>
          <w:rFonts w:hint="default" w:ascii="Times New Roman" w:hAnsi="Times New Roman" w:eastAsia="楷体_GB2312" w:cs="Times New Roman"/>
          <w:b/>
          <w:color w:val="auto"/>
          <w:sz w:val="32"/>
          <w:szCs w:val="32"/>
          <w:lang w:val="en-US" w:eastAsia="zh-CN"/>
        </w:rPr>
        <w:t>二</w:t>
      </w:r>
      <w:r>
        <w:rPr>
          <w:rFonts w:hint="default" w:ascii="Times New Roman" w:hAnsi="Times New Roman" w:eastAsia="楷体_GB2312" w:cs="Times New Roman"/>
          <w:b/>
          <w:color w:val="auto"/>
          <w:sz w:val="32"/>
          <w:szCs w:val="32"/>
          <w:lang w:eastAsia="zh-CN"/>
        </w:rPr>
        <w:t>）</w:t>
      </w:r>
      <w:r>
        <w:rPr>
          <w:rFonts w:hint="eastAsia" w:ascii="楷体_GB2312" w:hAnsi="楷体_GB2312" w:eastAsia="楷体_GB2312" w:cs="楷体_GB2312"/>
          <w:b/>
          <w:bCs/>
          <w:color w:val="auto"/>
          <w:kern w:val="2"/>
          <w:sz w:val="32"/>
          <w:szCs w:val="32"/>
          <w:lang w:val="en-US" w:eastAsia="zh-CN" w:bidi="ar-SA"/>
        </w:rPr>
        <w:t>主攻争资争项，积蓄发展动能。</w:t>
      </w:r>
      <w:r>
        <w:rPr>
          <w:rFonts w:hint="eastAsia" w:ascii="Times New Roman" w:hAnsi="Times New Roman" w:eastAsia="仿宋_GB2312" w:cs="Times New Roman"/>
          <w:bCs/>
          <w:color w:val="auto"/>
          <w:sz w:val="32"/>
          <w:szCs w:val="32"/>
          <w:lang w:val="en-US" w:eastAsia="zh-CN"/>
        </w:rPr>
        <w:t>全县固定资产投资增速12.7%。</w:t>
      </w:r>
      <w:r>
        <w:rPr>
          <w:rFonts w:hint="eastAsia" w:ascii="Times New Roman" w:hAnsi="Times New Roman" w:eastAsia="仿宋_GB2312"/>
          <w:color w:val="auto"/>
          <w:sz w:val="32"/>
          <w:szCs w:val="32"/>
          <w:lang w:val="en-US" w:eastAsia="zh-CN"/>
        </w:rPr>
        <w:t>全年我县共谋划中央预算内项目63个；谋划专项债券项目24个，其中通过国家发改委审核项目8个；谋划特别国债项目59个</w:t>
      </w:r>
      <w:r>
        <w:rPr>
          <w:rFonts w:ascii="Times New Roman" w:hAnsi="Times New Roman" w:eastAsia="仿宋_GB2312"/>
          <w:color w:val="000000"/>
          <w:sz w:val="32"/>
          <w:szCs w:val="32"/>
        </w:rPr>
        <w:t>。</w:t>
      </w:r>
      <w:r>
        <w:rPr>
          <w:rFonts w:hint="eastAsia" w:ascii="Times New Roman" w:hAnsi="Times New Roman" w:eastAsia="仿宋_GB2312"/>
          <w:color w:val="auto"/>
          <w:sz w:val="32"/>
          <w:szCs w:val="32"/>
          <w:lang w:val="en-US" w:eastAsia="zh-CN"/>
        </w:rPr>
        <w:t>抢抓我市承办第三届旅发大会契机，成功申报文旅项目9个。其中，</w:t>
      </w:r>
      <w:r>
        <w:rPr>
          <w:rFonts w:hint="eastAsia" w:ascii="Times New Roman" w:hAnsi="Times New Roman" w:eastAsia="仿宋_GB2312" w:cs="Times New Roman"/>
          <w:b w:val="0"/>
          <w:bCs w:val="0"/>
          <w:color w:val="auto"/>
          <w:kern w:val="2"/>
          <w:sz w:val="32"/>
          <w:szCs w:val="32"/>
          <w:lang w:val="en-US" w:eastAsia="zh-CN" w:bidi="ar-SA"/>
        </w:rPr>
        <w:t>清泉农夫田园综合体项目纳入市级观摩项目，项目一期已开园</w:t>
      </w:r>
      <w:r>
        <w:rPr>
          <w:rFonts w:hint="eastAsia" w:ascii="Times New Roman" w:hAnsi="Times New Roman" w:eastAsia="仿宋_GB2312"/>
          <w:color w:val="auto"/>
          <w:sz w:val="32"/>
          <w:szCs w:val="32"/>
          <w:lang w:val="en-US" w:eastAsia="zh-CN"/>
        </w:rPr>
        <w:t>。</w:t>
      </w:r>
    </w:p>
    <w:p w14:paraId="49557466">
      <w:pPr>
        <w:pStyle w:val="16"/>
        <w:keepNext w:val="0"/>
        <w:keepLines w:val="0"/>
        <w:pageBreakBefore w:val="0"/>
        <w:widowControl w:val="0"/>
        <w:kinsoku/>
        <w:wordWrap/>
        <w:overflowPunct/>
        <w:topLinePunct w:val="0"/>
        <w:autoSpaceDE/>
        <w:autoSpaceDN/>
        <w:bidi w:val="0"/>
        <w:adjustRightInd/>
        <w:snapToGrid/>
        <w:spacing w:after="0" w:line="600" w:lineRule="exact"/>
        <w:ind w:left="0" w:leftChars="0" w:firstLine="643" w:firstLineChars="200"/>
        <w:jc w:val="both"/>
        <w:textAlignment w:val="auto"/>
        <w:rPr>
          <w:rFonts w:hint="default" w:ascii="Times New Roman" w:hAnsi="Times New Roman" w:eastAsia="仿宋_GB2312" w:cs="Times New Roman"/>
          <w:bCs/>
          <w:color w:val="auto"/>
          <w:kern w:val="2"/>
          <w:sz w:val="32"/>
          <w:szCs w:val="32"/>
          <w:lang w:val="en-US" w:eastAsia="zh-CN" w:bidi="ar-SA"/>
        </w:rPr>
      </w:pPr>
      <w:r>
        <w:rPr>
          <w:rFonts w:hint="eastAsia" w:ascii="Times New Roman" w:hAnsi="Times New Roman" w:eastAsia="楷体" w:cs="Times New Roman"/>
          <w:b/>
          <w:color w:val="auto"/>
          <w:sz w:val="32"/>
          <w:szCs w:val="32"/>
          <w:lang w:val="en-US" w:eastAsia="zh-CN"/>
        </w:rPr>
        <w:t>（三）</w:t>
      </w:r>
      <w:r>
        <w:rPr>
          <w:rFonts w:hint="eastAsia" w:ascii="Times New Roman" w:hAnsi="Times New Roman" w:eastAsia="楷体_GB2312" w:cs="Times New Roman"/>
          <w:b/>
          <w:color w:val="auto"/>
          <w:kern w:val="2"/>
          <w:sz w:val="32"/>
          <w:szCs w:val="32"/>
          <w:lang w:val="en-US" w:eastAsia="zh-CN" w:bidi="ar-SA"/>
        </w:rPr>
        <w:t>狠抓运行调度</w:t>
      </w:r>
      <w:r>
        <w:rPr>
          <w:rFonts w:hint="default" w:ascii="Times New Roman" w:hAnsi="Times New Roman" w:eastAsia="楷体_GB2312" w:cs="Times New Roman"/>
          <w:b/>
          <w:color w:val="auto"/>
          <w:sz w:val="32"/>
          <w:szCs w:val="32"/>
          <w:lang w:val="en-US" w:eastAsia="zh-CN"/>
        </w:rPr>
        <w:t>，</w:t>
      </w:r>
      <w:r>
        <w:rPr>
          <w:rFonts w:hint="eastAsia" w:ascii="Times New Roman" w:hAnsi="Times New Roman" w:eastAsia="楷体_GB2312" w:cs="Times New Roman"/>
          <w:b/>
          <w:color w:val="auto"/>
          <w:sz w:val="32"/>
          <w:szCs w:val="32"/>
          <w:lang w:val="en-US" w:eastAsia="zh-CN"/>
        </w:rPr>
        <w:t>圆满完成目标</w:t>
      </w:r>
      <w:r>
        <w:rPr>
          <w:rFonts w:hint="default" w:ascii="Times New Roman" w:hAnsi="Times New Roman" w:eastAsia="楷体_GB2312" w:cs="Times New Roman"/>
          <w:b/>
          <w:color w:val="auto"/>
          <w:sz w:val="32"/>
          <w:szCs w:val="32"/>
        </w:rPr>
        <w:t>。</w:t>
      </w:r>
      <w:r>
        <w:rPr>
          <w:rFonts w:hint="eastAsia" w:ascii="Times New Roman" w:hAnsi="Times New Roman" w:eastAsia="仿宋_GB2312" w:cs="Times New Roman"/>
          <w:bCs/>
          <w:color w:val="auto"/>
          <w:kern w:val="2"/>
          <w:sz w:val="32"/>
          <w:szCs w:val="32"/>
          <w:lang w:val="en-US" w:eastAsia="zh-CN" w:bidi="ar-SA"/>
        </w:rPr>
        <w:t>今年以来，我县紧盯目标任务，全力挖掘增长潜能，加强监测和调度，积极组织服务业企业申报规模企业，有力地保障了服务业指标居于全市第一方阵。全年规上服务业实现营收增速</w:t>
      </w:r>
      <w:r>
        <w:rPr>
          <w:rFonts w:ascii="Times New Roman" w:hAnsi="Times New Roman" w:eastAsia="仿宋_GB2312"/>
          <w:color w:val="000000"/>
          <w:sz w:val="32"/>
          <w:szCs w:val="32"/>
        </w:rPr>
        <w:t>33.5%</w:t>
      </w:r>
      <w:r>
        <w:rPr>
          <w:rFonts w:hint="eastAsia" w:ascii="Times New Roman" w:hAnsi="Times New Roman" w:eastAsia="仿宋_GB2312"/>
          <w:color w:val="000000"/>
          <w:sz w:val="32"/>
          <w:szCs w:val="32"/>
          <w:lang w:eastAsia="zh-CN"/>
        </w:rPr>
        <w:t>。</w:t>
      </w:r>
      <w:r>
        <w:rPr>
          <w:rFonts w:hint="eastAsia" w:ascii="Times New Roman" w:hAnsi="Times New Roman" w:eastAsia="仿宋_GB2312" w:cs="Times New Roman"/>
          <w:bCs/>
          <w:color w:val="auto"/>
          <w:kern w:val="2"/>
          <w:sz w:val="32"/>
          <w:szCs w:val="32"/>
          <w:lang w:val="en-US" w:eastAsia="zh-CN" w:bidi="ar-SA"/>
        </w:rPr>
        <w:t>全年申报规上服务业企业15家，已全部通过国家审核，超额完成市定任务。</w:t>
      </w:r>
    </w:p>
    <w:p w14:paraId="0D7F1141">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楷体_GB2312" w:cs="Times New Roman"/>
          <w:b/>
          <w:color w:val="auto"/>
          <w:sz w:val="32"/>
          <w:szCs w:val="32"/>
        </w:rPr>
        <w:t>（</w:t>
      </w:r>
      <w:r>
        <w:rPr>
          <w:rFonts w:hint="eastAsia" w:ascii="Times New Roman" w:hAnsi="Times New Roman" w:eastAsia="楷体_GB2312" w:cs="Times New Roman"/>
          <w:b/>
          <w:color w:val="auto"/>
          <w:sz w:val="32"/>
          <w:szCs w:val="32"/>
          <w:lang w:val="en-US" w:eastAsia="zh-CN"/>
        </w:rPr>
        <w:t>四</w:t>
      </w:r>
      <w:r>
        <w:rPr>
          <w:rFonts w:hint="default" w:ascii="Times New Roman" w:hAnsi="Times New Roman" w:eastAsia="楷体_GB2312" w:cs="Times New Roman"/>
          <w:b/>
          <w:color w:val="auto"/>
          <w:sz w:val="32"/>
          <w:szCs w:val="32"/>
        </w:rPr>
        <w:t>）</w:t>
      </w:r>
      <w:r>
        <w:rPr>
          <w:rFonts w:hint="eastAsia" w:ascii="Times New Roman" w:hAnsi="Times New Roman" w:eastAsia="楷体_GB2312" w:cs="Times New Roman"/>
          <w:b/>
          <w:color w:val="auto"/>
          <w:sz w:val="32"/>
          <w:szCs w:val="32"/>
          <w:lang w:val="en-US" w:eastAsia="zh-CN"/>
        </w:rPr>
        <w:t>持续抓好</w:t>
      </w:r>
      <w:r>
        <w:rPr>
          <w:rFonts w:hint="default" w:ascii="Times New Roman" w:hAnsi="Times New Roman" w:eastAsia="楷体_GB2312" w:cs="Times New Roman"/>
          <w:b/>
          <w:color w:val="auto"/>
          <w:sz w:val="32"/>
          <w:szCs w:val="32"/>
          <w:lang w:val="en-US" w:eastAsia="zh-CN"/>
        </w:rPr>
        <w:t>服务，</w:t>
      </w:r>
      <w:r>
        <w:rPr>
          <w:rFonts w:hint="eastAsia" w:ascii="Times New Roman" w:hAnsi="Times New Roman" w:eastAsia="楷体_GB2312" w:cs="Times New Roman"/>
          <w:b/>
          <w:color w:val="auto"/>
          <w:sz w:val="32"/>
          <w:szCs w:val="32"/>
          <w:lang w:val="en-US" w:eastAsia="zh-CN"/>
        </w:rPr>
        <w:t>不断</w:t>
      </w:r>
      <w:r>
        <w:rPr>
          <w:rFonts w:hint="default" w:ascii="Times New Roman" w:hAnsi="Times New Roman" w:eastAsia="楷体_GB2312" w:cs="Times New Roman"/>
          <w:b/>
          <w:color w:val="auto"/>
          <w:sz w:val="32"/>
          <w:szCs w:val="32"/>
        </w:rPr>
        <w:t>优化</w:t>
      </w:r>
      <w:r>
        <w:rPr>
          <w:rFonts w:hint="default" w:ascii="Times New Roman" w:hAnsi="Times New Roman" w:eastAsia="楷体_GB2312" w:cs="Times New Roman"/>
          <w:b/>
          <w:color w:val="auto"/>
          <w:sz w:val="32"/>
          <w:szCs w:val="32"/>
          <w:lang w:val="en-US" w:eastAsia="zh-CN"/>
        </w:rPr>
        <w:t>营商环境</w:t>
      </w:r>
      <w:r>
        <w:rPr>
          <w:rFonts w:hint="default" w:ascii="Times New Roman" w:hAnsi="Times New Roman" w:eastAsia="楷体_GB2312" w:cs="Times New Roman"/>
          <w:b/>
          <w:color w:val="auto"/>
          <w:sz w:val="32"/>
          <w:szCs w:val="32"/>
        </w:rPr>
        <w:t>。</w:t>
      </w:r>
      <w:r>
        <w:rPr>
          <w:rFonts w:hint="eastAsia" w:ascii="Times New Roman" w:hAnsi="Times New Roman" w:eastAsia="仿宋_GB2312" w:cs="Times New Roman"/>
          <w:b/>
          <w:bCs/>
          <w:color w:val="auto"/>
          <w:sz w:val="32"/>
          <w:szCs w:val="32"/>
          <w:lang w:val="en-US" w:eastAsia="zh-CN"/>
        </w:rPr>
        <w:t>提质审批服务。</w:t>
      </w:r>
      <w:r>
        <w:rPr>
          <w:rFonts w:hint="eastAsia" w:ascii="Times New Roman" w:hAnsi="Times New Roman" w:eastAsia="仿宋_GB2312" w:cs="Times New Roman"/>
          <w:color w:val="auto"/>
          <w:sz w:val="32"/>
          <w:szCs w:val="32"/>
          <w:lang w:val="en-US" w:eastAsia="zh-CN"/>
        </w:rPr>
        <w:t>持续推动“放管服”改革，优化审批流程、创新服务方式，</w:t>
      </w:r>
      <w:r>
        <w:rPr>
          <w:rFonts w:hint="default" w:ascii="Times New Roman" w:hAnsi="Times New Roman" w:eastAsia="仿宋_GB2312" w:cs="Times New Roman"/>
          <w:color w:val="auto"/>
          <w:sz w:val="32"/>
          <w:szCs w:val="32"/>
          <w:lang w:val="en-US" w:eastAsia="zh-CN"/>
        </w:rPr>
        <w:t>对符合产业政策的企业投资项目备案实行“受理即办制”</w:t>
      </w:r>
      <w:r>
        <w:rPr>
          <w:rFonts w:hint="eastAsia" w:ascii="Times New Roman" w:hAnsi="Times New Roman" w:eastAsia="仿宋_GB2312" w:cs="Times New Roman"/>
          <w:color w:val="auto"/>
          <w:sz w:val="32"/>
          <w:szCs w:val="32"/>
          <w:lang w:val="en-US" w:eastAsia="zh-CN"/>
        </w:rPr>
        <w:t>，提高办事效率。</w:t>
      </w:r>
      <w:r>
        <w:rPr>
          <w:rFonts w:hint="eastAsia" w:ascii="Times New Roman" w:hAnsi="Times New Roman" w:eastAsia="仿宋_GB2312" w:cs="Times New Roman"/>
          <w:bCs/>
          <w:color w:val="auto"/>
          <w:sz w:val="32"/>
          <w:szCs w:val="32"/>
          <w:lang w:val="en-US" w:eastAsia="zh-CN"/>
        </w:rPr>
        <w:t>截至12月底，</w:t>
      </w:r>
      <w:r>
        <w:rPr>
          <w:rFonts w:hint="eastAsia" w:ascii="Times New Roman" w:hAnsi="Times New Roman" w:eastAsia="仿宋_GB2312" w:cs="Times New Roman"/>
          <w:color w:val="auto"/>
          <w:sz w:val="32"/>
          <w:szCs w:val="32"/>
          <w:lang w:val="en-US" w:eastAsia="zh-CN"/>
        </w:rPr>
        <w:t>我局共办理审批、核准、备案立项项目275个。</w:t>
      </w:r>
      <w:r>
        <w:rPr>
          <w:rFonts w:hint="eastAsia" w:ascii="Times New Roman" w:hAnsi="Times New Roman" w:eastAsia="仿宋_GB2312" w:cs="Times New Roman"/>
          <w:b/>
          <w:bCs/>
          <w:color w:val="auto"/>
          <w:sz w:val="32"/>
          <w:szCs w:val="32"/>
          <w:lang w:val="en-US" w:eastAsia="zh-CN"/>
        </w:rPr>
        <w:t>优化营商环境。</w:t>
      </w:r>
      <w:r>
        <w:rPr>
          <w:rFonts w:hint="eastAsia" w:ascii="Times New Roman" w:hAnsi="Times New Roman" w:eastAsia="仿宋_GB2312" w:cs="Times New Roman"/>
          <w:color w:val="auto"/>
          <w:sz w:val="32"/>
          <w:szCs w:val="32"/>
          <w:lang w:val="en-US" w:eastAsia="zh-CN"/>
        </w:rPr>
        <w:t>推动优化营商环境“包容普惠创新”指标提质增效</w:t>
      </w:r>
      <w:r>
        <w:rPr>
          <w:rFonts w:hint="default" w:ascii="Times New Roman" w:hAnsi="Times New Roman" w:eastAsia="仿宋_GB2312" w:cs="Times New Roman"/>
          <w:color w:val="auto"/>
          <w:sz w:val="32"/>
          <w:szCs w:val="32"/>
          <w:lang w:val="en-US" w:eastAsia="zh-CN"/>
        </w:rPr>
        <w:t>，多次</w:t>
      </w:r>
      <w:r>
        <w:rPr>
          <w:rFonts w:hint="eastAsia" w:ascii="Times New Roman" w:hAnsi="Times New Roman" w:eastAsia="仿宋_GB2312" w:cs="Times New Roman"/>
          <w:color w:val="auto"/>
          <w:sz w:val="32"/>
          <w:szCs w:val="32"/>
          <w:lang w:val="en-US" w:eastAsia="zh-CN"/>
        </w:rPr>
        <w:t>牵头</w:t>
      </w:r>
      <w:r>
        <w:rPr>
          <w:rFonts w:hint="default" w:ascii="Times New Roman" w:hAnsi="Times New Roman" w:eastAsia="仿宋_GB2312" w:cs="Times New Roman"/>
          <w:color w:val="auto"/>
          <w:sz w:val="32"/>
          <w:szCs w:val="32"/>
          <w:lang w:val="en-US" w:eastAsia="zh-CN"/>
        </w:rPr>
        <w:t>组织县</w:t>
      </w:r>
      <w:r>
        <w:rPr>
          <w:rFonts w:hint="eastAsia" w:ascii="Times New Roman" w:hAnsi="Times New Roman" w:eastAsia="仿宋_GB2312" w:cs="Times New Roman"/>
          <w:color w:val="auto"/>
          <w:sz w:val="32"/>
          <w:szCs w:val="32"/>
          <w:lang w:val="en-US" w:eastAsia="zh-CN"/>
        </w:rPr>
        <w:t>级</w:t>
      </w:r>
      <w:r>
        <w:rPr>
          <w:rFonts w:hint="default" w:ascii="Times New Roman" w:hAnsi="Times New Roman" w:eastAsia="仿宋_GB2312" w:cs="Times New Roman"/>
          <w:color w:val="auto"/>
          <w:sz w:val="32"/>
          <w:szCs w:val="32"/>
          <w:lang w:val="en-US" w:eastAsia="zh-CN"/>
        </w:rPr>
        <w:t>相关单位就重点工作进行</w:t>
      </w:r>
      <w:r>
        <w:rPr>
          <w:rFonts w:hint="eastAsia" w:ascii="Times New Roman" w:hAnsi="Times New Roman" w:eastAsia="仿宋_GB2312" w:cs="Times New Roman"/>
          <w:color w:val="auto"/>
          <w:sz w:val="32"/>
          <w:szCs w:val="32"/>
          <w:lang w:val="en-US" w:eastAsia="zh-CN"/>
        </w:rPr>
        <w:t>协调</w:t>
      </w:r>
      <w:r>
        <w:rPr>
          <w:rFonts w:hint="default" w:ascii="Times New Roman" w:hAnsi="Times New Roman" w:eastAsia="仿宋_GB2312" w:cs="Times New Roman"/>
          <w:color w:val="auto"/>
          <w:sz w:val="32"/>
          <w:szCs w:val="32"/>
          <w:lang w:val="en-US" w:eastAsia="zh-CN"/>
        </w:rPr>
        <w:t>调度。</w:t>
      </w:r>
      <w:r>
        <w:rPr>
          <w:rFonts w:hint="default" w:ascii="Times New Roman" w:hAnsi="Times New Roman" w:eastAsia="仿宋_GB2312" w:cs="Times New Roman"/>
          <w:b/>
          <w:bCs/>
          <w:color w:val="auto"/>
          <w:sz w:val="32"/>
          <w:szCs w:val="32"/>
          <w:lang w:val="en-US" w:eastAsia="zh-CN"/>
        </w:rPr>
        <w:t>强化信用建设</w:t>
      </w:r>
      <w:r>
        <w:rPr>
          <w:rFonts w:hint="eastAsia" w:ascii="Times New Roman" w:hAnsi="Times New Roman" w:eastAsia="仿宋_GB2312" w:cs="Times New Roman"/>
          <w:b/>
          <w:bCs/>
          <w:color w:val="auto"/>
          <w:sz w:val="32"/>
          <w:szCs w:val="32"/>
          <w:lang w:val="en-US" w:eastAsia="zh-CN"/>
        </w:rPr>
        <w:t>。</w:t>
      </w:r>
      <w:r>
        <w:rPr>
          <w:rFonts w:hint="eastAsia" w:ascii="Times New Roman" w:hAnsi="Times New Roman" w:eastAsia="仿宋_GB2312" w:cs="Times New Roman"/>
          <w:b w:val="0"/>
          <w:bCs w:val="0"/>
          <w:color w:val="auto"/>
          <w:sz w:val="32"/>
          <w:szCs w:val="32"/>
          <w:lang w:val="en-US" w:eastAsia="zh-CN"/>
        </w:rPr>
        <w:t>完善社会信用体系建设协同推进机制，夯实信用信息报送、信用运用等基础工作。</w:t>
      </w:r>
      <w:r>
        <w:rPr>
          <w:rFonts w:hint="eastAsia" w:ascii="Times New Roman" w:hAnsi="Times New Roman" w:eastAsia="仿宋_GB2312" w:cs="Times New Roman"/>
          <w:color w:val="auto"/>
          <w:sz w:val="32"/>
          <w:szCs w:val="32"/>
          <w:lang w:val="en-US" w:eastAsia="zh-CN"/>
        </w:rPr>
        <w:t>积极推进“三信”（信用户、信用村、信用镇）评定工作，全年评选认定衡阳市“信用村”56个，实现“信用村”扩面提质，加快了农村信用体系建设步伐。</w:t>
      </w:r>
    </w:p>
    <w:p w14:paraId="441F684C">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楷体_GB2312" w:cs="Times New Roman"/>
          <w:b/>
          <w:color w:val="auto"/>
          <w:sz w:val="32"/>
          <w:szCs w:val="32"/>
        </w:rPr>
        <w:t>（</w:t>
      </w:r>
      <w:r>
        <w:rPr>
          <w:rFonts w:hint="eastAsia" w:ascii="Times New Roman" w:hAnsi="Times New Roman" w:eastAsia="楷体_GB2312" w:cs="Times New Roman"/>
          <w:b/>
          <w:color w:val="auto"/>
          <w:sz w:val="32"/>
          <w:szCs w:val="32"/>
          <w:lang w:val="en-US" w:eastAsia="zh-CN"/>
        </w:rPr>
        <w:t>五</w:t>
      </w:r>
      <w:r>
        <w:rPr>
          <w:rFonts w:hint="default" w:ascii="Times New Roman" w:hAnsi="Times New Roman" w:eastAsia="楷体_GB2312" w:cs="Times New Roman"/>
          <w:b/>
          <w:color w:val="auto"/>
          <w:sz w:val="32"/>
          <w:szCs w:val="32"/>
        </w:rPr>
        <w:t>）</w:t>
      </w:r>
      <w:r>
        <w:rPr>
          <w:rFonts w:hint="default" w:ascii="Times New Roman" w:hAnsi="Times New Roman" w:eastAsia="楷体_GB2312" w:cs="Times New Roman"/>
          <w:b/>
          <w:color w:val="auto"/>
          <w:sz w:val="32"/>
          <w:szCs w:val="32"/>
          <w:lang w:val="en-US" w:eastAsia="zh-CN"/>
        </w:rPr>
        <w:t>强化要素保障，筑牢基础支撑</w:t>
      </w:r>
      <w:r>
        <w:rPr>
          <w:rFonts w:hint="default" w:ascii="Times New Roman" w:hAnsi="Times New Roman" w:eastAsia="楷体_GB2312" w:cs="Times New Roman"/>
          <w:b/>
          <w:color w:val="auto"/>
          <w:sz w:val="32"/>
          <w:szCs w:val="32"/>
        </w:rPr>
        <w:t>。</w:t>
      </w:r>
      <w:r>
        <w:rPr>
          <w:rFonts w:hint="eastAsia" w:ascii="Times New Roman" w:hAnsi="Times New Roman" w:eastAsia="仿宋_GB2312" w:cs="Times New Roman"/>
          <w:b/>
          <w:bCs/>
          <w:color w:val="auto"/>
          <w:sz w:val="32"/>
          <w:szCs w:val="32"/>
          <w:lang w:val="en-US" w:eastAsia="zh-CN"/>
        </w:rPr>
        <w:t>保障能源安全</w:t>
      </w:r>
      <w:r>
        <w:rPr>
          <w:rFonts w:hint="default" w:ascii="Times New Roman" w:hAnsi="Times New Roman" w:eastAsia="仿宋_GB2312" w:cs="Times New Roman"/>
          <w:b/>
          <w:bCs/>
          <w:color w:val="auto"/>
          <w:sz w:val="32"/>
          <w:szCs w:val="32"/>
          <w:lang w:val="en-US" w:eastAsia="zh-CN"/>
        </w:rPr>
        <w:t>。</w:t>
      </w:r>
      <w:r>
        <w:rPr>
          <w:rFonts w:hint="eastAsia" w:ascii="Times New Roman" w:hAnsi="Times New Roman" w:eastAsia="仿宋_GB2312" w:cs="Times New Roman"/>
          <w:color w:val="auto"/>
          <w:sz w:val="32"/>
          <w:szCs w:val="32"/>
          <w:lang w:val="en-US" w:eastAsia="zh-CN"/>
        </w:rPr>
        <w:t>新疆煤制气外输管道广西支干线</w:t>
      </w:r>
      <w:r>
        <w:rPr>
          <w:rFonts w:hint="eastAsia" w:ascii="Times New Roman" w:hAnsi="Times New Roman" w:eastAsia="仿宋_GB2312" w:cs="Times New Roman"/>
          <w:color w:val="auto"/>
          <w:sz w:val="32"/>
          <w:szCs w:val="32"/>
          <w:lang w:val="en-US" w:eastAsia="zh-Hans"/>
        </w:rPr>
        <w:t>衡南段</w:t>
      </w:r>
      <w:r>
        <w:rPr>
          <w:rFonts w:hint="eastAsia" w:ascii="Times New Roman" w:hAnsi="Times New Roman" w:eastAsia="仿宋_GB2312" w:cs="Times New Roman"/>
          <w:color w:val="auto"/>
          <w:sz w:val="32"/>
          <w:szCs w:val="32"/>
          <w:lang w:val="en-US" w:eastAsia="zh-CN"/>
        </w:rPr>
        <w:t>、长郴油管、衡炎气管等5条长输油气管道贯穿全县15个乡镇，总里程</w:t>
      </w:r>
      <w:r>
        <w:rPr>
          <w:rFonts w:hint="eastAsia" w:ascii="Times New Roman" w:hAnsi="Times New Roman" w:eastAsia="仿宋_GB2312" w:cs="Times New Roman"/>
          <w:color w:val="auto"/>
          <w:sz w:val="32"/>
          <w:szCs w:val="32"/>
          <w:lang w:val="en-US" w:eastAsia="zh-Hans"/>
        </w:rPr>
        <w:t>达</w:t>
      </w:r>
      <w:r>
        <w:rPr>
          <w:rFonts w:hint="eastAsia" w:ascii="Times New Roman" w:hAnsi="Times New Roman" w:eastAsia="仿宋_GB2312" w:cs="Times New Roman"/>
          <w:color w:val="auto"/>
          <w:sz w:val="32"/>
          <w:szCs w:val="32"/>
          <w:lang w:val="en-US" w:eastAsia="zh-CN"/>
        </w:rPr>
        <w:t>180公里，已</w:t>
      </w:r>
      <w:r>
        <w:rPr>
          <w:rFonts w:hint="eastAsia" w:ascii="Times New Roman" w:hAnsi="Times New Roman" w:eastAsia="仿宋_GB2312" w:cs="Times New Roman"/>
          <w:sz w:val="32"/>
          <w:szCs w:val="32"/>
        </w:rPr>
        <w:t>全部建成</w:t>
      </w:r>
      <w:r>
        <w:rPr>
          <w:rFonts w:hint="default" w:ascii="Times New Roman" w:hAnsi="Times New Roman" w:eastAsia="仿宋_GB2312" w:cs="Times New Roman"/>
          <w:color w:val="auto"/>
          <w:sz w:val="32"/>
          <w:szCs w:val="32"/>
          <w:lang w:val="en-US" w:eastAsia="zh-CN"/>
        </w:rPr>
        <w:t>。</w:t>
      </w:r>
      <w:r>
        <w:rPr>
          <w:rFonts w:hint="eastAsia" w:ascii="Times New Roman" w:hAnsi="Times New Roman" w:eastAsia="仿宋_GB2312" w:cs="Times New Roman"/>
          <w:color w:val="auto"/>
          <w:sz w:val="32"/>
          <w:szCs w:val="32"/>
          <w:lang w:val="en-US" w:eastAsia="zh-CN"/>
        </w:rPr>
        <w:t>湘中南液化天然气储气站项目初步选址我县松江镇高峰村，建成后将成为全省最大的液化天然气应急储气站。已建成黄吉50兆瓦农光互补电站、花桥仙人桥分布式风电场。</w:t>
      </w:r>
      <w:r>
        <w:rPr>
          <w:rFonts w:hint="default" w:ascii="Times New Roman" w:hAnsi="Times New Roman" w:eastAsia="仿宋_GB2312" w:cs="Times New Roman"/>
          <w:b/>
          <w:bCs/>
          <w:color w:val="auto"/>
          <w:sz w:val="32"/>
          <w:szCs w:val="32"/>
          <w:lang w:val="en-US" w:eastAsia="zh-CN"/>
        </w:rPr>
        <w:t>优化电力运行。</w:t>
      </w:r>
      <w:r>
        <w:rPr>
          <w:rFonts w:hint="eastAsia" w:ascii="Times New Roman" w:hAnsi="Times New Roman" w:eastAsia="仿宋_GB2312" w:cs="Times New Roman"/>
          <w:color w:val="auto"/>
          <w:sz w:val="32"/>
          <w:szCs w:val="32"/>
          <w:lang w:val="en-US" w:eastAsia="zh-CN"/>
        </w:rPr>
        <w:t>冠市110千伏变电站于1月份正式投产运行；相市35千伏变电站已初步完工；泉湖110千伏变电站建设正在加快推进；栗江110千伏变电站</w:t>
      </w:r>
      <w:r>
        <w:rPr>
          <w:rFonts w:hint="eastAsia" w:ascii="Times New Roman" w:hAnsi="Times New Roman" w:eastAsia="仿宋_GB2312"/>
          <w:color w:val="auto"/>
          <w:sz w:val="32"/>
          <w:szCs w:val="32"/>
          <w:lang w:val="en-US" w:eastAsia="zh-CN"/>
        </w:rPr>
        <w:t>前期工作有序开展。做好迎峰度夏、迎峰度冬及重要节假日电力保供，</w:t>
      </w:r>
      <w:r>
        <w:rPr>
          <w:rFonts w:hint="default" w:ascii="Times New Roman" w:hAnsi="Times New Roman" w:eastAsia="仿宋_GB2312"/>
          <w:color w:val="auto"/>
          <w:sz w:val="32"/>
          <w:szCs w:val="32"/>
          <w:lang w:val="en-US" w:eastAsia="zh-CN"/>
        </w:rPr>
        <w:t>全力保障全县有序安全用电。</w:t>
      </w:r>
    </w:p>
    <w:p w14:paraId="0164001D">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楷体_GB2312" w:cs="Times New Roman"/>
          <w:b/>
          <w:color w:val="auto"/>
          <w:sz w:val="32"/>
          <w:szCs w:val="32"/>
          <w:lang w:eastAsia="zh-CN"/>
        </w:rPr>
        <w:t>（</w:t>
      </w:r>
      <w:r>
        <w:rPr>
          <w:rFonts w:hint="eastAsia" w:ascii="Times New Roman" w:hAnsi="Times New Roman" w:eastAsia="楷体_GB2312" w:cs="Times New Roman"/>
          <w:b/>
          <w:color w:val="auto"/>
          <w:sz w:val="32"/>
          <w:szCs w:val="32"/>
          <w:lang w:val="en-US" w:eastAsia="zh-CN"/>
        </w:rPr>
        <w:t>六</w:t>
      </w:r>
      <w:r>
        <w:rPr>
          <w:rFonts w:hint="default" w:ascii="Times New Roman" w:hAnsi="Times New Roman" w:eastAsia="楷体_GB2312" w:cs="Times New Roman"/>
          <w:b/>
          <w:color w:val="auto"/>
          <w:sz w:val="32"/>
          <w:szCs w:val="32"/>
          <w:lang w:eastAsia="zh-CN"/>
        </w:rPr>
        <w:t>）</w:t>
      </w:r>
      <w:r>
        <w:rPr>
          <w:rFonts w:hint="eastAsia" w:ascii="Times New Roman" w:hAnsi="Times New Roman" w:eastAsia="楷体_GB2312" w:cs="Times New Roman"/>
          <w:b/>
          <w:color w:val="auto"/>
          <w:sz w:val="32"/>
          <w:szCs w:val="32"/>
          <w:lang w:val="en-US" w:eastAsia="zh-CN"/>
        </w:rPr>
        <w:t>坚持多措并举，保障粮食安全。</w:t>
      </w:r>
      <w:r>
        <w:rPr>
          <w:rFonts w:hint="eastAsia" w:ascii="Times New Roman" w:hAnsi="Times New Roman" w:eastAsia="仿宋_GB2312" w:cs="Times New Roman"/>
          <w:b/>
          <w:bCs/>
          <w:color w:val="auto"/>
          <w:sz w:val="32"/>
          <w:szCs w:val="32"/>
          <w:lang w:val="en-US" w:eastAsia="zh-CN"/>
        </w:rPr>
        <w:t>抓好粮食购销和监管工作。</w:t>
      </w:r>
      <w:r>
        <w:rPr>
          <w:rFonts w:hint="eastAsia" w:ascii="Times New Roman" w:hAnsi="Times New Roman" w:eastAsia="仿宋_GB2312" w:cs="Times New Roman"/>
          <w:b w:val="0"/>
          <w:bCs w:val="0"/>
          <w:color w:val="auto"/>
          <w:sz w:val="32"/>
          <w:szCs w:val="32"/>
          <w:lang w:val="en-US" w:eastAsia="zh-CN"/>
        </w:rPr>
        <w:t>今年共收购商品粮（含社会收购）3.5万吨，出售3.8万吨。做好粮油仓储管理，确保全县库存粮食14.5万吨、食用油50吨、玉米7万吨、大豆2.5万吨储存安全。</w:t>
      </w:r>
      <w:r>
        <w:rPr>
          <w:rFonts w:hint="eastAsia" w:ascii="Times New Roman" w:hAnsi="Times New Roman" w:eastAsia="仿宋_GB2312" w:cs="Times New Roman"/>
          <w:b/>
          <w:bCs/>
          <w:color w:val="auto"/>
          <w:sz w:val="32"/>
          <w:szCs w:val="32"/>
          <w:lang w:val="en-US" w:eastAsia="zh-CN"/>
        </w:rPr>
        <w:t>推动粮油产业发展。</w:t>
      </w:r>
      <w:r>
        <w:rPr>
          <w:rFonts w:hint="eastAsia" w:ascii="Times New Roman" w:hAnsi="Times New Roman" w:eastAsia="仿宋_GB2312" w:cs="Times New Roman"/>
          <w:color w:val="auto"/>
          <w:sz w:val="32"/>
          <w:szCs w:val="32"/>
          <w:lang w:val="en-US" w:eastAsia="zh-CN"/>
        </w:rPr>
        <w:t>全年我县粮油加工业总产值完成年度目标的102%。积极申报粮食产后服务项目，目前该项目已于10月初完成并通过市局验收。组织茶山坳、军粮、健安等5家企业对政策性粮食存储点库进行信息化改造。</w:t>
      </w:r>
    </w:p>
    <w:p w14:paraId="426456B9">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jc w:val="both"/>
        <w:textAlignment w:val="auto"/>
        <w:rPr>
          <w:rFonts w:hint="default" w:ascii="Times New Roman" w:hAnsi="Times New Roman" w:eastAsia="仿宋_GB2312" w:cs="Times New Roman"/>
          <w:color w:val="auto"/>
          <w:sz w:val="32"/>
          <w:szCs w:val="32"/>
          <w:lang w:val="en-US" w:eastAsia="zh-CN"/>
        </w:rPr>
      </w:pPr>
      <w:r>
        <w:rPr>
          <w:rFonts w:hint="eastAsia" w:ascii="Times New Roman" w:hAnsi="Times New Roman" w:eastAsia="楷体_GB2312" w:cs="Times New Roman"/>
          <w:b/>
          <w:color w:val="auto"/>
          <w:sz w:val="32"/>
          <w:szCs w:val="32"/>
          <w:lang w:eastAsia="zh-CN"/>
        </w:rPr>
        <w:t>（</w:t>
      </w:r>
      <w:r>
        <w:rPr>
          <w:rFonts w:hint="eastAsia" w:ascii="Times New Roman" w:hAnsi="Times New Roman" w:eastAsia="楷体_GB2312" w:cs="Times New Roman"/>
          <w:b/>
          <w:color w:val="auto"/>
          <w:sz w:val="32"/>
          <w:szCs w:val="32"/>
          <w:lang w:val="en-US" w:eastAsia="zh-CN"/>
        </w:rPr>
        <w:t>七</w:t>
      </w:r>
      <w:r>
        <w:rPr>
          <w:rFonts w:hint="eastAsia" w:ascii="Times New Roman" w:hAnsi="Times New Roman" w:eastAsia="楷体_GB2312" w:cs="Times New Roman"/>
          <w:b/>
          <w:color w:val="auto"/>
          <w:sz w:val="32"/>
          <w:szCs w:val="32"/>
          <w:lang w:eastAsia="zh-CN"/>
        </w:rPr>
        <w:t>）</w:t>
      </w:r>
      <w:r>
        <w:rPr>
          <w:rFonts w:hint="eastAsia" w:ascii="Times New Roman" w:hAnsi="Times New Roman" w:eastAsia="楷体_GB2312" w:cs="Times New Roman"/>
          <w:b/>
          <w:color w:val="auto"/>
          <w:sz w:val="32"/>
          <w:szCs w:val="32"/>
          <w:lang w:val="en-US" w:eastAsia="zh-CN"/>
        </w:rPr>
        <w:t>推进</w:t>
      </w:r>
      <w:r>
        <w:rPr>
          <w:rFonts w:hint="default" w:ascii="Times New Roman" w:hAnsi="Times New Roman" w:eastAsia="楷体_GB2312" w:cs="Times New Roman"/>
          <w:b/>
          <w:color w:val="auto"/>
          <w:sz w:val="32"/>
          <w:szCs w:val="32"/>
        </w:rPr>
        <w:t>民生事业，增进</w:t>
      </w:r>
      <w:r>
        <w:rPr>
          <w:rFonts w:hint="eastAsia" w:ascii="Times New Roman" w:hAnsi="Times New Roman" w:eastAsia="楷体_GB2312" w:cs="Times New Roman"/>
          <w:b/>
          <w:color w:val="auto"/>
          <w:sz w:val="32"/>
          <w:szCs w:val="32"/>
          <w:lang w:val="en-US" w:eastAsia="zh-CN"/>
        </w:rPr>
        <w:t>百姓</w:t>
      </w:r>
      <w:r>
        <w:rPr>
          <w:rFonts w:hint="default" w:ascii="Times New Roman" w:hAnsi="Times New Roman" w:eastAsia="楷体_GB2312" w:cs="Times New Roman"/>
          <w:b/>
          <w:color w:val="auto"/>
          <w:sz w:val="32"/>
          <w:szCs w:val="32"/>
        </w:rPr>
        <w:t>福祉。</w:t>
      </w:r>
      <w:r>
        <w:rPr>
          <w:rFonts w:hint="eastAsia" w:ascii="Times New Roman" w:hAnsi="Times New Roman" w:eastAsia="仿宋_GB2312" w:cs="Times New Roman"/>
          <w:b/>
          <w:bCs/>
          <w:color w:val="auto"/>
          <w:kern w:val="2"/>
          <w:sz w:val="32"/>
          <w:szCs w:val="32"/>
          <w:lang w:val="en-US" w:eastAsia="zh-CN" w:bidi="ar-SA"/>
        </w:rPr>
        <w:t>做实</w:t>
      </w:r>
      <w:r>
        <w:rPr>
          <w:rFonts w:hint="default" w:ascii="Times New Roman" w:hAnsi="Times New Roman" w:eastAsia="仿宋_GB2312" w:cs="Times New Roman"/>
          <w:b/>
          <w:bCs/>
          <w:snapToGrid/>
          <w:color w:val="auto"/>
          <w:spacing w:val="0"/>
          <w:kern w:val="0"/>
          <w:sz w:val="32"/>
          <w:szCs w:val="32"/>
          <w:lang w:val="en-US" w:eastAsia="zh-CN" w:bidi="ar"/>
        </w:rPr>
        <w:t>易地搬迁后续</w:t>
      </w:r>
      <w:r>
        <w:rPr>
          <w:rFonts w:hint="eastAsia" w:ascii="Times New Roman" w:hAnsi="Times New Roman" w:eastAsia="仿宋_GB2312" w:cs="Times New Roman"/>
          <w:b/>
          <w:bCs/>
          <w:snapToGrid/>
          <w:color w:val="auto"/>
          <w:spacing w:val="0"/>
          <w:kern w:val="0"/>
          <w:sz w:val="32"/>
          <w:szCs w:val="32"/>
          <w:lang w:val="en-US" w:eastAsia="zh-CN" w:bidi="ar"/>
        </w:rPr>
        <w:t>扶持。</w:t>
      </w:r>
      <w:r>
        <w:rPr>
          <w:rFonts w:hint="eastAsia" w:ascii="Times New Roman" w:hAnsi="Times New Roman" w:eastAsia="仿宋_GB2312" w:cs="Times New Roman"/>
          <w:color w:val="auto"/>
          <w:sz w:val="32"/>
          <w:szCs w:val="32"/>
          <w:lang w:val="en-US" w:eastAsia="zh-CN"/>
        </w:rPr>
        <w:t>建立集中安置区党支部，强化组织保障。编制全县安置区后续扶持规划，完善基础设施，有效促进安置区城镇融合。在安置区设置公益性岗位，扶持零就业家庭优先上岗</w:t>
      </w:r>
      <w:r>
        <w:rPr>
          <w:rFonts w:hint="default" w:ascii="Times New Roman" w:hAnsi="Times New Roman" w:eastAsia="仿宋_GB2312" w:cs="Times New Roman"/>
          <w:color w:val="auto"/>
          <w:sz w:val="32"/>
          <w:szCs w:val="32"/>
          <w:lang w:val="en-US" w:eastAsia="zh-CN"/>
        </w:rPr>
        <w:t>。建设</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幸福菜园</w:t>
      </w:r>
      <w:r>
        <w:rPr>
          <w:rFonts w:hint="eastAsia" w:ascii="Times New Roman" w:hAnsi="Times New Roman" w:eastAsia="仿宋_GB2312" w:cs="Times New Roman"/>
          <w:color w:val="auto"/>
          <w:sz w:val="32"/>
          <w:szCs w:val="32"/>
          <w:lang w:val="en-US" w:eastAsia="zh-CN"/>
        </w:rPr>
        <w:t>”租赁给搬迁户种植蔬菜，帮助搬迁户安居。</w:t>
      </w:r>
      <w:r>
        <w:rPr>
          <w:rFonts w:hint="eastAsia" w:ascii="Times New Roman" w:hAnsi="Times New Roman" w:eastAsia="仿宋_GB2312" w:cs="Times New Roman"/>
          <w:b/>
          <w:bCs/>
          <w:color w:val="auto"/>
          <w:sz w:val="32"/>
          <w:szCs w:val="32"/>
          <w:lang w:eastAsia="zh-CN"/>
        </w:rPr>
        <w:t>加强</w:t>
      </w:r>
      <w:r>
        <w:rPr>
          <w:rFonts w:hint="default" w:ascii="Times New Roman" w:hAnsi="Times New Roman" w:eastAsia="仿宋_GB2312" w:cs="Times New Roman"/>
          <w:b/>
          <w:bCs/>
          <w:color w:val="auto"/>
          <w:sz w:val="32"/>
          <w:szCs w:val="32"/>
        </w:rPr>
        <w:t>价费</w:t>
      </w:r>
      <w:r>
        <w:rPr>
          <w:rFonts w:hint="default" w:ascii="Times New Roman" w:hAnsi="Times New Roman" w:eastAsia="仿宋_GB2312" w:cs="Times New Roman"/>
          <w:b/>
          <w:bCs/>
          <w:color w:val="auto"/>
          <w:sz w:val="32"/>
          <w:szCs w:val="32"/>
          <w:lang w:val="en-US" w:eastAsia="zh-CN"/>
        </w:rPr>
        <w:t>管理</w:t>
      </w:r>
      <w:r>
        <w:rPr>
          <w:rFonts w:hint="default" w:ascii="Times New Roman" w:hAnsi="Times New Roman" w:eastAsia="仿宋_GB2312" w:cs="Times New Roman"/>
          <w:b/>
          <w:bCs/>
          <w:color w:val="auto"/>
          <w:sz w:val="32"/>
          <w:szCs w:val="32"/>
        </w:rPr>
        <w:t>。</w:t>
      </w:r>
      <w:r>
        <w:rPr>
          <w:rFonts w:hint="default" w:ascii="Times New Roman" w:hAnsi="Times New Roman" w:eastAsia="仿宋_GB2312" w:cs="Times New Roman"/>
          <w:color w:val="auto"/>
          <w:sz w:val="32"/>
          <w:szCs w:val="32"/>
          <w:lang w:val="en-US" w:eastAsia="zh-CN"/>
        </w:rPr>
        <w:t>认真贯彻落实</w:t>
      </w:r>
      <w:r>
        <w:rPr>
          <w:rFonts w:hint="eastAsia" w:ascii="Times New Roman" w:hAnsi="Times New Roman" w:eastAsia="仿宋_GB2312" w:cs="Times New Roman"/>
          <w:color w:val="auto"/>
          <w:sz w:val="32"/>
          <w:szCs w:val="32"/>
          <w:lang w:val="en-US" w:eastAsia="zh-CN"/>
        </w:rPr>
        <w:t>上级</w:t>
      </w:r>
      <w:r>
        <w:rPr>
          <w:rFonts w:hint="default" w:ascii="Times New Roman" w:hAnsi="Times New Roman" w:eastAsia="仿宋_GB2312" w:cs="Times New Roman"/>
          <w:color w:val="auto"/>
          <w:sz w:val="32"/>
          <w:szCs w:val="32"/>
          <w:lang w:val="en-US" w:eastAsia="zh-CN"/>
        </w:rPr>
        <w:t>关于水、电、气、油等价格监管政策，全力做好清费、减负、治乱工作。</w:t>
      </w:r>
      <w:r>
        <w:rPr>
          <w:rFonts w:hint="eastAsia" w:ascii="Times New Roman" w:hAnsi="Times New Roman" w:eastAsia="仿宋_GB2312" w:cs="Times New Roman"/>
          <w:color w:val="auto"/>
          <w:kern w:val="2"/>
          <w:sz w:val="32"/>
          <w:szCs w:val="32"/>
          <w:lang w:val="en-US" w:eastAsia="zh-CN" w:bidi="ar-SA"/>
        </w:rPr>
        <w:t>严格规范教育收费行为，落实义务教育农村学校减免学杂费、书藉费、住宿费政策，规范全县中小学伙食费、教辅资料收费行为，加强对幼儿园、民办学校的收费监管。</w:t>
      </w:r>
    </w:p>
    <w:p w14:paraId="2D4C4D9A">
      <w:pPr>
        <w:pStyle w:val="8"/>
        <w:keepNext w:val="0"/>
        <w:keepLines w:val="0"/>
        <w:pageBreakBefore w:val="0"/>
        <w:widowControl w:val="0"/>
        <w:kinsoku/>
        <w:wordWrap/>
        <w:overflowPunct/>
        <w:topLinePunct w:val="0"/>
        <w:autoSpaceDE/>
        <w:autoSpaceDN/>
        <w:bidi w:val="0"/>
        <w:adjustRightInd/>
        <w:snapToGrid/>
        <w:spacing w:after="0" w:line="600" w:lineRule="exact"/>
        <w:ind w:left="0" w:leftChars="0" w:firstLine="643" w:firstLineChars="200"/>
        <w:textAlignment w:val="auto"/>
        <w:rPr>
          <w:rFonts w:hint="default" w:ascii="Times New Roman" w:hAnsi="Times New Roman" w:eastAsia="仿宋_GB2312" w:cs="Times New Roman"/>
          <w:b/>
          <w:kern w:val="2"/>
          <w:sz w:val="32"/>
          <w:szCs w:val="32"/>
          <w:lang w:val="en-US" w:eastAsia="zh-CN" w:bidi="ar-SA"/>
        </w:rPr>
      </w:pPr>
      <w:r>
        <w:rPr>
          <w:rFonts w:hint="default" w:ascii="Times New Roman" w:hAnsi="Times New Roman" w:eastAsia="仿宋_GB2312" w:cs="Times New Roman"/>
          <w:b/>
          <w:bCs/>
          <w:color w:val="000000"/>
          <w:sz w:val="32"/>
          <w:szCs w:val="32"/>
        </w:rPr>
        <w:t>突出抓好廉政建设。</w:t>
      </w:r>
      <w:bookmarkEnd w:id="0"/>
      <w:r>
        <w:rPr>
          <w:rFonts w:hint="default" w:ascii="Times New Roman" w:hAnsi="Times New Roman" w:eastAsia="仿宋_GB2312" w:cs="Times New Roman"/>
          <w:bCs/>
          <w:color w:val="000000"/>
          <w:sz w:val="32"/>
          <w:szCs w:val="32"/>
          <w:lang w:val="en-US" w:eastAsia="zh-CN"/>
        </w:rPr>
        <w:t>按照县委巡查整改要求，扎实开展“清廉机关”创建活动，一方面进一步完善了局机关上下班考勤、财务制度等，完善制度监督；另一方面</w:t>
      </w:r>
      <w:r>
        <w:rPr>
          <w:rStyle w:val="15"/>
          <w:rFonts w:hint="default" w:ascii="Times New Roman" w:hAnsi="Times New Roman" w:cs="Times New Roman"/>
          <w:szCs w:val="32"/>
        </w:rPr>
        <w:t>对重要岗位、重要风险点，局党组班子成员定期与关键岗位人员开展谈心、警示教育活动，</w:t>
      </w:r>
      <w:r>
        <w:rPr>
          <w:rStyle w:val="15"/>
          <w:rFonts w:hint="default" w:ascii="Times New Roman" w:hAnsi="Times New Roman" w:cs="Times New Roman"/>
          <w:szCs w:val="32"/>
          <w:lang w:val="en-US"/>
        </w:rPr>
        <w:t>确保全年局党组、全局不发生廉政事件</w:t>
      </w:r>
      <w:r>
        <w:rPr>
          <w:rFonts w:hint="default" w:ascii="Times New Roman" w:hAnsi="Times New Roman" w:eastAsia="仿宋_GB2312" w:cs="Times New Roman"/>
          <w:bCs/>
          <w:color w:val="000000"/>
          <w:sz w:val="32"/>
          <w:szCs w:val="32"/>
        </w:rPr>
        <w:t>。</w:t>
      </w:r>
    </w:p>
    <w:p w14:paraId="0BD05A5E">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部门整体支出绩效情况如下：</w:t>
      </w:r>
    </w:p>
    <w:p w14:paraId="7067521A">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1、重点支出安排率: 100%</w:t>
      </w:r>
    </w:p>
    <w:p w14:paraId="6C23A908">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2、在职人员控制率：100%</w:t>
      </w:r>
    </w:p>
    <w:p w14:paraId="0E5DD21C">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3、“三公经费”控制率：</w:t>
      </w:r>
      <w:r>
        <w:rPr>
          <w:rFonts w:hint="eastAsia" w:ascii="仿宋_GB2312" w:hAnsi="仿宋_GB2312" w:eastAsia="仿宋_GB2312" w:cs="仿宋_GB2312"/>
          <w:kern w:val="0"/>
          <w:sz w:val="32"/>
          <w:szCs w:val="32"/>
          <w:lang w:val="en-US" w:eastAsia="zh-CN"/>
        </w:rPr>
        <w:t>100</w:t>
      </w:r>
      <w:r>
        <w:rPr>
          <w:rFonts w:hint="eastAsia" w:ascii="仿宋_GB2312" w:hAnsi="仿宋_GB2312" w:eastAsia="仿宋_GB2312" w:cs="仿宋_GB2312"/>
          <w:kern w:val="0"/>
          <w:sz w:val="32"/>
          <w:szCs w:val="32"/>
        </w:rPr>
        <w:t>%，严格控制“三公经费”支出，开源节流。</w:t>
      </w:r>
    </w:p>
    <w:p w14:paraId="72ED554D">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4、预算完成率：</w:t>
      </w:r>
      <w:r>
        <w:rPr>
          <w:rFonts w:hint="eastAsia" w:ascii="仿宋_GB2312" w:hAnsi="仿宋_GB2312" w:eastAsia="仿宋_GB2312" w:cs="仿宋_GB2312"/>
          <w:kern w:val="0"/>
          <w:sz w:val="32"/>
          <w:szCs w:val="32"/>
          <w:lang w:val="en-US" w:eastAsia="zh-CN"/>
        </w:rPr>
        <w:t>984.5</w:t>
      </w:r>
      <w:r>
        <w:rPr>
          <w:rFonts w:hint="eastAsia" w:ascii="仿宋_GB2312" w:hAnsi="仿宋_GB2312" w:eastAsia="仿宋_GB2312" w:cs="仿宋_GB2312"/>
          <w:kern w:val="0"/>
          <w:sz w:val="32"/>
          <w:szCs w:val="32"/>
        </w:rPr>
        <w:t>%</w:t>
      </w:r>
    </w:p>
    <w:p w14:paraId="2CADD8B0">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5、预算变动率：</w:t>
      </w:r>
      <w:r>
        <w:rPr>
          <w:rFonts w:hint="eastAsia" w:ascii="仿宋_GB2312" w:hAnsi="仿宋_GB2312" w:eastAsia="仿宋_GB2312" w:cs="仿宋_GB2312"/>
          <w:kern w:val="0"/>
          <w:sz w:val="32"/>
          <w:szCs w:val="32"/>
          <w:lang w:val="en-US" w:eastAsia="zh-CN"/>
        </w:rPr>
        <w:t>18.45</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主要是因为机构改革职能增加</w:t>
      </w:r>
      <w:bookmarkStart w:id="1" w:name="_GoBack"/>
      <w:bookmarkEnd w:id="1"/>
      <w:r>
        <w:rPr>
          <w:rFonts w:hint="eastAsia" w:ascii="仿宋_GB2312" w:hAnsi="仿宋_GB2312" w:eastAsia="仿宋_GB2312" w:cs="仿宋_GB2312"/>
          <w:kern w:val="0"/>
          <w:sz w:val="32"/>
          <w:szCs w:val="32"/>
          <w:lang w:val="en-US" w:eastAsia="zh-CN"/>
        </w:rPr>
        <w:t>人员增加及扶贫搬迁资金和专项债券资金、往来结算</w:t>
      </w:r>
      <w:r>
        <w:rPr>
          <w:rFonts w:hint="eastAsia" w:ascii="仿宋_GB2312" w:hAnsi="仿宋_GB2312" w:eastAsia="仿宋_GB2312" w:cs="仿宋_GB2312"/>
          <w:kern w:val="0"/>
          <w:sz w:val="32"/>
          <w:szCs w:val="32"/>
        </w:rPr>
        <w:t>所致。</w:t>
      </w:r>
    </w:p>
    <w:p w14:paraId="4E5CD8E3">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6、政府采购执行率：100%</w:t>
      </w:r>
    </w:p>
    <w:p w14:paraId="5D942336">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7、在资金管理上，我局制定了一系列的财务管理制度。</w:t>
      </w:r>
    </w:p>
    <w:p w14:paraId="0D21CE4C">
      <w:pPr>
        <w:spacing w:line="580" w:lineRule="exact"/>
        <w:ind w:firstLine="640" w:firstLineChars="200"/>
        <w:rPr>
          <w:rFonts w:ascii="黑体" w:hAnsi="黑体" w:eastAsia="黑体" w:cs="仿宋_GB2312"/>
          <w:bCs/>
          <w:kern w:val="0"/>
          <w:sz w:val="32"/>
          <w:szCs w:val="32"/>
        </w:rPr>
      </w:pPr>
      <w:r>
        <w:rPr>
          <w:rFonts w:hint="eastAsia" w:ascii="黑体" w:hAnsi="黑体" w:eastAsia="黑体" w:cs="仿宋_GB2312"/>
          <w:bCs/>
          <w:kern w:val="0"/>
          <w:sz w:val="32"/>
          <w:szCs w:val="32"/>
        </w:rPr>
        <w:t>四、存在的主要问题</w:t>
      </w:r>
    </w:p>
    <w:p w14:paraId="61B833A3">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因财政资金日益紧张，预算资金逐年减少，单位预算管理压力加大。部分开支未纳入预算，资金缺口较大。年中预算追加运转经费、专项工作经费较多。本单位的预算执行能力还有待加强，需要进一步提高资金使用效率。</w:t>
      </w:r>
    </w:p>
    <w:p w14:paraId="2828249F">
      <w:pPr>
        <w:spacing w:line="580" w:lineRule="exact"/>
        <w:ind w:firstLine="640" w:firstLineChars="200"/>
        <w:rPr>
          <w:rFonts w:ascii="黑体" w:hAnsi="黑体" w:eastAsia="黑体" w:cs="仿宋_GB2312"/>
          <w:bCs/>
          <w:kern w:val="0"/>
          <w:sz w:val="32"/>
          <w:szCs w:val="32"/>
        </w:rPr>
      </w:pPr>
      <w:r>
        <w:rPr>
          <w:rFonts w:hint="eastAsia" w:ascii="黑体" w:hAnsi="黑体" w:eastAsia="黑体" w:cs="仿宋_GB2312"/>
          <w:bCs/>
          <w:kern w:val="0"/>
          <w:sz w:val="32"/>
          <w:szCs w:val="32"/>
        </w:rPr>
        <w:t>五、改进措施及建议</w:t>
      </w:r>
    </w:p>
    <w:p w14:paraId="5DBB5DC5">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1、进一步精细测算各项工作年度开支，争取各项工作开展所需经费能够纳入预算，减少预算变动率。</w:t>
      </w:r>
    </w:p>
    <w:p w14:paraId="2D42084A">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2、抓好财务预算管理，严格执行财务管理制度，充分发挥监督作用。</w:t>
      </w:r>
    </w:p>
    <w:p w14:paraId="773241C9">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3、严格财务支出审批。抓好审核和审批两个环节，在审核审批中严把支出关，切实维护财务纪律的严肃性。</w:t>
      </w:r>
    </w:p>
    <w:p w14:paraId="76BF329E">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4、强化经费管理。重点加强招待费和办公经费的管理，严格控制支出，降低经费支出。</w:t>
      </w:r>
    </w:p>
    <w:p w14:paraId="6D75D4FB">
      <w:pPr>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5、及时拨付资金，减少结转下年的资金。  </w:t>
      </w:r>
    </w:p>
    <w:p w14:paraId="16A22C12">
      <w:pPr>
        <w:pStyle w:val="12"/>
        <w:spacing w:line="580" w:lineRule="exact"/>
        <w:rPr>
          <w:rFonts w:ascii="仿宋_GB2312" w:hAnsi="仿宋_GB2312" w:eastAsia="仿宋_GB2312" w:cs="仿宋_GB2312"/>
          <w:kern w:val="0"/>
          <w:sz w:val="32"/>
          <w:szCs w:val="32"/>
        </w:rPr>
      </w:pPr>
    </w:p>
    <w:p w14:paraId="55797482">
      <w:pPr>
        <w:pStyle w:val="12"/>
        <w:spacing w:line="580" w:lineRule="exact"/>
        <w:rPr>
          <w:rFonts w:ascii="仿宋_GB2312" w:hAnsi="仿宋_GB2312" w:eastAsia="仿宋_GB2312" w:cs="仿宋_GB2312"/>
          <w:kern w:val="0"/>
          <w:sz w:val="32"/>
          <w:szCs w:val="32"/>
        </w:rPr>
      </w:pPr>
    </w:p>
    <w:p w14:paraId="6761F073">
      <w:pPr>
        <w:spacing w:line="580" w:lineRule="exact"/>
        <w:ind w:firstLine="640" w:firstLineChars="200"/>
        <w:jc w:val="righ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衡南县发展和改革局</w:t>
      </w:r>
    </w:p>
    <w:p w14:paraId="6F1696DC">
      <w:pPr>
        <w:spacing w:line="580" w:lineRule="exact"/>
        <w:ind w:right="160" w:firstLine="640" w:firstLineChars="200"/>
        <w:jc w:val="righ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202</w:t>
      </w: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年</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月</w:t>
      </w:r>
      <w:r>
        <w:rPr>
          <w:rFonts w:hint="eastAsia" w:ascii="仿宋_GB2312" w:hAnsi="仿宋_GB2312" w:eastAsia="仿宋_GB2312" w:cs="仿宋_GB2312"/>
          <w:kern w:val="0"/>
          <w:sz w:val="32"/>
          <w:szCs w:val="32"/>
          <w:lang w:val="en-US" w:eastAsia="zh-CN"/>
        </w:rPr>
        <w:t>6</w:t>
      </w:r>
      <w:r>
        <w:rPr>
          <w:rFonts w:hint="eastAsia" w:ascii="仿宋_GB2312" w:hAnsi="仿宋_GB2312" w:eastAsia="仿宋_GB2312" w:cs="仿宋_GB2312"/>
          <w:kern w:val="0"/>
          <w:sz w:val="32"/>
          <w:szCs w:val="32"/>
        </w:rPr>
        <w:t>日</w:t>
      </w:r>
    </w:p>
    <w:p w14:paraId="6919660E"/>
    <w:sectPr>
      <w:footerReference r:id="rId3" w:type="default"/>
      <w:pgSz w:w="11906" w:h="16838"/>
      <w:pgMar w:top="1701" w:right="1701" w:bottom="1701" w:left="1701" w:header="851" w:footer="113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方正大标宋简体">
    <w:altName w:val="微软雅黑"/>
    <w:panose1 w:val="02010601030101010101"/>
    <w:charset w:val="86"/>
    <w:family w:val="auto"/>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31737"/>
      <w:docPartObj>
        <w:docPartGallery w:val="autotext"/>
      </w:docPartObj>
    </w:sdtPr>
    <w:sdtContent>
      <w:p w14:paraId="6B85500B">
        <w:pPr>
          <w:pStyle w:val="5"/>
          <w:jc w:val="center"/>
        </w:pPr>
        <w:r>
          <w:fldChar w:fldCharType="begin"/>
        </w:r>
        <w:r>
          <w:instrText xml:space="preserve"> PAGE   \* MERGEFORMAT </w:instrText>
        </w:r>
        <w:r>
          <w:fldChar w:fldCharType="separate"/>
        </w:r>
        <w:r>
          <w:rPr>
            <w:lang w:val="zh-CN"/>
          </w:rPr>
          <w:t>12</w:t>
        </w:r>
        <w:r>
          <w:rPr>
            <w:lang w:val="zh-CN"/>
          </w:rP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AE53886"/>
    <w:multiLevelType w:val="singleLevel"/>
    <w:tmpl w:val="EAE53886"/>
    <w:lvl w:ilvl="0" w:tentative="0">
      <w:start w:val="2"/>
      <w:numFmt w:val="decimal"/>
      <w:lvlText w:val="%1."/>
      <w:lvlJc w:val="left"/>
      <w:pPr>
        <w:tabs>
          <w:tab w:val="left" w:pos="312"/>
        </w:tabs>
      </w:pPr>
    </w:lvl>
  </w:abstractNum>
  <w:abstractNum w:abstractNumId="1">
    <w:nsid w:val="2A97D2FD"/>
    <w:multiLevelType w:val="singleLevel"/>
    <w:tmpl w:val="2A97D2FD"/>
    <w:lvl w:ilvl="0" w:tentative="0">
      <w:start w:val="2"/>
      <w:numFmt w:val="decimal"/>
      <w:lvlText w:val="%1."/>
      <w:lvlJc w:val="left"/>
      <w:pPr>
        <w:tabs>
          <w:tab w:val="left" w:pos="312"/>
        </w:tabs>
      </w:pPr>
    </w:lvl>
  </w:abstractNum>
  <w:abstractNum w:abstractNumId="2">
    <w:nsid w:val="4ABAEA51"/>
    <w:multiLevelType w:val="singleLevel"/>
    <w:tmpl w:val="4ABAEA51"/>
    <w:lvl w:ilvl="0" w:tentative="0">
      <w:start w:val="1"/>
      <w:numFmt w:val="decimal"/>
      <w:suff w:val="nothing"/>
      <w:lvlText w:val="（%1）"/>
      <w:lvlJc w:val="left"/>
      <w:pPr>
        <w:ind w:left="840" w:firstLine="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ViM2U1NTI0ODE1MmNmYWVmZjEyZjlhM2U2Njc4ODgifQ=="/>
  </w:docVars>
  <w:rsids>
    <w:rsidRoot w:val="5E5B359C"/>
    <w:rsid w:val="00495FEB"/>
    <w:rsid w:val="004B7835"/>
    <w:rsid w:val="0059128F"/>
    <w:rsid w:val="0066312C"/>
    <w:rsid w:val="00886A46"/>
    <w:rsid w:val="009445B6"/>
    <w:rsid w:val="00A46490"/>
    <w:rsid w:val="00B45CB4"/>
    <w:rsid w:val="00C4666D"/>
    <w:rsid w:val="00F24D3A"/>
    <w:rsid w:val="01136B4E"/>
    <w:rsid w:val="02625DBE"/>
    <w:rsid w:val="02E93CCD"/>
    <w:rsid w:val="037E15D8"/>
    <w:rsid w:val="06890792"/>
    <w:rsid w:val="06BE4560"/>
    <w:rsid w:val="070E4802"/>
    <w:rsid w:val="07A67A24"/>
    <w:rsid w:val="0C3A4F67"/>
    <w:rsid w:val="0D962FC5"/>
    <w:rsid w:val="0E397C0B"/>
    <w:rsid w:val="10F519A2"/>
    <w:rsid w:val="11835F75"/>
    <w:rsid w:val="13796FE5"/>
    <w:rsid w:val="15A51B85"/>
    <w:rsid w:val="17AC18B2"/>
    <w:rsid w:val="182B0C75"/>
    <w:rsid w:val="19F6363C"/>
    <w:rsid w:val="1BFA38D1"/>
    <w:rsid w:val="1EA96234"/>
    <w:rsid w:val="1EB27989"/>
    <w:rsid w:val="1FC54674"/>
    <w:rsid w:val="20055EE5"/>
    <w:rsid w:val="23D425FA"/>
    <w:rsid w:val="247A035B"/>
    <w:rsid w:val="24C94E1A"/>
    <w:rsid w:val="26A778A1"/>
    <w:rsid w:val="2D7D16B4"/>
    <w:rsid w:val="2DE63CA7"/>
    <w:rsid w:val="307979F5"/>
    <w:rsid w:val="32761BDB"/>
    <w:rsid w:val="32884D82"/>
    <w:rsid w:val="33785EC7"/>
    <w:rsid w:val="33B12324"/>
    <w:rsid w:val="35015A6E"/>
    <w:rsid w:val="36623B29"/>
    <w:rsid w:val="3B6F53E8"/>
    <w:rsid w:val="3B926923"/>
    <w:rsid w:val="3C8A0F0E"/>
    <w:rsid w:val="403C29FA"/>
    <w:rsid w:val="432C0BC9"/>
    <w:rsid w:val="4A692934"/>
    <w:rsid w:val="4AE97986"/>
    <w:rsid w:val="4AF9077E"/>
    <w:rsid w:val="4C58371B"/>
    <w:rsid w:val="4CB42DC9"/>
    <w:rsid w:val="4DF215C7"/>
    <w:rsid w:val="4F1536C4"/>
    <w:rsid w:val="51470263"/>
    <w:rsid w:val="516E61B1"/>
    <w:rsid w:val="5221104B"/>
    <w:rsid w:val="53624CD1"/>
    <w:rsid w:val="538B243C"/>
    <w:rsid w:val="54686246"/>
    <w:rsid w:val="5543215D"/>
    <w:rsid w:val="559A0529"/>
    <w:rsid w:val="5608557D"/>
    <w:rsid w:val="56C8676A"/>
    <w:rsid w:val="5771198C"/>
    <w:rsid w:val="57AE770E"/>
    <w:rsid w:val="57EE41F3"/>
    <w:rsid w:val="59601446"/>
    <w:rsid w:val="5E5B359C"/>
    <w:rsid w:val="62344EC5"/>
    <w:rsid w:val="62606D3B"/>
    <w:rsid w:val="63487F57"/>
    <w:rsid w:val="63BF6DB0"/>
    <w:rsid w:val="659F0C4A"/>
    <w:rsid w:val="66886125"/>
    <w:rsid w:val="68AE4D35"/>
    <w:rsid w:val="69A34306"/>
    <w:rsid w:val="69FF3176"/>
    <w:rsid w:val="6D435152"/>
    <w:rsid w:val="6EDF10AD"/>
    <w:rsid w:val="6F5F2C51"/>
    <w:rsid w:val="70BA2311"/>
    <w:rsid w:val="716C751F"/>
    <w:rsid w:val="71BD5FB9"/>
    <w:rsid w:val="75A03D67"/>
    <w:rsid w:val="76457075"/>
    <w:rsid w:val="76DA012D"/>
    <w:rsid w:val="7AC51B7A"/>
    <w:rsid w:val="7B1B2E3A"/>
    <w:rsid w:val="7B326238"/>
    <w:rsid w:val="7B4B57A4"/>
    <w:rsid w:val="7CC539EF"/>
    <w:rsid w:val="7D04330D"/>
    <w:rsid w:val="7D112584"/>
    <w:rsid w:val="7D8626ED"/>
    <w:rsid w:val="7F6443B9"/>
    <w:rsid w:val="7F9374C1"/>
    <w:rsid w:val="7FC51D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next w:val="4"/>
    <w:qFormat/>
    <w:uiPriority w:val="0"/>
    <w:pPr>
      <w:spacing w:after="120"/>
      <w:ind w:left="420" w:leftChars="200"/>
    </w:pPr>
  </w:style>
  <w:style w:type="paragraph" w:styleId="4">
    <w:name w:val="Body Text Indent 2"/>
    <w:basedOn w:val="1"/>
    <w:qFormat/>
    <w:uiPriority w:val="0"/>
    <w:pPr>
      <w:spacing w:after="120" w:line="480" w:lineRule="auto"/>
      <w:ind w:left="420" w:leftChars="200"/>
    </w:pPr>
  </w:style>
  <w:style w:type="paragraph" w:styleId="5">
    <w:name w:val="footer"/>
    <w:basedOn w:val="1"/>
    <w:link w:val="14"/>
    <w:qFormat/>
    <w:uiPriority w:val="99"/>
    <w:pPr>
      <w:tabs>
        <w:tab w:val="center" w:pos="4153"/>
        <w:tab w:val="right" w:pos="8306"/>
      </w:tabs>
      <w:snapToGrid w:val="0"/>
      <w:jc w:val="left"/>
    </w:pPr>
    <w:rPr>
      <w:sz w:val="18"/>
    </w:rPr>
  </w:style>
  <w:style w:type="paragraph" w:styleId="6">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rPr>
      <w:sz w:val="24"/>
    </w:rPr>
  </w:style>
  <w:style w:type="paragraph" w:styleId="8">
    <w:name w:val="Body Text First Indent 2"/>
    <w:basedOn w:val="3"/>
    <w:qFormat/>
    <w:uiPriority w:val="0"/>
    <w:pPr>
      <w:ind w:firstLine="420" w:firstLineChars="200"/>
    </w:pPr>
    <w:rPr>
      <w:rFonts w:ascii="宋体"/>
      <w:kern w:val="0"/>
      <w:sz w:val="20"/>
    </w:rPr>
  </w:style>
  <w:style w:type="paragraph" w:customStyle="1" w:styleId="11">
    <w:name w:val="TOC 标题1"/>
    <w:basedOn w:val="2"/>
    <w:next w:val="1"/>
    <w:qFormat/>
    <w:uiPriority w:val="39"/>
    <w:pPr>
      <w:spacing w:before="480" w:after="0" w:line="276" w:lineRule="auto"/>
      <w:jc w:val="center"/>
      <w:outlineLvl w:val="9"/>
    </w:pPr>
    <w:rPr>
      <w:rFonts w:ascii="仿宋" w:hAnsi="仿宋" w:eastAsia="仿宋"/>
      <w:color w:val="000000"/>
      <w:kern w:val="0"/>
      <w:sz w:val="32"/>
      <w:szCs w:val="32"/>
    </w:rPr>
  </w:style>
  <w:style w:type="paragraph" w:customStyle="1" w:styleId="12">
    <w:name w:val="Body Text Indent 21"/>
    <w:basedOn w:val="1"/>
    <w:qFormat/>
    <w:uiPriority w:val="0"/>
    <w:pPr>
      <w:spacing w:line="480" w:lineRule="auto"/>
      <w:ind w:left="420" w:leftChars="200"/>
    </w:pPr>
  </w:style>
  <w:style w:type="character" w:customStyle="1" w:styleId="13">
    <w:name w:val="页眉 Char"/>
    <w:basedOn w:val="10"/>
    <w:link w:val="6"/>
    <w:qFormat/>
    <w:uiPriority w:val="0"/>
    <w:rPr>
      <w:rFonts w:asciiTheme="minorHAnsi" w:hAnsiTheme="minorHAnsi" w:eastAsiaTheme="minorEastAsia" w:cstheme="minorBidi"/>
      <w:kern w:val="2"/>
      <w:sz w:val="18"/>
      <w:szCs w:val="18"/>
    </w:rPr>
  </w:style>
  <w:style w:type="character" w:customStyle="1" w:styleId="14">
    <w:name w:val="页脚 Char"/>
    <w:basedOn w:val="10"/>
    <w:link w:val="5"/>
    <w:qFormat/>
    <w:uiPriority w:val="99"/>
    <w:rPr>
      <w:rFonts w:asciiTheme="minorHAnsi" w:hAnsiTheme="minorHAnsi" w:eastAsiaTheme="minorEastAsia" w:cstheme="minorBidi"/>
      <w:kern w:val="2"/>
      <w:sz w:val="18"/>
      <w:szCs w:val="22"/>
    </w:rPr>
  </w:style>
  <w:style w:type="character" w:customStyle="1" w:styleId="15">
    <w:name w:val="NormalCharacter"/>
    <w:semiHidden/>
    <w:qFormat/>
    <w:uiPriority w:val="0"/>
    <w:rPr>
      <w:rFonts w:ascii="Times New Roman" w:hAnsi="Times New Roman" w:eastAsia="仿宋_GB2312" w:cstheme="minorBidi"/>
      <w:kern w:val="2"/>
      <w:sz w:val="32"/>
      <w:szCs w:val="24"/>
      <w:lang w:val="en-US" w:eastAsia="zh-CN" w:bidi="ar-SA"/>
    </w:rPr>
  </w:style>
  <w:style w:type="paragraph" w:styleId="16">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11</Pages>
  <Words>5142</Words>
  <Characters>5498</Characters>
  <Lines>2</Lines>
  <Paragraphs>12</Paragraphs>
  <TotalTime>19</TotalTime>
  <ScaleCrop>false</ScaleCrop>
  <LinksUpToDate>false</LinksUpToDate>
  <CharactersWithSpaces>5502</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2021-05-13T02:10:00Z</dcterms:created>
  <dc:creator>知止</dc:creator>
  <cp:lastModifiedBy>Administrator</cp:lastModifiedBy>
  <cp:lastPrinted>2022-04-26T00:43:00Z</cp:lastPrinted>
  <dcterms:modified xsi:type="dcterms:W3CDTF">2024-10-17T00:15:24Z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1E4B709140E244A8BC2FEFAD19C4DAD2_13</vt:lpwstr>
  </property>
</Properties>
</file>