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23</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城市管理和综合执法局</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预算编码：</w:t>
      </w:r>
      <w:r>
        <w:rPr>
          <w:rFonts w:hint="eastAsia" w:ascii="仿宋_GB2312" w:eastAsia="仿宋_GB2312"/>
          <w:sz w:val="32"/>
          <w:szCs w:val="32"/>
          <w:lang w:val="en-US" w:eastAsia="zh-CN"/>
        </w:rPr>
        <w:t>407</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2024</w:t>
      </w:r>
      <w:r>
        <w:rPr>
          <w:rFonts w:hint="eastAsia" w:ascii="仿宋_GB2312" w:eastAsia="仿宋_GB2312"/>
          <w:sz w:val="32"/>
          <w:szCs w:val="32"/>
        </w:rPr>
        <w:t xml:space="preserve"> 年 </w:t>
      </w:r>
      <w:r>
        <w:rPr>
          <w:rFonts w:hint="eastAsia" w:ascii="仿宋_GB2312" w:eastAsia="仿宋_GB2312"/>
          <w:sz w:val="32"/>
          <w:szCs w:val="32"/>
          <w:lang w:val="en-US" w:eastAsia="zh-CN"/>
        </w:rPr>
        <w:t>05</w:t>
      </w:r>
      <w:r>
        <w:rPr>
          <w:rFonts w:hint="eastAsia" w:ascii="仿宋_GB2312" w:eastAsia="仿宋_GB2312"/>
          <w:sz w:val="32"/>
          <w:szCs w:val="32"/>
        </w:rPr>
        <w:t xml:space="preserve"> 月 </w:t>
      </w:r>
      <w:r>
        <w:rPr>
          <w:rFonts w:hint="eastAsia" w:ascii="仿宋_GB2312" w:eastAsia="仿宋_GB2312"/>
          <w:sz w:val="32"/>
          <w:szCs w:val="32"/>
          <w:lang w:val="en-US" w:eastAsia="zh-CN"/>
        </w:rPr>
        <w:t>20</w:t>
      </w:r>
      <w:r>
        <w:rPr>
          <w:rFonts w:hint="eastAsia" w:ascii="仿宋_GB2312" w:eastAsia="仿宋_GB2312"/>
          <w:sz w:val="32"/>
          <w:szCs w:val="32"/>
        </w:rPr>
        <w:t>日</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1320" w:firstLineChars="300"/>
        <w:jc w:val="center"/>
        <w:textAlignment w:val="auto"/>
        <w:rPr>
          <w:rFonts w:hint="eastAsia" w:ascii="黑体" w:hAnsi="黑体" w:eastAsia="黑体" w:cs="黑体"/>
          <w:color w:val="auto"/>
          <w:sz w:val="44"/>
          <w:szCs w:val="44"/>
          <w:lang w:eastAsia="zh-CN"/>
        </w:rPr>
      </w:pPr>
      <w:r>
        <w:rPr>
          <w:rFonts w:hint="eastAsia" w:ascii="黑体" w:hAnsi="黑体" w:eastAsia="黑体" w:cs="黑体"/>
          <w:color w:val="auto"/>
          <w:sz w:val="44"/>
          <w:szCs w:val="44"/>
          <w:lang w:val="en-US" w:eastAsia="zh-CN"/>
        </w:rPr>
        <w:t>2023年度</w:t>
      </w:r>
      <w:r>
        <w:rPr>
          <w:rFonts w:hint="eastAsia" w:ascii="黑体" w:hAnsi="黑体" w:eastAsia="黑体" w:cs="黑体"/>
          <w:color w:val="auto"/>
          <w:sz w:val="44"/>
          <w:szCs w:val="44"/>
          <w:lang w:eastAsia="zh-CN"/>
        </w:rPr>
        <w:t>整体支出绩效自评报告</w:t>
      </w:r>
    </w:p>
    <w:p>
      <w:pPr>
        <w:spacing w:line="560" w:lineRule="exact"/>
        <w:jc w:val="both"/>
        <w:rPr>
          <w:rFonts w:hint="eastAsia" w:ascii="仿宋" w:hAnsi="仿宋" w:eastAsia="仿宋" w:cs="仿宋"/>
          <w:kern w:val="2"/>
          <w:sz w:val="28"/>
          <w:szCs w:val="28"/>
          <w:lang w:val="en-US" w:eastAsia="zh-CN"/>
        </w:rPr>
      </w:pPr>
      <w:r>
        <w:rPr>
          <w:rFonts w:hint="eastAsia" w:ascii="仿宋" w:hAnsi="仿宋" w:eastAsia="仿宋" w:cs="Times New Roman"/>
          <w:kern w:val="2"/>
          <w:sz w:val="32"/>
          <w:szCs w:val="32"/>
          <w:lang w:val="en-US" w:eastAsia="zh-CN"/>
        </w:rPr>
        <w:t xml:space="preserve">   </w:t>
      </w:r>
    </w:p>
    <w:p>
      <w:pPr>
        <w:spacing w:line="560" w:lineRule="exact"/>
        <w:jc w:val="left"/>
        <w:rPr>
          <w:rFonts w:hint="eastAsia" w:ascii="仿宋" w:hAnsi="仿宋" w:eastAsia="仿宋" w:cs="仿宋"/>
          <w:b/>
          <w:bCs/>
          <w:kern w:val="0"/>
          <w:sz w:val="28"/>
          <w:szCs w:val="28"/>
        </w:rPr>
      </w:pPr>
      <w:r>
        <w:rPr>
          <w:rFonts w:hint="eastAsia" w:ascii="仿宋" w:hAnsi="仿宋" w:eastAsia="仿宋" w:cs="仿宋"/>
          <w:kern w:val="2"/>
          <w:sz w:val="28"/>
          <w:szCs w:val="28"/>
          <w:lang w:val="en-US" w:eastAsia="zh-CN"/>
        </w:rPr>
        <w:t xml:space="preserve">    </w:t>
      </w:r>
      <w:r>
        <w:rPr>
          <w:rFonts w:hint="eastAsia" w:ascii="仿宋" w:hAnsi="仿宋" w:eastAsia="仿宋" w:cs="仿宋"/>
          <w:sz w:val="28"/>
          <w:szCs w:val="28"/>
          <w:lang w:val="zh-CN" w:eastAsia="zh-CN" w:bidi="zh-CN"/>
        </w:rPr>
        <w:t>为提高财政资金使用效益，衡量部门职责的履行情况和效率效果，增强预算单位绩效管理责任主体意识，根据《</w:t>
      </w:r>
      <w:r>
        <w:rPr>
          <w:rFonts w:hint="eastAsia" w:ascii="仿宋" w:hAnsi="仿宋" w:eastAsia="仿宋" w:cs="仿宋"/>
          <w:sz w:val="28"/>
          <w:szCs w:val="28"/>
          <w:lang w:val="en-US" w:eastAsia="zh-CN" w:bidi="zh-CN"/>
        </w:rPr>
        <w:t>衡南县</w:t>
      </w:r>
      <w:r>
        <w:rPr>
          <w:rFonts w:hint="eastAsia" w:ascii="仿宋" w:hAnsi="仿宋" w:eastAsia="仿宋" w:cs="仿宋"/>
          <w:sz w:val="28"/>
          <w:szCs w:val="28"/>
          <w:lang w:val="zh-CN" w:eastAsia="zh-CN" w:bidi="zh-CN"/>
        </w:rPr>
        <w:t>财政局关于</w:t>
      </w:r>
      <w:r>
        <w:rPr>
          <w:rFonts w:hint="eastAsia" w:ascii="仿宋" w:hAnsi="仿宋" w:eastAsia="仿宋" w:cs="仿宋"/>
          <w:sz w:val="28"/>
          <w:szCs w:val="28"/>
          <w:lang w:val="en-US" w:eastAsia="zh-CN" w:bidi="zh-CN"/>
        </w:rPr>
        <w:t>开展2023年度财政资金</w:t>
      </w:r>
      <w:r>
        <w:rPr>
          <w:rFonts w:hint="eastAsia" w:ascii="仿宋" w:hAnsi="仿宋" w:eastAsia="仿宋" w:cs="仿宋"/>
          <w:sz w:val="28"/>
          <w:szCs w:val="28"/>
          <w:lang w:val="zh-CN" w:eastAsia="zh-CN" w:bidi="zh-CN"/>
        </w:rPr>
        <w:t>绩效</w:t>
      </w:r>
      <w:r>
        <w:rPr>
          <w:rFonts w:hint="eastAsia" w:ascii="仿宋" w:hAnsi="仿宋" w:eastAsia="仿宋" w:cs="仿宋"/>
          <w:sz w:val="28"/>
          <w:szCs w:val="28"/>
          <w:lang w:val="en-US" w:eastAsia="zh-CN" w:bidi="zh-CN"/>
        </w:rPr>
        <w:t>自评工作的</w:t>
      </w:r>
      <w:r>
        <w:rPr>
          <w:rFonts w:hint="eastAsia" w:ascii="仿宋" w:hAnsi="仿宋" w:eastAsia="仿宋" w:cs="仿宋"/>
          <w:sz w:val="28"/>
          <w:szCs w:val="28"/>
          <w:lang w:val="zh-CN" w:eastAsia="zh-CN" w:bidi="zh-CN"/>
        </w:rPr>
        <w:t>通知》（清财绩【202</w:t>
      </w:r>
      <w:r>
        <w:rPr>
          <w:rFonts w:hint="eastAsia" w:ascii="仿宋" w:hAnsi="仿宋" w:eastAsia="仿宋" w:cs="仿宋"/>
          <w:sz w:val="28"/>
          <w:szCs w:val="28"/>
          <w:lang w:val="en-US" w:eastAsia="zh-CN" w:bidi="zh-CN"/>
        </w:rPr>
        <w:t>4</w:t>
      </w:r>
      <w:r>
        <w:rPr>
          <w:rFonts w:hint="eastAsia" w:ascii="仿宋" w:hAnsi="仿宋" w:eastAsia="仿宋" w:cs="仿宋"/>
          <w:sz w:val="28"/>
          <w:szCs w:val="28"/>
          <w:lang w:val="zh-CN" w:eastAsia="zh-CN" w:bidi="zh-CN"/>
        </w:rPr>
        <w:t>】</w:t>
      </w:r>
      <w:r>
        <w:rPr>
          <w:rFonts w:hint="eastAsia" w:ascii="仿宋" w:hAnsi="仿宋" w:eastAsia="仿宋" w:cs="仿宋"/>
          <w:sz w:val="28"/>
          <w:szCs w:val="28"/>
          <w:lang w:val="en-US" w:eastAsia="zh-CN" w:bidi="zh-CN"/>
        </w:rPr>
        <w:t>118</w:t>
      </w:r>
      <w:r>
        <w:rPr>
          <w:rFonts w:hint="eastAsia" w:ascii="仿宋" w:hAnsi="仿宋" w:eastAsia="仿宋" w:cs="仿宋"/>
          <w:sz w:val="28"/>
          <w:szCs w:val="28"/>
          <w:lang w:val="zh-CN" w:eastAsia="zh-CN" w:bidi="zh-CN"/>
        </w:rPr>
        <w:t>号）</w:t>
      </w:r>
      <w:r>
        <w:rPr>
          <w:rFonts w:hint="eastAsia" w:ascii="仿宋" w:hAnsi="仿宋" w:eastAsia="仿宋" w:cs="仿宋"/>
          <w:sz w:val="28"/>
          <w:szCs w:val="28"/>
        </w:rPr>
        <w:t>要求，</w:t>
      </w:r>
      <w:r>
        <w:rPr>
          <w:rFonts w:hint="eastAsia" w:ascii="仿宋" w:hAnsi="仿宋" w:eastAsia="仿宋" w:cs="仿宋"/>
          <w:kern w:val="2"/>
          <w:sz w:val="28"/>
          <w:szCs w:val="28"/>
        </w:rPr>
        <w:t>我局对202</w:t>
      </w:r>
      <w:r>
        <w:rPr>
          <w:rFonts w:hint="eastAsia" w:ascii="仿宋" w:hAnsi="仿宋" w:eastAsia="仿宋" w:cs="仿宋"/>
          <w:kern w:val="2"/>
          <w:sz w:val="28"/>
          <w:szCs w:val="28"/>
          <w:lang w:val="en-US" w:eastAsia="zh-CN"/>
        </w:rPr>
        <w:t>3</w:t>
      </w:r>
      <w:r>
        <w:rPr>
          <w:rFonts w:hint="eastAsia" w:ascii="仿宋" w:hAnsi="仿宋" w:eastAsia="仿宋" w:cs="仿宋"/>
          <w:kern w:val="2"/>
          <w:sz w:val="28"/>
          <w:szCs w:val="28"/>
        </w:rPr>
        <w:t>年度部门整体支出绩效进行了全面综合评价，</w:t>
      </w:r>
      <w:r>
        <w:rPr>
          <w:rFonts w:hint="eastAsia" w:ascii="仿宋" w:hAnsi="仿宋" w:eastAsia="仿宋" w:cs="仿宋"/>
          <w:sz w:val="28"/>
          <w:szCs w:val="28"/>
        </w:rPr>
        <w:t>现将此次绩效评价情况报告如下</w:t>
      </w:r>
      <w:r>
        <w:rPr>
          <w:rFonts w:hint="eastAsia" w:ascii="仿宋" w:hAnsi="仿宋" w:eastAsia="仿宋" w:cs="仿宋"/>
          <w:sz w:val="28"/>
          <w:szCs w:val="28"/>
          <w:lang w:eastAsia="zh-CN"/>
        </w:rPr>
        <w:t>：</w:t>
      </w:r>
      <w:r>
        <w:rPr>
          <w:rFonts w:hint="eastAsia" w:ascii="仿宋" w:hAnsi="仿宋" w:eastAsia="仿宋" w:cs="仿宋"/>
          <w:kern w:val="2"/>
          <w:sz w:val="28"/>
          <w:szCs w:val="28"/>
        </w:rPr>
        <w:t>：</w:t>
      </w:r>
    </w:p>
    <w:p>
      <w:pPr>
        <w:pStyle w:val="3"/>
        <w:spacing w:line="620" w:lineRule="exact"/>
        <w:ind w:left="0" w:firstLine="562" w:firstLineChars="200"/>
        <w:jc w:val="both"/>
        <w:outlineLvl w:val="0"/>
        <w:rPr>
          <w:rFonts w:hint="eastAsia" w:ascii="仿宋" w:hAnsi="仿宋" w:eastAsia="仿宋" w:cs="仿宋"/>
          <w:b/>
          <w:bCs w:val="0"/>
          <w:sz w:val="28"/>
          <w:szCs w:val="28"/>
        </w:rPr>
      </w:pPr>
      <w:r>
        <w:rPr>
          <w:rFonts w:hint="eastAsia" w:ascii="仿宋" w:hAnsi="仿宋" w:eastAsia="仿宋" w:cs="仿宋"/>
          <w:b/>
          <w:bCs w:val="0"/>
          <w:sz w:val="28"/>
          <w:szCs w:val="28"/>
        </w:rPr>
        <w:t>一、部门基本情况</w:t>
      </w:r>
    </w:p>
    <w:p>
      <w:pPr>
        <w:pStyle w:val="3"/>
        <w:spacing w:line="620" w:lineRule="exact"/>
        <w:ind w:left="0" w:firstLine="560" w:firstLineChars="200"/>
        <w:jc w:val="both"/>
        <w:outlineLvl w:val="0"/>
        <w:rPr>
          <w:rFonts w:hint="eastAsia" w:ascii="仿宋" w:hAnsi="仿宋" w:eastAsia="仿宋" w:cs="仿宋"/>
          <w:bCs/>
          <w:sz w:val="28"/>
          <w:szCs w:val="28"/>
        </w:rPr>
      </w:pPr>
      <w:r>
        <w:rPr>
          <w:rFonts w:hint="eastAsia" w:ascii="仿宋" w:hAnsi="仿宋" w:eastAsia="仿宋" w:cs="仿宋"/>
          <w:bCs/>
          <w:sz w:val="28"/>
          <w:szCs w:val="28"/>
        </w:rPr>
        <w:t>1.部门职责</w:t>
      </w:r>
    </w:p>
    <w:p>
      <w:pPr>
        <w:pStyle w:val="3"/>
        <w:spacing w:line="620" w:lineRule="exact"/>
        <w:ind w:left="0" w:firstLine="560" w:firstLineChars="200"/>
        <w:jc w:val="both"/>
        <w:rPr>
          <w:rFonts w:hint="eastAsia" w:ascii="仿宋" w:hAnsi="仿宋" w:eastAsia="仿宋" w:cs="仿宋"/>
          <w:sz w:val="28"/>
          <w:szCs w:val="28"/>
          <w:lang w:eastAsia="zh-CN"/>
        </w:rPr>
      </w:pPr>
      <w:bookmarkStart w:id="0" w:name="_Toc19546798"/>
      <w:bookmarkStart w:id="1" w:name="_Toc16172689"/>
      <w:bookmarkStart w:id="2" w:name="_Toc18935583"/>
      <w:bookmarkStart w:id="3" w:name="_Toc26259981"/>
      <w:bookmarkStart w:id="4" w:name="_Toc17186108"/>
      <w:bookmarkStart w:id="5" w:name="_Toc26349200"/>
      <w:bookmarkStart w:id="6" w:name="_Toc23789"/>
      <w:r>
        <w:rPr>
          <w:rFonts w:hint="eastAsia" w:ascii="仿宋" w:hAnsi="仿宋" w:eastAsia="仿宋" w:cs="仿宋"/>
          <w:sz w:val="28"/>
          <w:szCs w:val="28"/>
          <w:lang w:val="en-US" w:eastAsia="zh-CN"/>
        </w:rPr>
        <w:t>衡南县城市管理和综合执法局</w:t>
      </w:r>
      <w:r>
        <w:rPr>
          <w:rFonts w:hint="eastAsia" w:ascii="仿宋" w:hAnsi="仿宋" w:eastAsia="仿宋" w:cs="仿宋"/>
          <w:sz w:val="28"/>
          <w:szCs w:val="28"/>
        </w:rPr>
        <w:t>于2015年设立，为</w:t>
      </w:r>
      <w:r>
        <w:rPr>
          <w:rFonts w:hint="eastAsia" w:ascii="仿宋" w:hAnsi="仿宋" w:eastAsia="仿宋" w:cs="仿宋"/>
          <w:sz w:val="28"/>
          <w:szCs w:val="28"/>
          <w:lang w:val="en-US" w:eastAsia="zh-CN"/>
        </w:rPr>
        <w:t>衡南</w:t>
      </w:r>
      <w:r>
        <w:rPr>
          <w:rFonts w:hint="eastAsia" w:ascii="仿宋" w:hAnsi="仿宋" w:eastAsia="仿宋" w:cs="仿宋"/>
          <w:sz w:val="28"/>
          <w:szCs w:val="28"/>
        </w:rPr>
        <w:t>县人民政府直属正科级事业单位，2017年4月正式挂牌组建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2019年机构改革，调整为县人民政府工作部门，由衡南县城市管理行政执法局更名为</w:t>
      </w:r>
      <w:r>
        <w:rPr>
          <w:rFonts w:hint="eastAsia" w:ascii="仿宋" w:hAnsi="仿宋" w:eastAsia="仿宋" w:cs="仿宋"/>
          <w:b w:val="0"/>
          <w:bCs w:val="0"/>
          <w:sz w:val="28"/>
          <w:szCs w:val="28"/>
          <w:lang w:val="en-US" w:eastAsia="zh-CN"/>
        </w:rPr>
        <w:t>衡南县城市管理和综合执法局。</w:t>
      </w:r>
      <w:r>
        <w:rPr>
          <w:rFonts w:hint="eastAsia" w:ascii="仿宋" w:hAnsi="仿宋" w:eastAsia="仿宋" w:cs="仿宋"/>
          <w:sz w:val="28"/>
          <w:szCs w:val="28"/>
        </w:rPr>
        <w:t>主要承担全县城市管理</w:t>
      </w:r>
      <w:r>
        <w:rPr>
          <w:rFonts w:hint="eastAsia" w:ascii="仿宋" w:hAnsi="仿宋" w:eastAsia="仿宋" w:cs="仿宋"/>
          <w:sz w:val="28"/>
          <w:szCs w:val="28"/>
          <w:lang w:val="en-US" w:eastAsia="zh-CN"/>
        </w:rPr>
        <w:t>和综合</w:t>
      </w:r>
      <w:r>
        <w:rPr>
          <w:rFonts w:hint="eastAsia" w:ascii="仿宋" w:hAnsi="仿宋" w:eastAsia="仿宋" w:cs="仿宋"/>
          <w:sz w:val="28"/>
          <w:szCs w:val="28"/>
        </w:rPr>
        <w:t>执法工作，</w:t>
      </w:r>
      <w:r>
        <w:rPr>
          <w:rFonts w:hint="eastAsia" w:ascii="仿宋" w:hAnsi="仿宋" w:eastAsia="仿宋" w:cs="仿宋"/>
          <w:sz w:val="28"/>
          <w:szCs w:val="28"/>
          <w:lang w:val="en-US" w:eastAsia="zh-CN"/>
        </w:rPr>
        <w:t>牵头负责全县生活垃圾治理工作。</w:t>
      </w:r>
      <w:r>
        <w:rPr>
          <w:rFonts w:hint="eastAsia" w:ascii="仿宋" w:hAnsi="仿宋" w:eastAsia="仿宋" w:cs="仿宋"/>
          <w:sz w:val="28"/>
          <w:szCs w:val="28"/>
        </w:rPr>
        <w:t>其</w:t>
      </w:r>
      <w:r>
        <w:rPr>
          <w:rFonts w:hint="eastAsia" w:ascii="仿宋" w:hAnsi="仿宋" w:eastAsia="仿宋" w:cs="仿宋"/>
          <w:sz w:val="28"/>
          <w:szCs w:val="28"/>
          <w:lang w:eastAsia="zh-CN"/>
        </w:rPr>
        <w:t>部门</w:t>
      </w:r>
      <w:r>
        <w:rPr>
          <w:rFonts w:hint="eastAsia" w:ascii="仿宋" w:hAnsi="仿宋" w:eastAsia="仿宋" w:cs="仿宋"/>
          <w:sz w:val="28"/>
          <w:szCs w:val="28"/>
        </w:rPr>
        <w:t>主要职责</w:t>
      </w:r>
      <w:r>
        <w:rPr>
          <w:rFonts w:hint="eastAsia" w:ascii="仿宋" w:hAnsi="仿宋" w:eastAsia="仿宋" w:cs="仿宋"/>
          <w:sz w:val="28"/>
          <w:szCs w:val="28"/>
          <w:lang w:eastAsia="zh-CN"/>
        </w:rPr>
        <w:t>分别为：</w:t>
      </w:r>
      <w:bookmarkEnd w:id="0"/>
      <w:bookmarkEnd w:id="1"/>
      <w:bookmarkEnd w:id="2"/>
      <w:bookmarkEnd w:id="3"/>
      <w:bookmarkEnd w:id="4"/>
      <w:bookmarkEnd w:id="5"/>
      <w:bookmarkEnd w:id="6"/>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宣传、贯彻、落实国家、省、市、县有关城市管理的法律、法规、规章、办法，编制全县城市管理及其行政执法工作的总体规划、年度计划，并组织实施；制定全县城市管理及其行政执法工作制度，并组织实施；组织开展城市管理及其行政执法调查研究。</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（2）承担对全县各乡镇人民政府（办事处）以及县直有关单位城市（镇）管理和城市（镇）管理行政执法工作的指导、协调、监督检查和考核评比工作。</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（3）承担县城规划区内市容监督管理责任。</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（4）承担县城规划区内城市环境卫生监督管理责任。</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（5）承担拟订县城规划区内园林绿化和县城规划区内风景名胜区中长期绿化规划并组织实施的责任。</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（6）承担城区道路照明和亮化照明监督管理责任。</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（7）承担城区数字化城市管理指挥、监督、调度和协调工作。</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（8）承担在城区开展城市管理相对集中行政处罚权工作的责任。</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（9）负责城管执法队伍的政治教育、业务培训工作。</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（10）受理所属执法单位开展城市管理相对集中行政处罚权工作的行政复议。</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（11）会同财政部门编制本系统年度资金安排使用计划，并负责审核、监督、检查资金使用情况。</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（12）负责对职责范围内有关行业、领域的安全生产工作实施监督管理。</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（13）承办县人民政府交办的其他事项。</w:t>
      </w:r>
    </w:p>
    <w:p>
      <w:pPr>
        <w:pStyle w:val="3"/>
        <w:spacing w:line="620" w:lineRule="exact"/>
        <w:ind w:left="0" w:firstLine="560" w:firstLineChars="200"/>
        <w:jc w:val="both"/>
        <w:outlineLvl w:val="0"/>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机构设置情况</w:t>
      </w:r>
    </w:p>
    <w:p>
      <w:pPr>
        <w:keepNext w:val="0"/>
        <w:keepLines w:val="0"/>
        <w:pageBreakBefore w:val="0"/>
        <w:widowControl w:val="0"/>
        <w:kinsoku/>
        <w:wordWrap/>
        <w:overflowPunct/>
        <w:topLinePunct w:val="0"/>
        <w:autoSpaceDE w:val="0"/>
        <w:autoSpaceDN w:val="0"/>
        <w:bidi w:val="0"/>
        <w:adjustRightInd/>
        <w:snapToGrid/>
        <w:spacing w:line="640" w:lineRule="exact"/>
        <w:ind w:firstLine="560" w:firstLineChars="200"/>
        <w:jc w:val="both"/>
        <w:textAlignment w:val="auto"/>
        <w:rPr>
          <w:rFonts w:hint="eastAsia" w:ascii="仿宋" w:hAnsi="仿宋" w:eastAsia="仿宋" w:cs="仿宋"/>
          <w:sz w:val="28"/>
          <w:szCs w:val="28"/>
          <w:lang w:val="en-US" w:eastAsia="zh-CN" w:bidi="zh-CN"/>
        </w:rPr>
      </w:pPr>
      <w:r>
        <w:rPr>
          <w:rFonts w:hint="eastAsia" w:ascii="仿宋" w:hAnsi="仿宋" w:eastAsia="仿宋" w:cs="仿宋"/>
          <w:sz w:val="28"/>
          <w:szCs w:val="28"/>
          <w:lang w:val="zh-CN" w:eastAsia="zh-CN" w:bidi="zh-CN"/>
        </w:rPr>
        <w:t>衡南县城管局局机关内设</w:t>
      </w:r>
      <w:r>
        <w:rPr>
          <w:rFonts w:hint="eastAsia" w:ascii="仿宋" w:hAnsi="仿宋" w:eastAsia="仿宋" w:cs="仿宋"/>
          <w:sz w:val="28"/>
          <w:szCs w:val="28"/>
          <w:lang w:val="en-US" w:eastAsia="zh-CN" w:bidi="zh-CN"/>
        </w:rPr>
        <w:t>办公室、组织人事股、政策法规股（督查考核股）、行政审批服务股、综合管理股和财务审计股等6</w:t>
      </w:r>
      <w:r>
        <w:rPr>
          <w:rFonts w:hint="eastAsia" w:ascii="仿宋" w:hAnsi="仿宋" w:eastAsia="仿宋" w:cs="仿宋"/>
          <w:sz w:val="28"/>
          <w:szCs w:val="28"/>
          <w:lang w:val="zh-CN" w:eastAsia="zh-CN" w:bidi="zh-CN"/>
        </w:rPr>
        <w:t>个股室。下辖二级单位</w:t>
      </w:r>
      <w:r>
        <w:rPr>
          <w:rFonts w:hint="eastAsia" w:ascii="仿宋" w:hAnsi="仿宋" w:eastAsia="仿宋" w:cs="仿宋"/>
          <w:sz w:val="28"/>
          <w:szCs w:val="28"/>
          <w:lang w:val="en-US" w:eastAsia="zh-CN" w:bidi="zh-CN"/>
        </w:rPr>
        <w:t>7家，分别为：</w:t>
      </w:r>
      <w:r>
        <w:rPr>
          <w:rFonts w:hint="eastAsia" w:ascii="仿宋" w:hAnsi="仿宋" w:eastAsia="仿宋" w:cs="仿宋"/>
          <w:sz w:val="28"/>
          <w:szCs w:val="28"/>
          <w:lang w:val="zh-CN" w:eastAsia="zh-CN" w:bidi="zh-CN"/>
        </w:rPr>
        <w:t>衡南县城市管理综合行政执法大队、衡南县市政公用事业服务中心、衡南县环境卫生所、衡南县园林绿化所、衡南县路灯管理所、衡南县渣土管理办公室、衡南县固体废弃物处置中心等。</w:t>
      </w:r>
    </w:p>
    <w:p>
      <w:pPr>
        <w:numPr>
          <w:ilvl w:val="0"/>
          <w:numId w:val="0"/>
        </w:numPr>
        <w:spacing w:line="560" w:lineRule="exact"/>
        <w:ind w:leftChars="200" w:firstLine="280" w:firstLineChars="100"/>
        <w:rPr>
          <w:rFonts w:hint="eastAsia" w:ascii="仿宋" w:hAnsi="仿宋" w:eastAsia="仿宋" w:cs="仿宋"/>
          <w:kern w:val="0"/>
          <w:sz w:val="28"/>
          <w:szCs w:val="28"/>
          <w:lang w:val="en-US" w:eastAsia="zh-CN"/>
        </w:rPr>
      </w:pPr>
      <w:r>
        <w:rPr>
          <w:rFonts w:hint="eastAsia" w:ascii="仿宋" w:hAnsi="仿宋" w:eastAsia="仿宋" w:cs="仿宋"/>
          <w:bCs/>
          <w:kern w:val="2"/>
          <w:sz w:val="28"/>
          <w:szCs w:val="28"/>
          <w:lang w:val="en-US" w:eastAsia="zh-CN" w:bidi="ar-SA"/>
        </w:rPr>
        <w:t>3.人员编制情况</w:t>
      </w:r>
    </w:p>
    <w:p>
      <w:pPr>
        <w:keepNext w:val="0"/>
        <w:keepLines w:val="0"/>
        <w:pageBreakBefore w:val="0"/>
        <w:widowControl w:val="0"/>
        <w:kinsoku/>
        <w:wordWrap/>
        <w:overflowPunct/>
        <w:topLinePunct w:val="0"/>
        <w:autoSpaceDE w:val="0"/>
        <w:autoSpaceDN w:val="0"/>
        <w:bidi w:val="0"/>
        <w:adjustRightInd/>
        <w:snapToGrid/>
        <w:spacing w:line="640" w:lineRule="exact"/>
        <w:ind w:firstLine="560" w:firstLineChars="200"/>
        <w:jc w:val="both"/>
        <w:textAlignment w:val="auto"/>
        <w:rPr>
          <w:rFonts w:hint="eastAsia" w:ascii="仿宋" w:hAnsi="仿宋" w:eastAsia="仿宋" w:cs="仿宋"/>
          <w:sz w:val="28"/>
          <w:szCs w:val="28"/>
          <w:lang w:val="en-US" w:eastAsia="zh-CN" w:bidi="zh-CN"/>
        </w:rPr>
      </w:pPr>
      <w:r>
        <w:rPr>
          <w:rFonts w:hint="eastAsia" w:ascii="仿宋" w:hAnsi="仿宋" w:eastAsia="仿宋" w:cs="仿宋"/>
          <w:sz w:val="28"/>
          <w:szCs w:val="28"/>
          <w:lang w:val="en-US" w:eastAsia="zh-CN" w:bidi="zh-CN"/>
        </w:rPr>
        <w:t>根据我局三定方案核定机关行政编制9名，所属事业单位全额拨款事业编制184名。截止2023年底，实有机关行政人员7人，事业编151人，其中：财政全额拨款59人，非全额99人。</w:t>
      </w:r>
    </w:p>
    <w:p>
      <w:pPr>
        <w:spacing w:line="560" w:lineRule="exact"/>
        <w:ind w:firstLine="562" w:firstLineChars="200"/>
        <w:rPr>
          <w:rFonts w:hint="eastAsia" w:ascii="仿宋" w:hAnsi="仿宋" w:eastAsia="仿宋" w:cs="仿宋"/>
          <w:b/>
          <w:bCs/>
          <w:kern w:val="0"/>
          <w:sz w:val="28"/>
          <w:szCs w:val="28"/>
        </w:rPr>
      </w:pPr>
      <w:r>
        <w:rPr>
          <w:rFonts w:hint="eastAsia" w:ascii="仿宋" w:hAnsi="仿宋" w:eastAsia="仿宋" w:cs="仿宋"/>
          <w:b/>
          <w:bCs/>
          <w:kern w:val="0"/>
          <w:sz w:val="28"/>
          <w:szCs w:val="28"/>
        </w:rPr>
        <w:t>二、部门整体支出管理及使用情况</w:t>
      </w:r>
    </w:p>
    <w:p>
      <w:pPr>
        <w:spacing w:line="560" w:lineRule="exact"/>
        <w:ind w:firstLine="562" w:firstLineChars="200"/>
        <w:rPr>
          <w:rFonts w:hint="eastAsia" w:ascii="仿宋" w:hAnsi="仿宋" w:eastAsia="仿宋" w:cs="仿宋"/>
          <w:b/>
          <w:bCs/>
          <w:kern w:val="0"/>
          <w:sz w:val="28"/>
          <w:szCs w:val="28"/>
        </w:rPr>
      </w:pPr>
      <w:r>
        <w:rPr>
          <w:rFonts w:hint="eastAsia" w:ascii="仿宋" w:hAnsi="仿宋" w:eastAsia="仿宋" w:cs="仿宋"/>
          <w:b/>
          <w:bCs/>
          <w:kern w:val="0"/>
          <w:sz w:val="28"/>
          <w:szCs w:val="28"/>
        </w:rPr>
        <w:t>1.部门预</w:t>
      </w:r>
      <w:r>
        <w:rPr>
          <w:rFonts w:hint="eastAsia" w:ascii="仿宋" w:hAnsi="仿宋" w:eastAsia="仿宋" w:cs="仿宋"/>
          <w:b/>
          <w:bCs/>
          <w:kern w:val="0"/>
          <w:sz w:val="28"/>
          <w:szCs w:val="28"/>
          <w:lang w:eastAsia="zh-CN"/>
        </w:rPr>
        <w:t>、决</w:t>
      </w:r>
      <w:r>
        <w:rPr>
          <w:rFonts w:hint="eastAsia" w:ascii="仿宋" w:hAnsi="仿宋" w:eastAsia="仿宋" w:cs="仿宋"/>
          <w:b/>
          <w:bCs/>
          <w:kern w:val="0"/>
          <w:sz w:val="28"/>
          <w:szCs w:val="28"/>
        </w:rPr>
        <w:t>算收支情况</w:t>
      </w:r>
    </w:p>
    <w:p>
      <w:pPr>
        <w:pStyle w:val="3"/>
        <w:spacing w:line="620" w:lineRule="exact"/>
        <w:ind w:left="0" w:firstLine="562" w:firstLineChars="200"/>
        <w:jc w:val="both"/>
        <w:rPr>
          <w:rFonts w:hint="eastAsia" w:ascii="仿宋" w:hAnsi="仿宋" w:eastAsia="仿宋" w:cs="仿宋"/>
          <w:kern w:val="0"/>
          <w:sz w:val="28"/>
          <w:szCs w:val="28"/>
          <w:lang w:val="en-US" w:eastAsia="zh-CN"/>
        </w:rPr>
      </w:pPr>
      <w:r>
        <w:rPr>
          <w:rFonts w:hint="eastAsia" w:ascii="仿宋" w:hAnsi="仿宋" w:eastAsia="仿宋" w:cs="仿宋"/>
          <w:b/>
          <w:bCs/>
          <w:kern w:val="0"/>
          <w:sz w:val="28"/>
          <w:szCs w:val="28"/>
          <w:lang w:val="en-US" w:eastAsia="zh-CN"/>
        </w:rPr>
        <w:t>收入预、决算情况</w:t>
      </w:r>
      <w:r>
        <w:rPr>
          <w:rFonts w:hint="eastAsia" w:ascii="仿宋" w:hAnsi="仿宋" w:eastAsia="仿宋" w:cs="仿宋"/>
          <w:kern w:val="0"/>
          <w:sz w:val="28"/>
          <w:szCs w:val="28"/>
          <w:lang w:val="en-US" w:eastAsia="zh-CN"/>
        </w:rPr>
        <w:t>：2023年年初经批复的部门预算收入3621.62万元，均系一般公共预算收入（经费拨款）。其中：</w:t>
      </w:r>
      <w:r>
        <w:rPr>
          <w:rFonts w:hint="eastAsia" w:ascii="仿宋" w:hAnsi="仿宋" w:eastAsia="仿宋" w:cs="仿宋"/>
          <w:sz w:val="28"/>
          <w:szCs w:val="28"/>
          <w:highlight w:val="none"/>
          <w:lang w:val="en-US"/>
        </w:rPr>
        <w:t>基本支出</w:t>
      </w:r>
      <w:r>
        <w:rPr>
          <w:rFonts w:hint="eastAsia" w:ascii="仿宋" w:hAnsi="仿宋" w:eastAsia="仿宋" w:cs="仿宋"/>
          <w:sz w:val="28"/>
          <w:szCs w:val="28"/>
          <w:highlight w:val="none"/>
          <w:lang w:val="en-US" w:eastAsia="zh-CN"/>
        </w:rPr>
        <w:t>1238.62</w:t>
      </w:r>
      <w:r>
        <w:rPr>
          <w:rFonts w:hint="eastAsia" w:ascii="仿宋" w:hAnsi="仿宋" w:eastAsia="仿宋" w:cs="仿宋"/>
          <w:sz w:val="28"/>
          <w:szCs w:val="28"/>
          <w:highlight w:val="none"/>
          <w:lang w:val="en-US"/>
        </w:rPr>
        <w:t>万元（工资福利支出</w:t>
      </w:r>
      <w:r>
        <w:rPr>
          <w:rFonts w:hint="eastAsia" w:ascii="仿宋" w:hAnsi="仿宋" w:eastAsia="仿宋" w:cs="仿宋"/>
          <w:sz w:val="28"/>
          <w:szCs w:val="28"/>
          <w:highlight w:val="none"/>
          <w:lang w:val="en-US" w:eastAsia="zh-CN"/>
        </w:rPr>
        <w:t>1138.91</w:t>
      </w:r>
      <w:r>
        <w:rPr>
          <w:rFonts w:hint="eastAsia" w:ascii="仿宋" w:hAnsi="仿宋" w:eastAsia="仿宋" w:cs="仿宋"/>
          <w:sz w:val="28"/>
          <w:szCs w:val="28"/>
          <w:highlight w:val="none"/>
          <w:lang w:val="en-US"/>
        </w:rPr>
        <w:t>万元，公用经费</w:t>
      </w:r>
      <w:r>
        <w:rPr>
          <w:rFonts w:hint="eastAsia" w:ascii="仿宋" w:hAnsi="仿宋" w:eastAsia="仿宋" w:cs="仿宋"/>
          <w:sz w:val="28"/>
          <w:szCs w:val="28"/>
          <w:highlight w:val="none"/>
          <w:lang w:val="en-US" w:eastAsia="zh-CN"/>
        </w:rPr>
        <w:t>93.6</w:t>
      </w:r>
      <w:r>
        <w:rPr>
          <w:rFonts w:hint="eastAsia" w:ascii="仿宋" w:hAnsi="仿宋" w:eastAsia="仿宋" w:cs="仿宋"/>
          <w:sz w:val="28"/>
          <w:szCs w:val="28"/>
          <w:highlight w:val="none"/>
          <w:lang w:val="en-US"/>
        </w:rPr>
        <w:t>万元，对个人和家庭补助支出</w:t>
      </w:r>
      <w:r>
        <w:rPr>
          <w:rFonts w:hint="eastAsia" w:ascii="仿宋" w:hAnsi="仿宋" w:eastAsia="仿宋" w:cs="仿宋"/>
          <w:sz w:val="28"/>
          <w:szCs w:val="28"/>
          <w:highlight w:val="none"/>
          <w:lang w:val="en-US" w:eastAsia="zh-CN"/>
        </w:rPr>
        <w:t>6.11</w:t>
      </w:r>
      <w:r>
        <w:rPr>
          <w:rFonts w:hint="eastAsia" w:ascii="仿宋" w:hAnsi="仿宋" w:eastAsia="仿宋" w:cs="仿宋"/>
          <w:sz w:val="28"/>
          <w:szCs w:val="28"/>
          <w:highlight w:val="none"/>
          <w:lang w:val="en-US"/>
        </w:rPr>
        <w:t>万元）、项目支出</w:t>
      </w:r>
      <w:r>
        <w:rPr>
          <w:rFonts w:hint="eastAsia" w:ascii="仿宋" w:hAnsi="仿宋" w:eastAsia="仿宋" w:cs="仿宋"/>
          <w:sz w:val="28"/>
          <w:szCs w:val="28"/>
          <w:highlight w:val="none"/>
          <w:lang w:val="en-US" w:eastAsia="zh-CN"/>
        </w:rPr>
        <w:t>2383</w:t>
      </w:r>
      <w:r>
        <w:rPr>
          <w:rFonts w:hint="eastAsia" w:ascii="仿宋" w:hAnsi="仿宋" w:eastAsia="仿宋" w:cs="仿宋"/>
          <w:sz w:val="28"/>
          <w:szCs w:val="28"/>
          <w:highlight w:val="none"/>
          <w:lang w:val="en-US"/>
        </w:rPr>
        <w:t>万元。</w:t>
      </w:r>
      <w:r>
        <w:rPr>
          <w:rFonts w:hint="eastAsia" w:ascii="仿宋" w:hAnsi="仿宋" w:eastAsia="仿宋" w:cs="仿宋"/>
          <w:kern w:val="0"/>
          <w:sz w:val="28"/>
          <w:szCs w:val="28"/>
          <w:lang w:val="en-US" w:eastAsia="zh-CN"/>
        </w:rPr>
        <w:t xml:space="preserve"> </w:t>
      </w:r>
    </w:p>
    <w:p>
      <w:pPr>
        <w:pStyle w:val="3"/>
        <w:spacing w:line="620" w:lineRule="exact"/>
        <w:ind w:left="0" w:firstLine="560" w:firstLineChars="200"/>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收入决算数为8516.58万元。（其中：一般公共预算财政拨款为8087.38万元，其他收入429.19万元）， 决算数比年初预算数多4894.96万元，变化的主要原因一是人员异动经费追加，二是因为新增专项经费追加、非税返回，路灯电费追加、焚烧发电厂生活垃圾处理费追加等。</w:t>
      </w:r>
    </w:p>
    <w:p>
      <w:pPr>
        <w:pStyle w:val="3"/>
        <w:numPr>
          <w:ilvl w:val="0"/>
          <w:numId w:val="0"/>
        </w:numPr>
        <w:spacing w:line="620" w:lineRule="exact"/>
        <w:ind w:firstLine="562" w:firstLineChars="200"/>
        <w:jc w:val="both"/>
        <w:rPr>
          <w:rFonts w:hint="eastAsia" w:ascii="仿宋" w:hAnsi="仿宋" w:eastAsia="仿宋" w:cs="仿宋"/>
          <w:kern w:val="2"/>
          <w:sz w:val="28"/>
          <w:szCs w:val="28"/>
          <w:highlight w:val="none"/>
          <w:lang w:val="en-US" w:eastAsia="zh-CN" w:bidi="ar-SA"/>
        </w:rPr>
      </w:pPr>
      <w:r>
        <w:rPr>
          <w:rFonts w:hint="eastAsia" w:ascii="仿宋" w:hAnsi="仿宋" w:eastAsia="仿宋" w:cs="仿宋"/>
          <w:b/>
          <w:bCs/>
          <w:kern w:val="0"/>
          <w:sz w:val="28"/>
          <w:szCs w:val="28"/>
          <w:lang w:val="en-US" w:eastAsia="zh-CN"/>
        </w:rPr>
        <w:t>支出预、决算情况</w:t>
      </w:r>
      <w:r>
        <w:rPr>
          <w:rFonts w:hint="eastAsia" w:ascii="仿宋" w:hAnsi="仿宋" w:eastAsia="仿宋" w:cs="仿宋"/>
          <w:kern w:val="0"/>
          <w:sz w:val="28"/>
          <w:szCs w:val="28"/>
          <w:lang w:val="en-US" w:eastAsia="zh-CN"/>
        </w:rPr>
        <w:t>：2023年支出年初预算数为3621.62万元，</w:t>
      </w:r>
      <w:r>
        <w:rPr>
          <w:rFonts w:hint="eastAsia" w:ascii="仿宋" w:hAnsi="仿宋" w:eastAsia="仿宋" w:cs="仿宋"/>
          <w:sz w:val="28"/>
          <w:szCs w:val="28"/>
          <w:highlight w:val="none"/>
          <w:lang w:val="en-US"/>
        </w:rPr>
        <w:t>其中：基本支出</w:t>
      </w:r>
      <w:r>
        <w:rPr>
          <w:rFonts w:hint="eastAsia" w:ascii="仿宋" w:hAnsi="仿宋" w:eastAsia="仿宋" w:cs="仿宋"/>
          <w:sz w:val="28"/>
          <w:szCs w:val="28"/>
          <w:highlight w:val="none"/>
          <w:lang w:val="en-US" w:eastAsia="zh-CN"/>
        </w:rPr>
        <w:t>1238.62</w:t>
      </w:r>
      <w:r>
        <w:rPr>
          <w:rFonts w:hint="eastAsia" w:ascii="仿宋" w:hAnsi="仿宋" w:eastAsia="仿宋" w:cs="仿宋"/>
          <w:sz w:val="28"/>
          <w:szCs w:val="28"/>
          <w:highlight w:val="none"/>
          <w:lang w:val="en-US"/>
        </w:rPr>
        <w:t>万元、项目支出</w:t>
      </w:r>
      <w:r>
        <w:rPr>
          <w:rFonts w:hint="eastAsia" w:ascii="仿宋" w:hAnsi="仿宋" w:eastAsia="仿宋" w:cs="仿宋"/>
          <w:sz w:val="28"/>
          <w:szCs w:val="28"/>
          <w:highlight w:val="none"/>
          <w:lang w:val="en-US" w:eastAsia="zh-CN"/>
        </w:rPr>
        <w:t>2383</w:t>
      </w:r>
      <w:r>
        <w:rPr>
          <w:rFonts w:hint="eastAsia" w:ascii="仿宋" w:hAnsi="仿宋" w:eastAsia="仿宋" w:cs="仿宋"/>
          <w:sz w:val="28"/>
          <w:szCs w:val="28"/>
          <w:highlight w:val="none"/>
          <w:lang w:val="en-US"/>
        </w:rPr>
        <w:t>万元</w:t>
      </w:r>
      <w:r>
        <w:rPr>
          <w:rFonts w:hint="eastAsia" w:ascii="仿宋" w:hAnsi="仿宋" w:eastAsia="仿宋" w:cs="仿宋"/>
          <w:sz w:val="28"/>
          <w:szCs w:val="28"/>
          <w:highlight w:val="none"/>
          <w:lang w:val="en-US" w:eastAsia="zh-CN"/>
        </w:rPr>
        <w:t>。</w:t>
      </w:r>
      <w:r>
        <w:rPr>
          <w:rFonts w:hint="eastAsia" w:ascii="仿宋" w:hAnsi="仿宋" w:eastAsia="仿宋" w:cs="仿宋"/>
          <w:kern w:val="2"/>
          <w:sz w:val="28"/>
          <w:szCs w:val="28"/>
          <w:highlight w:val="none"/>
          <w:lang w:val="en-US" w:eastAsia="zh-CN" w:bidi="ar-SA"/>
        </w:rPr>
        <w:t>一般公共预算支出按支出经济分类为：工资福利支出1138.91万元，公用经费93.6万元，对个人和家庭补助支出6.11万元。</w:t>
      </w:r>
    </w:p>
    <w:p>
      <w:pPr>
        <w:pStyle w:val="3"/>
        <w:numPr>
          <w:ilvl w:val="0"/>
          <w:numId w:val="0"/>
        </w:numPr>
        <w:spacing w:line="620" w:lineRule="exact"/>
        <w:ind w:firstLine="560" w:firstLineChars="200"/>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支出决算数为8516.58万元，（一般公共预算财政拨款支出为8087.38万元，其他收入429.19万元）。其中：基本支出946.89万元、项目支出7569.68万元。决算数比年初预算数多4894.96万元，变化的主要原因一是本级财政临时追加的用于专项的支出过多；二是焚烧发电厂生活垃圾处理费较大；三是人员经费支出预算缺口较大；四是城乡环卫一体化PPP项目可行性缺口补助较多。</w:t>
      </w:r>
    </w:p>
    <w:p>
      <w:pPr>
        <w:numPr>
          <w:ilvl w:val="0"/>
          <w:numId w:val="0"/>
        </w:numPr>
        <w:spacing w:line="560"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一般公共预算支出按支出经济分类为：工资福利支出2303.12万元、对个人及家庭补助支出6.29万元、商品和服务支出6023.82万元、资本性支出183.34万元。</w:t>
      </w:r>
    </w:p>
    <w:p>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right="0" w:rightChars="0" w:firstLine="562" w:firstLineChars="200"/>
        <w:textAlignment w:val="auto"/>
        <w:outlineLvl w:val="9"/>
        <w:rPr>
          <w:rFonts w:hint="eastAsia" w:ascii="仿宋" w:hAnsi="仿宋" w:eastAsia="仿宋" w:cs="仿宋"/>
          <w:b/>
          <w:bCs/>
          <w:kern w:val="0"/>
          <w:sz w:val="28"/>
          <w:szCs w:val="28"/>
        </w:rPr>
      </w:pPr>
      <w:r>
        <w:rPr>
          <w:rFonts w:hint="eastAsia" w:ascii="仿宋" w:hAnsi="仿宋" w:eastAsia="仿宋" w:cs="仿宋"/>
          <w:b/>
          <w:bCs/>
          <w:kern w:val="0"/>
          <w:sz w:val="28"/>
          <w:szCs w:val="28"/>
          <w:lang w:val="en-US" w:eastAsia="zh-CN"/>
        </w:rPr>
        <w:t>2.</w:t>
      </w:r>
      <w:r>
        <w:rPr>
          <w:rFonts w:hint="eastAsia" w:ascii="仿宋" w:hAnsi="仿宋" w:eastAsia="仿宋" w:cs="仿宋"/>
          <w:b/>
          <w:bCs/>
          <w:kern w:val="0"/>
          <w:sz w:val="28"/>
          <w:szCs w:val="28"/>
        </w:rPr>
        <w:t>支出分类情况</w:t>
      </w:r>
    </w:p>
    <w:p>
      <w:pPr>
        <w:numPr>
          <w:ilvl w:val="0"/>
          <w:numId w:val="0"/>
        </w:numPr>
        <w:spacing w:line="560" w:lineRule="exact"/>
        <w:ind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2023年财政拨款支出8087.38万元，具体安排如下：</w:t>
      </w:r>
    </w:p>
    <w:p>
      <w:pPr>
        <w:numPr>
          <w:ilvl w:val="0"/>
          <w:numId w:val="0"/>
        </w:numPr>
        <w:spacing w:line="600" w:lineRule="exact"/>
        <w:ind w:left="0" w:leftChars="0" w:firstLine="560" w:firstLineChars="200"/>
        <w:rPr>
          <w:rFonts w:hint="eastAsia" w:ascii="仿宋" w:hAnsi="仿宋" w:eastAsia="仿宋" w:cs="仿宋"/>
          <w:b w:val="0"/>
          <w:bCs w:val="0"/>
          <w:i w:val="0"/>
          <w:iCs w:val="0"/>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b/>
          <w:bCs/>
          <w:color w:val="auto"/>
          <w:sz w:val="28"/>
          <w:szCs w:val="28"/>
          <w:lang w:eastAsia="zh-CN"/>
        </w:rPr>
        <w:t>一）</w:t>
      </w:r>
      <w:r>
        <w:rPr>
          <w:rFonts w:hint="eastAsia" w:ascii="仿宋" w:hAnsi="仿宋" w:eastAsia="仿宋" w:cs="仿宋"/>
          <w:b/>
          <w:bCs/>
          <w:i w:val="0"/>
          <w:iCs w:val="0"/>
          <w:color w:val="auto"/>
          <w:sz w:val="28"/>
          <w:szCs w:val="28"/>
          <w:lang w:val="en-US" w:eastAsia="zh-CN"/>
        </w:rPr>
        <w:t>基本支出</w:t>
      </w:r>
      <w:r>
        <w:rPr>
          <w:rFonts w:hint="eastAsia" w:ascii="仿宋" w:hAnsi="仿宋" w:eastAsia="仿宋" w:cs="仿宋"/>
          <w:b/>
          <w:bCs/>
          <w:kern w:val="0"/>
          <w:sz w:val="28"/>
          <w:szCs w:val="28"/>
          <w:lang w:val="en-US" w:eastAsia="zh-CN"/>
        </w:rPr>
        <w:t>946.89</w:t>
      </w:r>
      <w:r>
        <w:rPr>
          <w:rFonts w:hint="eastAsia" w:ascii="仿宋" w:hAnsi="仿宋" w:eastAsia="仿宋" w:cs="仿宋"/>
          <w:b/>
          <w:bCs/>
          <w:i w:val="0"/>
          <w:iCs w:val="0"/>
          <w:color w:val="auto"/>
          <w:sz w:val="28"/>
          <w:szCs w:val="28"/>
          <w:lang w:val="en-US" w:eastAsia="zh-CN"/>
        </w:rPr>
        <w:t>万元</w:t>
      </w:r>
      <w:r>
        <w:rPr>
          <w:rFonts w:hint="eastAsia" w:ascii="仿宋" w:hAnsi="仿宋" w:eastAsia="仿宋" w:cs="仿宋"/>
          <w:b w:val="0"/>
          <w:bCs w:val="0"/>
          <w:i w:val="0"/>
          <w:iCs w:val="0"/>
          <w:color w:val="auto"/>
          <w:sz w:val="28"/>
          <w:szCs w:val="28"/>
          <w:lang w:val="en-US" w:eastAsia="zh-CN"/>
        </w:rPr>
        <w:t>。基本支出保障我局正常运转，完成日常工作任务而发生的各项支出，包括用于在职和离退休人员的基本工资、津贴补贴等人员经费（含临聘人员工资）、办公费、扶贫、等日常公用经费。</w:t>
      </w:r>
      <w:r>
        <w:rPr>
          <w:rFonts w:hint="eastAsia" w:ascii="仿宋" w:hAnsi="仿宋" w:eastAsia="仿宋" w:cs="仿宋"/>
          <w:b w:val="0"/>
          <w:bCs w:val="0"/>
          <w:i w:val="0"/>
          <w:iCs w:val="0"/>
          <w:color w:val="auto"/>
          <w:sz w:val="28"/>
          <w:szCs w:val="28"/>
          <w:lang w:eastAsia="zh-CN"/>
        </w:rPr>
        <w:t>其中用于人员经费</w:t>
      </w:r>
      <w:r>
        <w:rPr>
          <w:rFonts w:hint="eastAsia" w:ascii="仿宋" w:hAnsi="仿宋" w:eastAsia="仿宋" w:cs="仿宋"/>
          <w:b w:val="0"/>
          <w:bCs w:val="0"/>
          <w:i w:val="0"/>
          <w:iCs w:val="0"/>
          <w:color w:val="auto"/>
          <w:sz w:val="28"/>
          <w:szCs w:val="28"/>
          <w:lang w:val="en-US" w:eastAsia="zh-CN"/>
        </w:rPr>
        <w:t>875.12</w:t>
      </w:r>
      <w:r>
        <w:rPr>
          <w:rFonts w:hint="eastAsia" w:ascii="仿宋" w:hAnsi="仿宋" w:eastAsia="仿宋" w:cs="仿宋"/>
          <w:b w:val="0"/>
          <w:bCs w:val="0"/>
          <w:i w:val="0"/>
          <w:iCs w:val="0"/>
          <w:color w:val="auto"/>
          <w:sz w:val="28"/>
          <w:szCs w:val="28"/>
        </w:rPr>
        <w:t>万元</w:t>
      </w:r>
      <w:r>
        <w:rPr>
          <w:rFonts w:hint="eastAsia" w:ascii="仿宋" w:hAnsi="仿宋" w:eastAsia="仿宋" w:cs="仿宋"/>
          <w:b w:val="0"/>
          <w:bCs w:val="0"/>
          <w:i w:val="0"/>
          <w:iCs w:val="0"/>
          <w:color w:val="auto"/>
          <w:sz w:val="28"/>
          <w:szCs w:val="28"/>
          <w:lang w:eastAsia="zh-CN"/>
        </w:rPr>
        <w:t>，占基本支出</w:t>
      </w:r>
      <w:r>
        <w:rPr>
          <w:rFonts w:hint="eastAsia" w:ascii="仿宋" w:hAnsi="仿宋" w:eastAsia="仿宋" w:cs="仿宋"/>
          <w:b w:val="0"/>
          <w:bCs w:val="0"/>
          <w:i w:val="0"/>
          <w:iCs w:val="0"/>
          <w:color w:val="auto"/>
          <w:sz w:val="28"/>
          <w:szCs w:val="28"/>
          <w:lang w:val="en-US" w:eastAsia="zh-CN"/>
        </w:rPr>
        <w:t>92%，用于日常公用经费71.77万元，</w:t>
      </w:r>
      <w:r>
        <w:rPr>
          <w:rFonts w:hint="eastAsia" w:ascii="仿宋" w:hAnsi="仿宋" w:eastAsia="仿宋" w:cs="仿宋"/>
          <w:b w:val="0"/>
          <w:bCs w:val="0"/>
          <w:i w:val="0"/>
          <w:iCs w:val="0"/>
          <w:color w:val="auto"/>
          <w:sz w:val="28"/>
          <w:szCs w:val="28"/>
          <w:lang w:eastAsia="zh-CN"/>
        </w:rPr>
        <w:t>占基本支出</w:t>
      </w:r>
      <w:r>
        <w:rPr>
          <w:rFonts w:hint="eastAsia" w:ascii="仿宋" w:hAnsi="仿宋" w:eastAsia="仿宋" w:cs="仿宋"/>
          <w:b w:val="0"/>
          <w:bCs w:val="0"/>
          <w:i w:val="0"/>
          <w:iCs w:val="0"/>
          <w:color w:val="auto"/>
          <w:sz w:val="28"/>
          <w:szCs w:val="28"/>
          <w:lang w:val="en-US" w:eastAsia="zh-CN"/>
        </w:rPr>
        <w:t>7.6%。</w:t>
      </w:r>
    </w:p>
    <w:p>
      <w:pPr>
        <w:numPr>
          <w:ilvl w:val="0"/>
          <w:numId w:val="0"/>
        </w:numPr>
        <w:spacing w:line="600" w:lineRule="exact"/>
        <w:ind w:left="0" w:leftChars="0" w:firstLine="562" w:firstLineChars="200"/>
        <w:rPr>
          <w:rFonts w:hint="eastAsia" w:ascii="仿宋" w:hAnsi="仿宋" w:eastAsia="仿宋" w:cs="仿宋"/>
          <w:color w:val="FF0000"/>
          <w:sz w:val="28"/>
          <w:szCs w:val="28"/>
          <w:lang w:val="en-US"/>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z w:val="28"/>
          <w:szCs w:val="28"/>
        </w:rPr>
        <w:t>项目支出</w:t>
      </w:r>
      <w:r>
        <w:rPr>
          <w:rFonts w:hint="eastAsia" w:ascii="仿宋" w:hAnsi="仿宋" w:eastAsia="仿宋" w:cs="仿宋"/>
          <w:b/>
          <w:bCs/>
          <w:color w:val="auto"/>
          <w:kern w:val="0"/>
          <w:sz w:val="28"/>
          <w:szCs w:val="28"/>
          <w:lang w:val="en-US" w:eastAsia="zh-CN"/>
        </w:rPr>
        <w:t>7140.49</w:t>
      </w:r>
      <w:r>
        <w:rPr>
          <w:rFonts w:hint="eastAsia" w:ascii="仿宋" w:hAnsi="仿宋" w:eastAsia="仿宋" w:cs="仿宋"/>
          <w:b/>
          <w:bCs/>
          <w:color w:val="auto"/>
          <w:sz w:val="28"/>
          <w:szCs w:val="28"/>
        </w:rPr>
        <w:t>万元</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主要用于</w:t>
      </w:r>
      <w:r>
        <w:rPr>
          <w:rFonts w:hint="eastAsia" w:ascii="仿宋" w:hAnsi="仿宋" w:eastAsia="仿宋" w:cs="仿宋"/>
          <w:color w:val="auto"/>
          <w:sz w:val="28"/>
          <w:szCs w:val="28"/>
          <w:lang w:val="en-US" w:eastAsia="zh-CN"/>
        </w:rPr>
        <w:t>环卫一体化PPP项目，绿化管理、固废中心运转、市政维修维护、焚烧发电生活垃圾（含渗滤液）处理、城市管理综合专项整治及执法、县城流动执法、路灯维修维护、排水管网防洪应急、市政道路维修、路灯电费、时令花卉采购，苗木补植种植、燃气宣传与执法、苗木白蚁防治、县城景观亮化设施维护、公厕建设维修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其中：</w:t>
      </w:r>
      <w:r>
        <w:rPr>
          <w:rFonts w:hint="eastAsia" w:ascii="仿宋" w:hAnsi="仿宋" w:eastAsia="仿宋" w:cs="仿宋"/>
          <w:b/>
          <w:bCs/>
          <w:color w:val="auto"/>
          <w:sz w:val="28"/>
          <w:szCs w:val="28"/>
          <w:lang w:val="en-US" w:eastAsia="zh-CN"/>
        </w:rPr>
        <w:t>环卫一体化PPP项目支出2706.42</w:t>
      </w:r>
      <w:r>
        <w:rPr>
          <w:rFonts w:hint="eastAsia" w:ascii="仿宋" w:hAnsi="仿宋" w:eastAsia="仿宋" w:cs="仿宋"/>
          <w:color w:val="auto"/>
          <w:sz w:val="28"/>
          <w:szCs w:val="28"/>
          <w:lang w:val="en-US" w:eastAsia="zh-CN"/>
        </w:rPr>
        <w:t>万元，</w:t>
      </w:r>
      <w:r>
        <w:rPr>
          <w:rFonts w:hint="eastAsia" w:ascii="仿宋" w:hAnsi="仿宋" w:eastAsia="仿宋" w:cs="仿宋"/>
          <w:sz w:val="28"/>
          <w:szCs w:val="28"/>
          <w:lang w:val="en-US" w:eastAsia="zh-CN"/>
        </w:rPr>
        <w:t>用于县城道路清扫保洁及各乡镇垃圾清运、转运、处理等。本年度</w:t>
      </w:r>
      <w:r>
        <w:rPr>
          <w:rFonts w:hint="eastAsia" w:ascii="仿宋" w:hAnsi="仿宋" w:eastAsia="仿宋" w:cs="仿宋"/>
          <w:sz w:val="28"/>
          <w:szCs w:val="28"/>
        </w:rPr>
        <w:t>清扫</w:t>
      </w:r>
      <w:r>
        <w:rPr>
          <w:rFonts w:hint="eastAsia" w:ascii="仿宋" w:hAnsi="仿宋" w:eastAsia="仿宋" w:cs="仿宋"/>
          <w:sz w:val="28"/>
          <w:szCs w:val="28"/>
          <w:lang w:val="en-US" w:eastAsia="zh-CN"/>
        </w:rPr>
        <w:t>县城</w:t>
      </w:r>
      <w:r>
        <w:rPr>
          <w:rFonts w:hint="eastAsia" w:ascii="仿宋" w:hAnsi="仿宋" w:eastAsia="仿宋" w:cs="仿宋"/>
          <w:sz w:val="28"/>
          <w:szCs w:val="28"/>
        </w:rPr>
        <w:t>道路面积</w:t>
      </w:r>
      <w:r>
        <w:rPr>
          <w:rFonts w:hint="eastAsia" w:ascii="仿宋" w:hAnsi="仿宋" w:eastAsia="仿宋" w:cs="仿宋"/>
          <w:sz w:val="28"/>
          <w:szCs w:val="28"/>
          <w:lang w:val="en-US" w:eastAsia="zh-CN"/>
        </w:rPr>
        <w:t>286.35</w:t>
      </w:r>
      <w:r>
        <w:rPr>
          <w:rFonts w:hint="eastAsia" w:ascii="仿宋" w:hAnsi="仿宋" w:eastAsia="仿宋" w:cs="仿宋"/>
          <w:sz w:val="28"/>
          <w:szCs w:val="28"/>
        </w:rPr>
        <w:t>万平方米</w:t>
      </w:r>
      <w:r>
        <w:rPr>
          <w:rFonts w:hint="eastAsia" w:ascii="仿宋" w:hAnsi="仿宋" w:eastAsia="仿宋" w:cs="仿宋"/>
          <w:sz w:val="28"/>
          <w:szCs w:val="28"/>
          <w:lang w:eastAsia="zh-CN"/>
        </w:rPr>
        <w:t>，</w:t>
      </w:r>
      <w:r>
        <w:rPr>
          <w:rFonts w:hint="eastAsia" w:ascii="仿宋" w:hAnsi="仿宋" w:eastAsia="仿宋" w:cs="仿宋"/>
          <w:sz w:val="28"/>
          <w:szCs w:val="28"/>
        </w:rPr>
        <w:t>实现</w:t>
      </w:r>
      <w:r>
        <w:rPr>
          <w:rFonts w:hint="eastAsia" w:ascii="仿宋" w:hAnsi="仿宋" w:eastAsia="仿宋" w:cs="仿宋"/>
          <w:sz w:val="28"/>
          <w:szCs w:val="28"/>
          <w:lang w:eastAsia="zh-CN"/>
        </w:rPr>
        <w:t>县城</w:t>
      </w:r>
      <w:r>
        <w:rPr>
          <w:rFonts w:hint="eastAsia" w:ascii="仿宋" w:hAnsi="仿宋" w:eastAsia="仿宋" w:cs="仿宋"/>
          <w:sz w:val="28"/>
          <w:szCs w:val="28"/>
        </w:rPr>
        <w:t>环卫作业全覆盖</w:t>
      </w:r>
      <w:r>
        <w:rPr>
          <w:rFonts w:hint="eastAsia" w:ascii="仿宋" w:hAnsi="仿宋" w:eastAsia="仿宋" w:cs="仿宋"/>
          <w:sz w:val="28"/>
          <w:szCs w:val="28"/>
          <w:lang w:eastAsia="zh-CN"/>
        </w:rPr>
        <w:t>，清扫道路合格率达到</w:t>
      </w:r>
      <w:r>
        <w:rPr>
          <w:rFonts w:hint="eastAsia" w:ascii="仿宋" w:hAnsi="仿宋" w:eastAsia="仿宋" w:cs="仿宋"/>
          <w:sz w:val="28"/>
          <w:szCs w:val="28"/>
          <w:lang w:val="en-US" w:eastAsia="zh-CN"/>
        </w:rPr>
        <w:t>99%，提升了城市品位，树立了衡南形象。</w:t>
      </w:r>
      <w:r>
        <w:rPr>
          <w:rFonts w:hint="eastAsia" w:ascii="仿宋" w:hAnsi="仿宋" w:eastAsia="仿宋" w:cs="仿宋"/>
          <w:b/>
          <w:bCs/>
          <w:color w:val="auto"/>
          <w:sz w:val="28"/>
          <w:szCs w:val="28"/>
          <w:lang w:val="en-US" w:eastAsia="zh-CN"/>
        </w:rPr>
        <w:t>路灯电费支出203.1万元</w:t>
      </w:r>
      <w:r>
        <w:rPr>
          <w:rFonts w:hint="eastAsia" w:ascii="仿宋" w:hAnsi="仿宋" w:eastAsia="仿宋" w:cs="仿宋"/>
          <w:color w:val="auto"/>
          <w:sz w:val="28"/>
          <w:szCs w:val="28"/>
          <w:lang w:val="en-US" w:eastAsia="zh-CN"/>
        </w:rPr>
        <w:t>，确保了县城路灯正常用电需求，</w:t>
      </w:r>
      <w:r>
        <w:rPr>
          <w:rFonts w:hint="eastAsia" w:ascii="仿宋" w:hAnsi="仿宋" w:eastAsia="仿宋" w:cs="仿宋"/>
          <w:sz w:val="28"/>
          <w:szCs w:val="28"/>
        </w:rPr>
        <w:t>日常亮灯率达98%以上</w:t>
      </w:r>
      <w:r>
        <w:rPr>
          <w:rFonts w:hint="eastAsia" w:ascii="仿宋" w:hAnsi="仿宋" w:eastAsia="仿宋" w:cs="仿宋"/>
          <w:sz w:val="28"/>
          <w:szCs w:val="28"/>
          <w:lang w:val="en-US" w:eastAsia="zh-CN"/>
        </w:rPr>
        <w:t>；</w:t>
      </w:r>
      <w:r>
        <w:rPr>
          <w:rFonts w:hint="eastAsia" w:ascii="仿宋" w:hAnsi="仿宋" w:eastAsia="仿宋" w:cs="仿宋"/>
          <w:b/>
          <w:bCs/>
          <w:color w:val="auto"/>
          <w:sz w:val="28"/>
          <w:szCs w:val="28"/>
          <w:lang w:val="en-US" w:eastAsia="zh-CN"/>
        </w:rPr>
        <w:t>县城流动执法支出22.95万元。</w:t>
      </w:r>
      <w:r>
        <w:rPr>
          <w:rFonts w:hint="eastAsia" w:ascii="仿宋" w:hAnsi="仿宋" w:eastAsia="仿宋" w:cs="仿宋"/>
          <w:b w:val="0"/>
          <w:bCs w:val="0"/>
          <w:color w:val="auto"/>
          <w:sz w:val="28"/>
          <w:szCs w:val="28"/>
          <w:lang w:val="en-US" w:eastAsia="zh-CN"/>
        </w:rPr>
        <w:t>本年度共</w:t>
      </w:r>
      <w:r>
        <w:rPr>
          <w:rFonts w:hint="eastAsia" w:ascii="仿宋" w:hAnsi="仿宋" w:eastAsia="仿宋" w:cs="仿宋"/>
          <w:sz w:val="28"/>
          <w:szCs w:val="28"/>
          <w:highlight w:val="none"/>
          <w:lang w:val="en-US" w:eastAsia="zh-CN"/>
        </w:rPr>
        <w:t>查处占道经营2800余处，</w:t>
      </w:r>
      <w:r>
        <w:rPr>
          <w:rFonts w:hint="eastAsia" w:ascii="仿宋" w:hAnsi="仿宋" w:eastAsia="仿宋" w:cs="仿宋"/>
          <w:b w:val="0"/>
          <w:bCs w:val="0"/>
          <w:sz w:val="28"/>
          <w:szCs w:val="28"/>
          <w:highlight w:val="none"/>
          <w:lang w:val="en-US" w:eastAsia="zh-CN"/>
        </w:rPr>
        <w:t>清理“僵尸车”109台、查处车辆违规停放行为300余起、</w:t>
      </w:r>
      <w:r>
        <w:rPr>
          <w:rFonts w:hint="eastAsia" w:ascii="仿宋" w:hAnsi="仿宋" w:eastAsia="仿宋" w:cs="仿宋"/>
          <w:sz w:val="28"/>
          <w:szCs w:val="28"/>
          <w:highlight w:val="none"/>
          <w:lang w:val="en-US" w:eastAsia="zh-CN"/>
        </w:rPr>
        <w:t>拆除违章建（构）筑物167余处11900平方米、违规广告牌12500平方米，清理菜地9000余平方米、建筑垃圾4000余方；</w:t>
      </w:r>
      <w:r>
        <w:rPr>
          <w:rFonts w:hint="eastAsia" w:ascii="仿宋" w:hAnsi="仿宋" w:eastAsia="仿宋" w:cs="仿宋"/>
          <w:b/>
          <w:bCs/>
          <w:color w:val="auto"/>
          <w:sz w:val="28"/>
          <w:szCs w:val="28"/>
          <w:lang w:val="en-US" w:eastAsia="zh-CN"/>
        </w:rPr>
        <w:t>渣土执法10.26万元</w:t>
      </w:r>
      <w:r>
        <w:rPr>
          <w:rFonts w:hint="eastAsia" w:ascii="仿宋" w:hAnsi="仿宋" w:eastAsia="仿宋" w:cs="仿宋"/>
          <w:color w:val="auto"/>
          <w:sz w:val="28"/>
          <w:szCs w:val="28"/>
          <w:lang w:val="en-US" w:eastAsia="zh-CN"/>
        </w:rPr>
        <w:t>，本年度共查处</w:t>
      </w:r>
      <w:r>
        <w:rPr>
          <w:rFonts w:hint="eastAsia" w:ascii="仿宋" w:hAnsi="仿宋" w:eastAsia="仿宋" w:cs="仿宋"/>
          <w:sz w:val="28"/>
          <w:szCs w:val="28"/>
          <w:highlight w:val="none"/>
          <w:lang w:val="en-US" w:eastAsia="zh-CN"/>
        </w:rPr>
        <w:t>渣土违规运输行为180余次；</w:t>
      </w:r>
      <w:r>
        <w:rPr>
          <w:rFonts w:hint="eastAsia" w:ascii="仿宋" w:hAnsi="仿宋" w:eastAsia="仿宋" w:cs="仿宋"/>
          <w:b/>
          <w:bCs/>
          <w:spacing w:val="17"/>
          <w:w w:val="101"/>
          <w:kern w:val="2"/>
          <w:sz w:val="28"/>
          <w:szCs w:val="28"/>
          <w:lang w:val="en-US" w:eastAsia="zh-CN" w:bidi="ar-SA"/>
        </w:rPr>
        <w:t>市政道路维修153万元</w:t>
      </w:r>
      <w:r>
        <w:rPr>
          <w:rFonts w:hint="eastAsia" w:ascii="仿宋" w:hAnsi="仿宋" w:eastAsia="仿宋" w:cs="仿宋"/>
          <w:spacing w:val="17"/>
          <w:w w:val="101"/>
          <w:kern w:val="2"/>
          <w:sz w:val="28"/>
          <w:szCs w:val="28"/>
          <w:lang w:val="en-US" w:eastAsia="zh-CN" w:bidi="ar-SA"/>
        </w:rPr>
        <w:t>，本年度共</w:t>
      </w:r>
      <w:r>
        <w:rPr>
          <w:rFonts w:hint="eastAsia" w:ascii="仿宋" w:hAnsi="仿宋" w:eastAsia="仿宋" w:cs="仿宋"/>
          <w:sz w:val="28"/>
          <w:szCs w:val="28"/>
          <w:highlight w:val="none"/>
          <w:lang w:val="en-US" w:eastAsia="zh-CN"/>
        </w:rPr>
        <w:t>维修破损人行道20000余平方米，清理下水道1500米、沉沙井781座，更换管网井盖700余块；</w:t>
      </w:r>
    </w:p>
    <w:p>
      <w:pPr>
        <w:spacing w:line="600" w:lineRule="exact"/>
        <w:rPr>
          <w:rFonts w:hint="eastAsia" w:ascii="仿宋" w:hAnsi="仿宋" w:eastAsia="仿宋" w:cs="仿宋"/>
          <w:b w:val="0"/>
          <w:bCs w:val="0"/>
          <w:i w:val="0"/>
          <w:iCs w:val="0"/>
          <w:color w:val="auto"/>
          <w:kern w:val="0"/>
          <w:sz w:val="28"/>
          <w:szCs w:val="28"/>
        </w:rPr>
      </w:pPr>
      <w:r>
        <w:rPr>
          <w:rFonts w:hint="eastAsia" w:ascii="仿宋" w:hAnsi="仿宋" w:eastAsia="仿宋" w:cs="仿宋"/>
          <w:color w:val="auto"/>
          <w:kern w:val="0"/>
          <w:sz w:val="28"/>
          <w:szCs w:val="28"/>
          <w:lang w:eastAsia="zh-CN"/>
        </w:rPr>
        <w:t>　</w:t>
      </w:r>
      <w:r>
        <w:rPr>
          <w:rFonts w:hint="eastAsia" w:ascii="仿宋" w:hAnsi="仿宋" w:eastAsia="仿宋" w:cs="仿宋"/>
          <w:color w:val="auto"/>
          <w:kern w:val="0"/>
          <w:sz w:val="28"/>
          <w:szCs w:val="28"/>
          <w:lang w:val="en-US" w:eastAsia="zh-CN"/>
        </w:rPr>
        <w:t xml:space="preserve"> 　</w:t>
      </w:r>
      <w:r>
        <w:rPr>
          <w:rFonts w:hint="eastAsia" w:ascii="仿宋" w:hAnsi="仿宋" w:eastAsia="仿宋" w:cs="仿宋"/>
          <w:b/>
          <w:bCs/>
          <w:kern w:val="0"/>
          <w:sz w:val="28"/>
          <w:szCs w:val="28"/>
          <w:lang w:eastAsia="zh-CN"/>
        </w:rPr>
        <w:t>（三）</w:t>
      </w:r>
      <w:r>
        <w:rPr>
          <w:rFonts w:hint="eastAsia" w:ascii="仿宋" w:hAnsi="仿宋" w:eastAsia="仿宋" w:cs="仿宋"/>
          <w:b/>
          <w:bCs/>
          <w:i w:val="0"/>
          <w:iCs w:val="0"/>
          <w:color w:val="auto"/>
          <w:sz w:val="28"/>
          <w:szCs w:val="28"/>
        </w:rPr>
        <w:t>“三公”经费情况</w:t>
      </w:r>
    </w:p>
    <w:p>
      <w:pPr>
        <w:spacing w:line="600" w:lineRule="exact"/>
        <w:ind w:firstLine="840" w:firstLineChars="300"/>
        <w:rPr>
          <w:rFonts w:hint="eastAsia" w:ascii="仿宋" w:hAnsi="仿宋" w:eastAsia="仿宋" w:cs="仿宋"/>
          <w:b w:val="0"/>
          <w:bCs w:val="0"/>
          <w:i w:val="0"/>
          <w:iCs w:val="0"/>
          <w:color w:val="auto"/>
          <w:kern w:val="0"/>
          <w:sz w:val="28"/>
          <w:szCs w:val="28"/>
          <w:lang w:val="en-US" w:eastAsia="zh-CN"/>
        </w:rPr>
      </w:pPr>
      <w:r>
        <w:rPr>
          <w:rFonts w:hint="eastAsia" w:ascii="仿宋" w:hAnsi="仿宋" w:eastAsia="仿宋" w:cs="仿宋"/>
          <w:b w:val="0"/>
          <w:bCs w:val="0"/>
          <w:i w:val="0"/>
          <w:iCs w:val="0"/>
          <w:color w:val="auto"/>
          <w:sz w:val="28"/>
          <w:szCs w:val="28"/>
          <w:lang w:val="en-US" w:eastAsia="zh-CN"/>
        </w:rPr>
        <w:t>2023</w:t>
      </w:r>
      <w:r>
        <w:rPr>
          <w:rFonts w:hint="eastAsia" w:ascii="仿宋" w:hAnsi="仿宋" w:eastAsia="仿宋" w:cs="仿宋"/>
          <w:b w:val="0"/>
          <w:bCs w:val="0"/>
          <w:i w:val="0"/>
          <w:iCs w:val="0"/>
          <w:color w:val="auto"/>
          <w:sz w:val="28"/>
          <w:szCs w:val="28"/>
        </w:rPr>
        <w:t>年“三公”经费实际支出</w:t>
      </w:r>
      <w:r>
        <w:rPr>
          <w:rFonts w:hint="eastAsia" w:ascii="仿宋" w:hAnsi="仿宋" w:eastAsia="仿宋" w:cs="仿宋"/>
          <w:b w:val="0"/>
          <w:bCs w:val="0"/>
          <w:i w:val="0"/>
          <w:iCs w:val="0"/>
          <w:color w:val="auto"/>
          <w:sz w:val="28"/>
          <w:szCs w:val="28"/>
          <w:lang w:val="en-US" w:eastAsia="zh-CN"/>
        </w:rPr>
        <w:t>15.48</w:t>
      </w:r>
      <w:r>
        <w:rPr>
          <w:rFonts w:hint="eastAsia" w:ascii="仿宋" w:hAnsi="仿宋" w:eastAsia="仿宋" w:cs="仿宋"/>
          <w:b w:val="0"/>
          <w:bCs w:val="0"/>
          <w:i w:val="0"/>
          <w:iCs w:val="0"/>
          <w:color w:val="auto"/>
          <w:sz w:val="28"/>
          <w:szCs w:val="28"/>
        </w:rPr>
        <w:t>万</w:t>
      </w:r>
      <w:r>
        <w:rPr>
          <w:rFonts w:hint="eastAsia" w:ascii="仿宋" w:hAnsi="仿宋" w:eastAsia="仿宋" w:cs="仿宋"/>
          <w:b w:val="0"/>
          <w:bCs w:val="0"/>
          <w:i w:val="0"/>
          <w:iCs w:val="0"/>
          <w:color w:val="auto"/>
          <w:sz w:val="28"/>
          <w:szCs w:val="28"/>
          <w:lang w:val="en-US" w:eastAsia="zh-CN"/>
        </w:rPr>
        <w:t>元</w:t>
      </w:r>
      <w:r>
        <w:rPr>
          <w:rFonts w:hint="eastAsia" w:ascii="仿宋" w:hAnsi="仿宋" w:eastAsia="仿宋" w:cs="仿宋"/>
          <w:b w:val="0"/>
          <w:bCs w:val="0"/>
          <w:i w:val="0"/>
          <w:iCs w:val="0"/>
          <w:color w:val="auto"/>
          <w:sz w:val="28"/>
          <w:szCs w:val="28"/>
          <w:lang w:eastAsia="zh-CN"/>
        </w:rPr>
        <w:t>。其中：公务接待费</w:t>
      </w:r>
      <w:r>
        <w:rPr>
          <w:rFonts w:hint="eastAsia" w:ascii="仿宋" w:hAnsi="仿宋" w:eastAsia="仿宋" w:cs="仿宋"/>
          <w:b w:val="0"/>
          <w:bCs w:val="0"/>
          <w:i w:val="0"/>
          <w:iCs w:val="0"/>
          <w:color w:val="auto"/>
          <w:sz w:val="28"/>
          <w:szCs w:val="28"/>
          <w:lang w:val="en-US" w:eastAsia="zh-CN"/>
        </w:rPr>
        <w:t>0.46万,主要用于省住建厅对生活垃圾填埋场建设和运营评价核查、垃圾分类考评等人员接待。公务用车运行维护费15.02万元，主要用于执法执勤车辆加油、日常维修维护等支出。</w:t>
      </w:r>
    </w:p>
    <w:p>
      <w:pPr>
        <w:spacing w:line="600" w:lineRule="exact"/>
        <w:rPr>
          <w:rFonts w:hint="eastAsia" w:ascii="仿宋" w:hAnsi="仿宋" w:eastAsia="仿宋" w:cs="仿宋"/>
          <w:b/>
          <w:bCs/>
          <w:kern w:val="0"/>
          <w:sz w:val="28"/>
          <w:szCs w:val="28"/>
          <w:lang w:val="en-US" w:eastAsia="zh-CN"/>
        </w:rPr>
      </w:pPr>
      <w:r>
        <w:rPr>
          <w:rFonts w:hint="eastAsia" w:ascii="仿宋" w:hAnsi="仿宋" w:eastAsia="仿宋" w:cs="仿宋"/>
          <w:b w:val="0"/>
          <w:bCs w:val="0"/>
          <w:i w:val="0"/>
          <w:iCs w:val="0"/>
          <w:color w:val="auto"/>
          <w:sz w:val="28"/>
          <w:szCs w:val="28"/>
          <w:lang w:val="en-US" w:eastAsia="zh-CN"/>
        </w:rPr>
        <w:t>　　</w:t>
      </w:r>
      <w:r>
        <w:rPr>
          <w:rFonts w:hint="eastAsia" w:ascii="仿宋" w:hAnsi="仿宋" w:eastAsia="仿宋" w:cs="仿宋"/>
          <w:b/>
          <w:bCs/>
          <w:kern w:val="0"/>
          <w:sz w:val="28"/>
          <w:szCs w:val="28"/>
          <w:lang w:val="en-US" w:eastAsia="zh-CN"/>
        </w:rPr>
        <w:t>（四）政府性基金预算财政拨款收支情况</w:t>
      </w:r>
    </w:p>
    <w:p>
      <w:pPr>
        <w:ind w:firstLine="560" w:firstLineChars="200"/>
        <w:rPr>
          <w:rFonts w:hint="eastAsia" w:ascii="仿宋" w:hAnsi="仿宋" w:eastAsia="仿宋" w:cs="仿宋"/>
          <w:b w:val="0"/>
          <w:bCs w:val="0"/>
          <w:i w:val="0"/>
          <w:iCs w:val="0"/>
          <w:color w:val="auto"/>
          <w:sz w:val="28"/>
          <w:szCs w:val="28"/>
          <w:lang w:val="en-US" w:eastAsia="zh-CN"/>
        </w:rPr>
      </w:pPr>
      <w:r>
        <w:rPr>
          <w:rFonts w:hint="eastAsia" w:ascii="仿宋" w:hAnsi="仿宋" w:eastAsia="仿宋" w:cs="仿宋"/>
          <w:b w:val="0"/>
          <w:bCs w:val="0"/>
          <w:i w:val="0"/>
          <w:iCs w:val="0"/>
          <w:color w:val="auto"/>
          <w:sz w:val="28"/>
          <w:szCs w:val="28"/>
          <w:lang w:val="en-US" w:eastAsia="zh-CN"/>
        </w:rPr>
        <w:t>　本年度单位无</w:t>
      </w:r>
      <w:r>
        <w:rPr>
          <w:rFonts w:hint="eastAsia" w:ascii="仿宋" w:hAnsi="仿宋" w:eastAsia="仿宋" w:cs="仿宋"/>
          <w:color w:val="auto"/>
          <w:sz w:val="28"/>
          <w:szCs w:val="28"/>
          <w:lang w:val="en-US" w:eastAsia="zh-CN"/>
        </w:rPr>
        <w:t>政府性基金预算财政拨款收支。</w:t>
      </w:r>
    </w:p>
    <w:p>
      <w:pPr>
        <w:numPr>
          <w:ilvl w:val="0"/>
          <w:numId w:val="1"/>
        </w:numPr>
        <w:spacing w:line="560" w:lineRule="exact"/>
        <w:ind w:left="-13" w:leftChars="0" w:firstLine="643" w:firstLineChars="0"/>
        <w:rPr>
          <w:rFonts w:hint="eastAsia" w:ascii="仿宋" w:hAnsi="仿宋" w:eastAsia="仿宋" w:cs="仿宋"/>
          <w:b/>
          <w:bCs/>
          <w:kern w:val="0"/>
          <w:sz w:val="28"/>
          <w:szCs w:val="28"/>
        </w:rPr>
      </w:pPr>
      <w:r>
        <w:rPr>
          <w:rFonts w:hint="eastAsia" w:ascii="仿宋" w:hAnsi="仿宋" w:eastAsia="仿宋" w:cs="仿宋"/>
          <w:b/>
          <w:bCs/>
          <w:kern w:val="0"/>
          <w:sz w:val="28"/>
          <w:szCs w:val="28"/>
        </w:rPr>
        <w:t>部门整体支出绩效评价情况</w:t>
      </w:r>
    </w:p>
    <w:p>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right="0" w:rightChars="0"/>
        <w:jc w:val="left"/>
        <w:textAlignment w:val="auto"/>
        <w:outlineLvl w:val="9"/>
        <w:rPr>
          <w:rFonts w:hint="eastAsia" w:ascii="仿宋" w:hAnsi="仿宋" w:eastAsia="仿宋" w:cs="仿宋"/>
          <w:b w:val="0"/>
          <w:bCs w:val="0"/>
          <w:i w:val="0"/>
          <w:iCs w:val="0"/>
          <w:color w:val="auto"/>
          <w:kern w:val="0"/>
          <w:sz w:val="28"/>
          <w:szCs w:val="28"/>
        </w:rPr>
      </w:pPr>
      <w:r>
        <w:rPr>
          <w:rFonts w:hint="eastAsia" w:ascii="仿宋" w:hAnsi="仿宋" w:eastAsia="仿宋" w:cs="仿宋"/>
          <w:b w:val="0"/>
          <w:bCs/>
          <w:color w:val="auto"/>
          <w:sz w:val="28"/>
          <w:szCs w:val="28"/>
          <w:lang w:val="en-US" w:eastAsia="zh-CN"/>
        </w:rPr>
        <w:t>　　</w:t>
      </w:r>
      <w:r>
        <w:rPr>
          <w:rFonts w:hint="eastAsia" w:ascii="仿宋" w:hAnsi="仿宋" w:eastAsia="仿宋" w:cs="仿宋"/>
          <w:kern w:val="2"/>
          <w:sz w:val="28"/>
          <w:szCs w:val="28"/>
          <w:highlight w:val="none"/>
          <w:lang w:val="en-US" w:eastAsia="zh-CN" w:bidi="ar-SA"/>
        </w:rPr>
        <w:t>2023年，根据年初工作规划和重点性工作,对照有关规定，从职责履行、预算配置、预算管理、固定资产管理及各项指标完成情况分析等方面对2023年部门整体支出绩效开展了评价，具体情况如下</w:t>
      </w:r>
      <w:r>
        <w:rPr>
          <w:rFonts w:hint="eastAsia" w:ascii="仿宋" w:hAnsi="仿宋" w:eastAsia="仿宋" w:cs="仿宋"/>
          <w:b w:val="0"/>
          <w:bCs w:val="0"/>
          <w:i w:val="0"/>
          <w:iCs w:val="0"/>
          <w:color w:val="auto"/>
          <w:kern w:val="0"/>
          <w:sz w:val="28"/>
          <w:szCs w:val="28"/>
        </w:rPr>
        <w:t>：</w:t>
      </w:r>
    </w:p>
    <w:p>
      <w:pPr>
        <w:spacing w:line="600" w:lineRule="exact"/>
        <w:ind w:firstLine="562" w:firstLineChars="200"/>
        <w:jc w:val="left"/>
        <w:rPr>
          <w:rFonts w:hint="eastAsia" w:ascii="仿宋" w:hAnsi="仿宋" w:eastAsia="仿宋" w:cs="仿宋"/>
          <w:b/>
          <w:bCs/>
          <w:i w:val="0"/>
          <w:iCs w:val="0"/>
          <w:color w:val="auto"/>
          <w:kern w:val="0"/>
          <w:sz w:val="28"/>
          <w:szCs w:val="28"/>
          <w:lang w:val="en-US" w:eastAsia="zh-CN"/>
        </w:rPr>
      </w:pPr>
      <w:r>
        <w:rPr>
          <w:rFonts w:hint="eastAsia" w:ascii="仿宋" w:hAnsi="仿宋" w:eastAsia="仿宋" w:cs="仿宋"/>
          <w:b/>
          <w:bCs/>
          <w:i w:val="0"/>
          <w:iCs w:val="0"/>
          <w:color w:val="auto"/>
          <w:kern w:val="0"/>
          <w:sz w:val="28"/>
          <w:szCs w:val="28"/>
          <w:lang w:eastAsia="zh-CN"/>
        </w:rPr>
        <w:t>（</w:t>
      </w:r>
      <w:r>
        <w:rPr>
          <w:rFonts w:hint="eastAsia" w:ascii="仿宋" w:hAnsi="仿宋" w:eastAsia="仿宋" w:cs="仿宋"/>
          <w:b/>
          <w:bCs/>
          <w:i w:val="0"/>
          <w:iCs w:val="0"/>
          <w:color w:val="auto"/>
          <w:kern w:val="0"/>
          <w:sz w:val="28"/>
          <w:szCs w:val="28"/>
          <w:lang w:val="en-US" w:eastAsia="zh-CN"/>
        </w:rPr>
        <w:t>一</w:t>
      </w:r>
      <w:r>
        <w:rPr>
          <w:rFonts w:hint="eastAsia" w:ascii="仿宋" w:hAnsi="仿宋" w:eastAsia="仿宋" w:cs="仿宋"/>
          <w:b/>
          <w:bCs/>
          <w:i w:val="0"/>
          <w:iCs w:val="0"/>
          <w:color w:val="auto"/>
          <w:kern w:val="0"/>
          <w:sz w:val="28"/>
          <w:szCs w:val="28"/>
          <w:lang w:eastAsia="zh-CN"/>
        </w:rPr>
        <w:t>）</w:t>
      </w:r>
      <w:r>
        <w:rPr>
          <w:rFonts w:hint="eastAsia" w:ascii="仿宋" w:hAnsi="仿宋" w:eastAsia="仿宋" w:cs="仿宋"/>
          <w:b/>
          <w:bCs/>
          <w:i w:val="0"/>
          <w:iCs w:val="0"/>
          <w:color w:val="auto"/>
          <w:kern w:val="0"/>
          <w:sz w:val="28"/>
          <w:szCs w:val="28"/>
          <w:lang w:val="en-US" w:eastAsia="zh-CN"/>
        </w:rPr>
        <w:t>职责履行情况</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2" w:firstLineChars="200"/>
        <w:jc w:val="both"/>
        <w:textAlignment w:val="auto"/>
        <w:outlineLvl w:val="1"/>
        <w:rPr>
          <w:rFonts w:hint="eastAsia" w:ascii="仿宋" w:hAnsi="仿宋" w:eastAsia="仿宋" w:cs="仿宋"/>
          <w:b/>
          <w:bCs/>
          <w:sz w:val="28"/>
          <w:szCs w:val="28"/>
          <w:highlight w:val="none"/>
          <w:lang w:val="en-US" w:eastAsia="zh-CN"/>
        </w:rPr>
      </w:pPr>
      <w:bookmarkStart w:id="7" w:name="_Toc22911"/>
      <w:r>
        <w:rPr>
          <w:rFonts w:hint="eastAsia" w:ascii="仿宋" w:hAnsi="仿宋" w:eastAsia="仿宋" w:cs="仿宋"/>
          <w:b/>
          <w:bCs/>
          <w:i w:val="0"/>
          <w:iCs w:val="0"/>
          <w:caps w:val="0"/>
          <w:color w:val="auto"/>
          <w:spacing w:val="0"/>
          <w:sz w:val="28"/>
          <w:szCs w:val="28"/>
          <w:highlight w:val="none"/>
          <w:shd w:val="clear" w:color="auto" w:fill="FFFFFF"/>
          <w:lang w:val="en-US" w:eastAsia="zh-CN"/>
        </w:rPr>
        <w:t>1、</w:t>
      </w:r>
      <w:r>
        <w:rPr>
          <w:rFonts w:hint="eastAsia" w:ascii="仿宋" w:hAnsi="仿宋" w:eastAsia="仿宋" w:cs="仿宋"/>
          <w:b/>
          <w:bCs/>
          <w:sz w:val="28"/>
          <w:szCs w:val="28"/>
          <w:highlight w:val="none"/>
          <w:lang w:val="en-US" w:eastAsia="zh-CN"/>
        </w:rPr>
        <w:t>城市市容市貌治理</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严格按照城市精细化管理要求，发挥城市管理网格化效能，持续开展城区乱搭乱建、乱堆乱种、乱拉乱挂、乱停乱放等方面市容市貌集中整治，查处占道经营2800余处，</w:t>
      </w:r>
      <w:r>
        <w:rPr>
          <w:rFonts w:hint="eastAsia" w:ascii="仿宋" w:hAnsi="仿宋" w:eastAsia="仿宋" w:cs="仿宋"/>
          <w:b w:val="0"/>
          <w:bCs w:val="0"/>
          <w:sz w:val="28"/>
          <w:szCs w:val="28"/>
          <w:highlight w:val="none"/>
          <w:lang w:val="en-US" w:eastAsia="zh-CN"/>
        </w:rPr>
        <w:t>清理“僵尸车”109台、查处车辆违规停放行为300余起</w:t>
      </w:r>
      <w:r>
        <w:rPr>
          <w:rFonts w:hint="eastAsia" w:ascii="仿宋" w:hAnsi="仿宋" w:eastAsia="仿宋" w:cs="仿宋"/>
          <w:sz w:val="28"/>
          <w:szCs w:val="28"/>
          <w:highlight w:val="none"/>
          <w:lang w:val="en-US" w:eastAsia="zh-CN"/>
        </w:rPr>
        <w:t>渣土违规运输行为180余次，拆除违章建（构）筑物167余处11900平方米、违规广告牌12500平方米，清理菜地9000余平方米、建筑垃圾4000余方，城市顽疾逐步消除，治理成效日益凸显。</w:t>
      </w:r>
    </w:p>
    <w:bookmarkEnd w:id="7"/>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620" w:lineRule="exact"/>
        <w:ind w:left="800" w:leftChars="0" w:firstLine="0" w:firstLineChars="0"/>
        <w:jc w:val="both"/>
        <w:textAlignment w:val="auto"/>
        <w:outlineLvl w:val="1"/>
        <w:rPr>
          <w:rFonts w:hint="eastAsia" w:ascii="仿宋" w:hAnsi="仿宋" w:eastAsia="仿宋" w:cs="仿宋"/>
          <w:b/>
          <w:bCs/>
          <w:i w:val="0"/>
          <w:caps w:val="0"/>
          <w:color w:val="333333"/>
          <w:spacing w:val="0"/>
          <w:sz w:val="28"/>
          <w:szCs w:val="28"/>
          <w:highlight w:val="none"/>
          <w:shd w:val="clear" w:fill="FFFFFF"/>
          <w:lang w:val="en-US" w:eastAsia="zh-CN"/>
        </w:rPr>
      </w:pPr>
      <w:bookmarkStart w:id="8" w:name="_Toc9406"/>
      <w:r>
        <w:rPr>
          <w:rFonts w:hint="eastAsia" w:ascii="仿宋" w:hAnsi="仿宋" w:eastAsia="仿宋" w:cs="仿宋"/>
          <w:b/>
          <w:bCs/>
          <w:i w:val="0"/>
          <w:caps w:val="0"/>
          <w:color w:val="333333"/>
          <w:spacing w:val="0"/>
          <w:sz w:val="28"/>
          <w:szCs w:val="28"/>
          <w:highlight w:val="none"/>
          <w:shd w:val="clear" w:fill="FFFFFF"/>
          <w:lang w:val="en-US" w:eastAsia="zh-CN"/>
        </w:rPr>
        <w:t>城市管护提标提质</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高质高效完成园林绿化、景观亮化、城市道路等城市公共设施维护工作，环卫机械化作业率达85%，日常亮灯率99%以上，园林绿化修枝4800余株，新植补植行道树200余株，维修破损人行道20000余平方米，清理下水道1500米、沉沙井781座，更换管网井盖700余块，改造公厕5座，维修更换公园广场公用设施17处，城区面貌焕然一新。</w:t>
      </w:r>
    </w:p>
    <w:bookmarkEnd w:id="8"/>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2" w:firstLineChars="200"/>
        <w:jc w:val="both"/>
        <w:textAlignment w:val="auto"/>
        <w:outlineLvl w:val="1"/>
        <w:rPr>
          <w:rFonts w:hint="eastAsia" w:ascii="仿宋" w:hAnsi="仿宋" w:eastAsia="仿宋" w:cs="仿宋"/>
          <w:b/>
          <w:bCs/>
          <w:sz w:val="28"/>
          <w:szCs w:val="28"/>
          <w:highlight w:val="none"/>
          <w:lang w:val="en-US" w:eastAsia="zh-CN"/>
        </w:rPr>
      </w:pPr>
      <w:r>
        <w:rPr>
          <w:rFonts w:hint="eastAsia" w:ascii="仿宋" w:hAnsi="仿宋" w:eastAsia="仿宋" w:cs="仿宋"/>
          <w:b/>
          <w:bCs/>
          <w:kern w:val="2"/>
          <w:sz w:val="28"/>
          <w:szCs w:val="28"/>
          <w:lang w:val="en-US" w:eastAsia="zh-CN" w:bidi="ar-SA"/>
        </w:rPr>
        <w:t>3</w:t>
      </w:r>
      <w:r>
        <w:rPr>
          <w:rFonts w:hint="eastAsia" w:ascii="仿宋" w:hAnsi="仿宋" w:eastAsia="仿宋" w:cs="仿宋"/>
          <w:b w:val="0"/>
          <w:bCs w:val="0"/>
          <w:sz w:val="28"/>
          <w:szCs w:val="28"/>
          <w:highlight w:val="none"/>
          <w:lang w:val="en-US" w:eastAsia="zh-CN"/>
        </w:rPr>
        <w:t>、</w:t>
      </w:r>
      <w:r>
        <w:rPr>
          <w:rFonts w:hint="eastAsia" w:ascii="仿宋" w:hAnsi="仿宋" w:eastAsia="仿宋" w:cs="仿宋"/>
          <w:b/>
          <w:bCs/>
          <w:sz w:val="28"/>
          <w:szCs w:val="28"/>
          <w:highlight w:val="none"/>
          <w:lang w:val="en-US" w:eastAsia="zh-CN"/>
        </w:rPr>
        <w:t>城市作业安全</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kern w:val="2"/>
          <w:sz w:val="28"/>
          <w:szCs w:val="28"/>
          <w:lang w:val="en-US" w:eastAsia="zh-CN" w:bidi="ar-SA"/>
        </w:rPr>
      </w:pPr>
      <w:bookmarkStart w:id="9" w:name="_Toc3927"/>
      <w:r>
        <w:rPr>
          <w:rFonts w:hint="eastAsia" w:ascii="仿宋" w:hAnsi="仿宋" w:eastAsia="仿宋" w:cs="仿宋"/>
          <w:kern w:val="2"/>
          <w:sz w:val="28"/>
          <w:szCs w:val="28"/>
          <w:lang w:val="en-US" w:eastAsia="zh-CN" w:bidi="ar-SA"/>
        </w:rPr>
        <w:t>严格按照作业要求和程序开展环卫及园林作业、市政道路及景观亮化维修，全年没有发生一起安全事故。</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38" w:firstLineChars="200"/>
        <w:jc w:val="both"/>
        <w:textAlignment w:val="auto"/>
        <w:outlineLvl w:val="1"/>
        <w:rPr>
          <w:rFonts w:hint="eastAsia" w:ascii="仿宋" w:hAnsi="仿宋" w:eastAsia="仿宋" w:cs="仿宋"/>
          <w:b/>
          <w:bCs/>
          <w:spacing w:val="-6"/>
          <w:kern w:val="2"/>
          <w:sz w:val="28"/>
          <w:szCs w:val="28"/>
          <w:highlight w:val="none"/>
          <w:lang w:val="en-US" w:eastAsia="zh-CN" w:bidi="ar-SA"/>
        </w:rPr>
      </w:pPr>
      <w:r>
        <w:rPr>
          <w:rFonts w:hint="eastAsia" w:ascii="仿宋" w:hAnsi="仿宋" w:eastAsia="仿宋" w:cs="仿宋"/>
          <w:b/>
          <w:bCs/>
          <w:spacing w:val="-6"/>
          <w:kern w:val="2"/>
          <w:sz w:val="28"/>
          <w:szCs w:val="28"/>
          <w:highlight w:val="none"/>
          <w:lang w:val="en-US" w:eastAsia="zh-CN" w:bidi="ar-SA"/>
        </w:rPr>
        <w:t>4、</w:t>
      </w:r>
      <w:bookmarkEnd w:id="9"/>
      <w:r>
        <w:rPr>
          <w:rFonts w:hint="eastAsia" w:ascii="仿宋" w:hAnsi="仿宋" w:eastAsia="仿宋" w:cs="仿宋"/>
          <w:b/>
          <w:bCs/>
          <w:spacing w:val="-6"/>
          <w:kern w:val="2"/>
          <w:sz w:val="28"/>
          <w:szCs w:val="28"/>
          <w:highlight w:val="none"/>
          <w:lang w:val="en-US" w:eastAsia="zh-CN" w:bidi="ar-SA"/>
        </w:rPr>
        <w:t>燃气安全方面</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kern w:val="2"/>
          <w:sz w:val="28"/>
          <w:szCs w:val="28"/>
          <w:lang w:val="en-US" w:eastAsia="zh-CN" w:bidi="ar-SA"/>
        </w:rPr>
      </w:pPr>
      <w:bookmarkStart w:id="10" w:name="_Toc3001"/>
      <w:r>
        <w:rPr>
          <w:rFonts w:hint="eastAsia" w:ascii="仿宋" w:hAnsi="仿宋" w:eastAsia="仿宋" w:cs="仿宋"/>
          <w:kern w:val="2"/>
          <w:sz w:val="28"/>
          <w:szCs w:val="28"/>
          <w:lang w:val="en-US" w:eastAsia="zh-CN" w:bidi="ar-SA"/>
        </w:rPr>
        <w:t>召开全县燃气安全生产部署调度会8次，开展燃气协管员及送气工燃气安全常识培训2次，深入企业、学校、社区等用气场所开展燃气安全宣传，发放各类宣传资料5万余份。聘请请三方专业机构对全县燃气设施、管网及餐饮等用气场所开展“导入式”专业技术性排查，发现问题隐患724余处，整改率为100%。开展城镇燃气安全专项整治活动，</w:t>
      </w:r>
      <w:r>
        <w:rPr>
          <w:rFonts w:hint="eastAsia" w:ascii="仿宋" w:hAnsi="仿宋" w:eastAsia="仿宋" w:cs="仿宋"/>
          <w:sz w:val="28"/>
          <w:szCs w:val="28"/>
          <w:lang w:val="en-US" w:eastAsia="zh-CN"/>
        </w:rPr>
        <w:t>排查企业1061个、隐患255个，排查进度和整改率均为100%。</w:t>
      </w:r>
      <w:r>
        <w:rPr>
          <w:rFonts w:hint="eastAsia" w:ascii="仿宋" w:hAnsi="仿宋" w:eastAsia="仿宋" w:cs="仿宋"/>
          <w:kern w:val="2"/>
          <w:sz w:val="28"/>
          <w:szCs w:val="28"/>
          <w:lang w:val="en-US" w:eastAsia="zh-CN" w:bidi="ar-SA"/>
        </w:rPr>
        <w:t>查处涉嫌违反燃气安全生产案件及非法储存燃气行为5起、</w:t>
      </w:r>
      <w:r>
        <w:rPr>
          <w:rFonts w:hint="eastAsia" w:ascii="仿宋" w:hAnsi="仿宋" w:eastAsia="仿宋" w:cs="仿宋"/>
          <w:b w:val="0"/>
          <w:bCs w:val="0"/>
          <w:sz w:val="28"/>
          <w:szCs w:val="28"/>
          <w:lang w:val="en-US" w:eastAsia="zh-CN"/>
        </w:rPr>
        <w:t>“黑窝点”1起、</w:t>
      </w:r>
      <w:r>
        <w:rPr>
          <w:rFonts w:hint="eastAsia" w:ascii="仿宋" w:hAnsi="仿宋" w:eastAsia="仿宋" w:cs="仿宋"/>
          <w:kern w:val="2"/>
          <w:sz w:val="28"/>
          <w:szCs w:val="28"/>
          <w:lang w:val="en-US" w:eastAsia="zh-CN" w:bidi="ar-SA"/>
        </w:rPr>
        <w:t>收缴钢瓶148个。</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2" w:firstLineChars="200"/>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bookmarkEnd w:id="10"/>
      <w:r>
        <w:rPr>
          <w:rFonts w:hint="eastAsia" w:ascii="仿宋" w:hAnsi="仿宋" w:eastAsia="仿宋" w:cs="仿宋"/>
          <w:b/>
          <w:bCs/>
          <w:color w:val="auto"/>
          <w:sz w:val="28"/>
          <w:szCs w:val="28"/>
          <w:highlight w:val="none"/>
          <w:lang w:val="en-US" w:eastAsia="zh-CN"/>
        </w:rPr>
        <w:t>环保整治</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完成省住建厅、省环保厅交办的县生活垃圾填埋场13个环境问题及</w:t>
      </w:r>
      <w:r>
        <w:rPr>
          <w:rFonts w:hint="eastAsia" w:ascii="仿宋" w:hAnsi="仿宋" w:eastAsia="仿宋" w:cs="仿宋"/>
          <w:spacing w:val="0"/>
          <w:sz w:val="28"/>
          <w:szCs w:val="28"/>
          <w:highlight w:val="none"/>
          <w:lang w:val="en-US" w:eastAsia="zh-CN"/>
        </w:rPr>
        <w:t>2021年中央第二轮生态环境环保督察交办的第18批信X2HN202104230087号信访件整改销号工作；督促指导三塘镇、茅市镇完成2022年纳入市生态环境警示片及县“洞庭清波”专项监督挂牌督办的填埋场环境问题整改销号工作；高效完成省生态环保督察组交办的关于生活垃圾及渗滤液污染、噪声污染方面共3件信访件整改工作，完成</w:t>
      </w:r>
      <w:r>
        <w:rPr>
          <w:rFonts w:hint="eastAsia" w:ascii="仿宋" w:hAnsi="仿宋" w:eastAsia="仿宋" w:cs="仿宋"/>
          <w:sz w:val="28"/>
          <w:szCs w:val="28"/>
          <w:highlight w:val="none"/>
          <w:lang w:val="en-US" w:eastAsia="zh-CN"/>
        </w:rPr>
        <w:t>县毛塘生活垃圾填埋场生态修复工程</w:t>
      </w:r>
      <w:r>
        <w:rPr>
          <w:rFonts w:hint="eastAsia" w:ascii="仿宋" w:hAnsi="仿宋" w:eastAsia="仿宋" w:cs="仿宋"/>
          <w:spacing w:val="0"/>
          <w:sz w:val="28"/>
          <w:szCs w:val="28"/>
          <w:highlight w:val="none"/>
          <w:lang w:val="en-US" w:eastAsia="zh-CN"/>
        </w:rPr>
        <w:t>。</w:t>
      </w:r>
      <w:r>
        <w:rPr>
          <w:rFonts w:hint="eastAsia" w:ascii="仿宋" w:hAnsi="仿宋" w:eastAsia="仿宋" w:cs="仿宋"/>
          <w:sz w:val="28"/>
          <w:szCs w:val="28"/>
          <w:highlight w:val="none"/>
          <w:lang w:val="en-US" w:eastAsia="zh-CN"/>
        </w:rPr>
        <w:t>重新修订县城禁燃禁放通告，开展禁燃禁放宣传进社区、进学校、进单位活动，联合公安、云集街道组建工作专班，实行24小时巡查值班，全年查处违规燃放行为230余起，开启县城全区域全时段静音模式。增投2台雾炮车，增加道路及绿化冲洗降尘频次，加大县城餐饮油烟、垃圾焚烧、黄土裸露整治，县城空气质量大为改观。</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2" w:firstLineChars="200"/>
        <w:jc w:val="both"/>
        <w:textAlignment w:val="auto"/>
        <w:outlineLvl w:val="1"/>
        <w:rPr>
          <w:rFonts w:hint="eastAsia" w:ascii="仿宋" w:hAnsi="仿宋" w:eastAsia="仿宋" w:cs="仿宋"/>
          <w:b/>
          <w:bCs/>
          <w:sz w:val="28"/>
          <w:szCs w:val="28"/>
          <w:lang w:val="en-US" w:eastAsia="zh-CN"/>
        </w:rPr>
      </w:pPr>
      <w:bookmarkStart w:id="11" w:name="_Toc16000"/>
      <w:r>
        <w:rPr>
          <w:rFonts w:hint="eastAsia" w:ascii="仿宋" w:hAnsi="仿宋" w:eastAsia="仿宋" w:cs="仿宋"/>
          <w:b/>
          <w:bCs/>
          <w:sz w:val="28"/>
          <w:szCs w:val="28"/>
          <w:lang w:val="en-US" w:eastAsia="zh-CN"/>
        </w:rPr>
        <w:t>5、</w:t>
      </w:r>
      <w:bookmarkEnd w:id="11"/>
      <w:r>
        <w:rPr>
          <w:rFonts w:hint="eastAsia" w:ascii="仿宋" w:hAnsi="仿宋" w:eastAsia="仿宋" w:cs="仿宋"/>
          <w:b/>
          <w:bCs/>
          <w:sz w:val="28"/>
          <w:szCs w:val="28"/>
          <w:lang w:val="en-US" w:eastAsia="zh-CN"/>
        </w:rPr>
        <w:t>垃圾分类</w:t>
      </w:r>
    </w:p>
    <w:p>
      <w:pPr>
        <w:pStyle w:val="3"/>
        <w:spacing w:line="620" w:lineRule="exact"/>
        <w:ind w:left="0" w:firstLine="560" w:firstLineChars="200"/>
        <w:jc w:val="both"/>
        <w:rPr>
          <w:rFonts w:hint="eastAsia" w:ascii="仿宋" w:hAnsi="仿宋" w:eastAsia="仿宋" w:cs="仿宋"/>
          <w:color w:val="000000"/>
          <w:sz w:val="28"/>
          <w:szCs w:val="28"/>
          <w:highlight w:val="none"/>
          <w:lang w:eastAsia="zh-CN"/>
        </w:rPr>
      </w:pPr>
      <w:r>
        <w:rPr>
          <w:rFonts w:hint="eastAsia" w:ascii="仿宋" w:hAnsi="仿宋" w:eastAsia="仿宋" w:cs="仿宋"/>
          <w:spacing w:val="0"/>
          <w:sz w:val="28"/>
          <w:szCs w:val="28"/>
          <w:highlight w:val="none"/>
          <w:lang w:val="en-US" w:eastAsia="zh-CN"/>
        </w:rPr>
        <w:t>成立了县生活垃圾分类小组，印发</w:t>
      </w:r>
      <w:r>
        <w:rPr>
          <w:rFonts w:hint="eastAsia" w:ascii="仿宋" w:hAnsi="仿宋" w:eastAsia="仿宋" w:cs="仿宋"/>
          <w:sz w:val="28"/>
          <w:szCs w:val="28"/>
        </w:rPr>
        <w:t>垃圾分类实施</w:t>
      </w:r>
      <w:r>
        <w:rPr>
          <w:rFonts w:hint="eastAsia" w:ascii="仿宋" w:hAnsi="仿宋" w:eastAsia="仿宋" w:cs="仿宋"/>
          <w:sz w:val="28"/>
          <w:szCs w:val="28"/>
          <w:lang w:val="en-US" w:eastAsia="zh-CN"/>
        </w:rPr>
        <w:t>方案，定期开展垃圾分类宣传活动，</w:t>
      </w:r>
      <w:r>
        <w:rPr>
          <w:rFonts w:hint="eastAsia" w:ascii="仿宋" w:hAnsi="仿宋" w:eastAsia="仿宋" w:cs="仿宋"/>
          <w:color w:val="000000"/>
          <w:sz w:val="28"/>
          <w:szCs w:val="28"/>
          <w:highlight w:val="none"/>
          <w:lang w:val="en-US" w:eastAsia="zh-CN"/>
        </w:rPr>
        <w:t>完善垃圾</w:t>
      </w:r>
      <w:r>
        <w:rPr>
          <w:rFonts w:hint="eastAsia" w:ascii="仿宋" w:hAnsi="仿宋" w:eastAsia="仿宋" w:cs="仿宋"/>
          <w:color w:val="000000"/>
          <w:sz w:val="28"/>
          <w:szCs w:val="28"/>
          <w:highlight w:val="none"/>
          <w:lang w:eastAsia="zh-CN"/>
        </w:rPr>
        <w:t>分类设施，</w:t>
      </w:r>
      <w:r>
        <w:rPr>
          <w:rFonts w:hint="eastAsia" w:ascii="仿宋" w:hAnsi="仿宋" w:eastAsia="仿宋" w:cs="仿宋"/>
          <w:sz w:val="28"/>
          <w:szCs w:val="28"/>
          <w:highlight w:val="none"/>
          <w:lang w:val="en-US" w:eastAsia="zh-CN"/>
        </w:rPr>
        <w:t>建设城区生活垃圾分类亭17座，增设分类垃圾桶460个。</w:t>
      </w:r>
      <w:r>
        <w:rPr>
          <w:rFonts w:hint="eastAsia" w:ascii="仿宋" w:hAnsi="仿宋" w:eastAsia="仿宋" w:cs="仿宋"/>
          <w:sz w:val="28"/>
          <w:szCs w:val="28"/>
          <w:highlight w:val="none"/>
        </w:rPr>
        <w:t>推行公共机构生活垃圾强制分类,</w:t>
      </w:r>
      <w:r>
        <w:rPr>
          <w:rFonts w:hint="eastAsia" w:ascii="仿宋" w:hAnsi="仿宋" w:eastAsia="仿宋" w:cs="仿宋"/>
          <w:sz w:val="28"/>
          <w:szCs w:val="28"/>
          <w:highlight w:val="none"/>
          <w:lang w:val="en-US" w:eastAsia="zh-CN"/>
        </w:rPr>
        <w:t>逐步</w:t>
      </w:r>
      <w:r>
        <w:rPr>
          <w:rFonts w:hint="eastAsia" w:ascii="仿宋" w:hAnsi="仿宋" w:eastAsia="仿宋" w:cs="仿宋"/>
          <w:color w:val="000000"/>
          <w:sz w:val="28"/>
          <w:szCs w:val="28"/>
          <w:highlight w:val="none"/>
          <w:lang w:eastAsia="zh-CN"/>
        </w:rPr>
        <w:t>实现县城垃圾分类全覆盖。</w:t>
      </w:r>
    </w:p>
    <w:p>
      <w:pPr>
        <w:pStyle w:val="3"/>
        <w:numPr>
          <w:ilvl w:val="0"/>
          <w:numId w:val="3"/>
        </w:numPr>
        <w:spacing w:line="620" w:lineRule="exact"/>
        <w:ind w:left="0" w:firstLine="562" w:firstLineChars="200"/>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重点项目建设</w:t>
      </w:r>
    </w:p>
    <w:p>
      <w:pPr>
        <w:pStyle w:val="3"/>
        <w:spacing w:line="620" w:lineRule="exact"/>
        <w:ind w:left="0" w:firstLine="560" w:firstLineChars="200"/>
        <w:jc w:val="both"/>
        <w:rPr>
          <w:rFonts w:hint="eastAsia" w:ascii="仿宋" w:hAnsi="仿宋" w:eastAsia="仿宋" w:cs="仿宋"/>
          <w:spacing w:val="0"/>
          <w:sz w:val="28"/>
          <w:szCs w:val="28"/>
          <w:highlight w:val="none"/>
          <w:lang w:val="en-US" w:eastAsia="zh-CN"/>
        </w:rPr>
      </w:pPr>
      <w:r>
        <w:rPr>
          <w:rFonts w:hint="eastAsia" w:ascii="仿宋" w:hAnsi="仿宋" w:eastAsia="仿宋" w:cs="仿宋"/>
          <w:spacing w:val="0"/>
          <w:sz w:val="28"/>
          <w:szCs w:val="28"/>
          <w:highlight w:val="none"/>
          <w:lang w:val="en-US" w:eastAsia="zh-CN"/>
        </w:rPr>
        <w:t>城乡环卫一体化PPP项目环卫运营中心、工业园中转站已完成主体建设；云锦路、旺华路中转站已完成选址及“三通一平”；生活垃圾焚烧发电PPP项目进场专用道路已完成主体工程，力争年底前正常通车。</w:t>
      </w:r>
    </w:p>
    <w:p>
      <w:pPr>
        <w:pStyle w:val="3"/>
        <w:numPr>
          <w:ilvl w:val="0"/>
          <w:numId w:val="3"/>
        </w:numPr>
        <w:spacing w:line="620" w:lineRule="exact"/>
        <w:ind w:left="0" w:leftChars="0" w:firstLine="562" w:firstLineChars="200"/>
        <w:jc w:val="both"/>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民生诉求方面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80" w:lineRule="exact"/>
        <w:ind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办理</w:t>
      </w:r>
      <w:r>
        <w:rPr>
          <w:rFonts w:hint="eastAsia" w:ascii="仿宋" w:hAnsi="仿宋" w:eastAsia="仿宋" w:cs="仿宋"/>
          <w:spacing w:val="0"/>
          <w:sz w:val="28"/>
          <w:szCs w:val="28"/>
          <w:highlight w:val="none"/>
          <w:lang w:val="en-US" w:eastAsia="zh-CN"/>
        </w:rPr>
        <w:t>人大代表建议4件、政协委员提案7件，</w:t>
      </w:r>
      <w:r>
        <w:rPr>
          <w:rFonts w:hint="eastAsia" w:ascii="仿宋" w:hAnsi="仿宋" w:eastAsia="仿宋" w:cs="仿宋"/>
          <w:kern w:val="0"/>
          <w:sz w:val="28"/>
          <w:szCs w:val="28"/>
          <w:highlight w:val="none"/>
          <w:lang w:val="en-US" w:eastAsia="zh-CN" w:bidi="ar"/>
        </w:rPr>
        <w:t>12345市民服务热线工单1550条，信访事项13件、网络舆情27件，回复率及满意率均达100%。</w:t>
      </w:r>
    </w:p>
    <w:p>
      <w:pPr>
        <w:pStyle w:val="3"/>
        <w:spacing w:line="620" w:lineRule="exact"/>
        <w:jc w:val="both"/>
        <w:rPr>
          <w:rFonts w:hint="eastAsia" w:ascii="仿宋" w:hAnsi="仿宋" w:eastAsia="仿宋" w:cs="仿宋"/>
          <w:b/>
          <w:bCs/>
          <w:i w:val="0"/>
          <w:iCs w:val="0"/>
          <w:color w:val="auto"/>
          <w:kern w:val="0"/>
          <w:sz w:val="28"/>
          <w:szCs w:val="28"/>
          <w:lang w:val="en-US" w:eastAsia="zh-CN"/>
        </w:rPr>
      </w:pPr>
      <w:r>
        <w:rPr>
          <w:rFonts w:hint="eastAsia" w:ascii="仿宋" w:hAnsi="仿宋" w:eastAsia="仿宋" w:cs="仿宋"/>
          <w:b/>
          <w:bCs/>
          <w:i w:val="0"/>
          <w:iCs w:val="0"/>
          <w:color w:val="auto"/>
          <w:kern w:val="0"/>
          <w:sz w:val="28"/>
          <w:szCs w:val="28"/>
          <w:lang w:val="en-US" w:eastAsia="zh-CN"/>
        </w:rPr>
        <w:t>（二）部门整体绩效评价各项指标情况分析</w:t>
      </w:r>
    </w:p>
    <w:p>
      <w:pPr>
        <w:pStyle w:val="3"/>
        <w:spacing w:line="620" w:lineRule="exact"/>
        <w:ind w:left="0" w:firstLine="560" w:firstLineChars="200"/>
        <w:jc w:val="both"/>
        <w:rPr>
          <w:rFonts w:hint="eastAsia" w:ascii="仿宋" w:hAnsi="仿宋" w:eastAsia="仿宋" w:cs="仿宋"/>
          <w:sz w:val="28"/>
          <w:szCs w:val="28"/>
          <w:lang w:val="en-US"/>
        </w:rPr>
      </w:pPr>
      <w:r>
        <w:rPr>
          <w:rFonts w:hint="eastAsia" w:ascii="仿宋" w:hAnsi="仿宋" w:eastAsia="仿宋" w:cs="仿宋"/>
          <w:sz w:val="28"/>
          <w:szCs w:val="28"/>
          <w:lang w:val="en-US"/>
        </w:rPr>
        <w:t>本次评价采用三级细化指标评分，从部门整体支出的</w:t>
      </w:r>
      <w:r>
        <w:rPr>
          <w:rFonts w:hint="eastAsia" w:ascii="仿宋" w:hAnsi="仿宋" w:eastAsia="仿宋" w:cs="仿宋"/>
          <w:sz w:val="28"/>
          <w:szCs w:val="28"/>
          <w:lang w:val="en-US" w:eastAsia="zh-CN"/>
        </w:rPr>
        <w:t>产出</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效益、满意度</w:t>
      </w:r>
      <w:r>
        <w:rPr>
          <w:rFonts w:hint="eastAsia" w:ascii="仿宋" w:hAnsi="仿宋" w:eastAsia="仿宋" w:cs="仿宋"/>
          <w:sz w:val="28"/>
          <w:szCs w:val="28"/>
          <w:lang w:val="en-US"/>
        </w:rPr>
        <w:t>等维度的绩效指标分析出发，通过定性与定量相结合的方式，综合考察202</w:t>
      </w:r>
      <w:r>
        <w:rPr>
          <w:rFonts w:hint="eastAsia" w:ascii="仿宋" w:hAnsi="仿宋" w:eastAsia="仿宋" w:cs="仿宋"/>
          <w:sz w:val="28"/>
          <w:szCs w:val="28"/>
          <w:lang w:val="en-US" w:eastAsia="zh-CN"/>
        </w:rPr>
        <w:t>3</w:t>
      </w:r>
      <w:r>
        <w:rPr>
          <w:rFonts w:hint="eastAsia" w:ascii="仿宋" w:hAnsi="仿宋" w:eastAsia="仿宋" w:cs="仿宋"/>
          <w:sz w:val="28"/>
          <w:szCs w:val="28"/>
          <w:lang w:val="en-US"/>
        </w:rPr>
        <w:t>年度部门整体支出资金使用效益及部门职能职责履行情况等，得出绩效评价综合结论。</w:t>
      </w:r>
    </w:p>
    <w:p>
      <w:pPr>
        <w:pStyle w:val="3"/>
        <w:spacing w:line="620" w:lineRule="exact"/>
        <w:jc w:val="both"/>
        <w:rPr>
          <w:rFonts w:hint="default" w:ascii="仿宋" w:hAnsi="仿宋" w:eastAsia="仿宋" w:cs="仿宋"/>
          <w:b/>
          <w:bCs/>
          <w:i w:val="0"/>
          <w:iCs w:val="0"/>
          <w:color w:val="auto"/>
          <w:kern w:val="0"/>
          <w:sz w:val="28"/>
          <w:szCs w:val="28"/>
          <w:lang w:val="en-US" w:eastAsia="zh-CN"/>
        </w:rPr>
      </w:pPr>
      <w:r>
        <w:rPr>
          <w:rFonts w:hint="eastAsia" w:ascii="仿宋" w:hAnsi="仿宋" w:eastAsia="仿宋" w:cs="仿宋"/>
          <w:b/>
          <w:bCs/>
          <w:i w:val="0"/>
          <w:iCs w:val="0"/>
          <w:color w:val="auto"/>
          <w:kern w:val="0"/>
          <w:sz w:val="28"/>
          <w:szCs w:val="28"/>
          <w:lang w:val="en-US" w:eastAsia="zh-CN"/>
        </w:rPr>
        <w:t>一、产出指标情况</w:t>
      </w:r>
    </w:p>
    <w:p>
      <w:pPr>
        <w:pStyle w:val="3"/>
        <w:spacing w:line="620" w:lineRule="exact"/>
        <w:jc w:val="both"/>
        <w:rPr>
          <w:rFonts w:hint="eastAsia" w:ascii="仿宋" w:hAnsi="仿宋" w:eastAsia="仿宋" w:cs="仿宋"/>
          <w:b/>
          <w:bCs/>
          <w:i w:val="0"/>
          <w:iCs w:val="0"/>
          <w:color w:val="auto"/>
          <w:kern w:val="0"/>
          <w:sz w:val="28"/>
          <w:szCs w:val="28"/>
          <w:lang w:val="en-US" w:eastAsia="zh-CN"/>
        </w:rPr>
      </w:pPr>
      <w:r>
        <w:rPr>
          <w:rFonts w:hint="eastAsia" w:ascii="仿宋" w:hAnsi="仿宋" w:eastAsia="仿宋" w:cs="仿宋"/>
          <w:b/>
          <w:bCs/>
          <w:i w:val="0"/>
          <w:iCs w:val="0"/>
          <w:color w:val="auto"/>
          <w:kern w:val="0"/>
          <w:sz w:val="28"/>
          <w:szCs w:val="28"/>
          <w:lang w:val="en-US" w:eastAsia="zh-CN"/>
        </w:rPr>
        <w:t>（1）数量指标（满分34分，得分34分）</w:t>
      </w:r>
    </w:p>
    <w:p>
      <w:pPr>
        <w:pStyle w:val="3"/>
        <w:spacing w:line="620" w:lineRule="exact"/>
        <w:ind w:lef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①园林绿化修枝：4800余株。</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②更换网井盖：700余块。</w:t>
      </w:r>
    </w:p>
    <w:p>
      <w:pPr>
        <w:pStyle w:val="3"/>
        <w:spacing w:line="620" w:lineRule="exact"/>
        <w:ind w:lef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③查处占道经营：2800余处。</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④清理下水道：1500米。</w:t>
      </w:r>
    </w:p>
    <w:p>
      <w:pPr>
        <w:pStyle w:val="3"/>
        <w:spacing w:line="620" w:lineRule="exact"/>
        <w:ind w:left="559" w:leftChars="266" w:firstLine="0" w:firstLineChars="0"/>
        <w:jc w:val="both"/>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⑤维修破损人行道：20000余平方米。</w:t>
      </w:r>
    </w:p>
    <w:p>
      <w:pPr>
        <w:pStyle w:val="3"/>
        <w:spacing w:line="62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⑥拆除广告牌：12500平方米。</w:t>
      </w:r>
    </w:p>
    <w:p>
      <w:pPr>
        <w:pStyle w:val="3"/>
        <w:spacing w:line="62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⑦清理菜地：9000余平方米。</w:t>
      </w:r>
    </w:p>
    <w:p>
      <w:pPr>
        <w:pStyle w:val="3"/>
        <w:spacing w:line="620" w:lineRule="exact"/>
        <w:ind w:left="0" w:firstLine="560" w:firstLineChars="200"/>
        <w:jc w:val="both"/>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⑧清理建筑垃圾：4000余方。</w:t>
      </w:r>
    </w:p>
    <w:p>
      <w:pPr>
        <w:numPr>
          <w:ilvl w:val="0"/>
          <w:numId w:val="4"/>
        </w:numPr>
        <w:spacing w:line="600" w:lineRule="exact"/>
        <w:ind w:firstLine="562" w:firstLineChars="200"/>
        <w:rPr>
          <w:rFonts w:hint="eastAsia" w:ascii="仿宋" w:hAnsi="仿宋" w:eastAsia="仿宋" w:cs="仿宋"/>
          <w:b/>
          <w:bCs/>
          <w:sz w:val="28"/>
          <w:szCs w:val="28"/>
          <w:lang w:val="en-US"/>
        </w:rPr>
      </w:pPr>
      <w:r>
        <w:rPr>
          <w:rFonts w:hint="eastAsia" w:ascii="仿宋" w:hAnsi="仿宋" w:eastAsia="仿宋" w:cs="仿宋"/>
          <w:b/>
          <w:bCs/>
          <w:i w:val="0"/>
          <w:iCs w:val="0"/>
          <w:color w:val="auto"/>
          <w:kern w:val="0"/>
          <w:sz w:val="28"/>
          <w:szCs w:val="28"/>
          <w:lang w:val="en-US" w:eastAsia="zh-CN"/>
        </w:rPr>
        <w:t>质量指标</w:t>
      </w:r>
      <w:r>
        <w:rPr>
          <w:rFonts w:hint="eastAsia" w:ascii="仿宋" w:hAnsi="仿宋" w:eastAsia="仿宋" w:cs="仿宋"/>
          <w:b/>
          <w:bCs/>
          <w:sz w:val="28"/>
          <w:szCs w:val="28"/>
          <w:lang w:val="en-US"/>
        </w:rPr>
        <w:t>（满分</w:t>
      </w:r>
      <w:r>
        <w:rPr>
          <w:rFonts w:hint="eastAsia" w:ascii="仿宋" w:hAnsi="仿宋" w:eastAsia="仿宋" w:cs="仿宋"/>
          <w:b/>
          <w:bCs/>
          <w:sz w:val="28"/>
          <w:szCs w:val="28"/>
          <w:lang w:val="en-US" w:eastAsia="zh-CN"/>
        </w:rPr>
        <w:t>11</w:t>
      </w:r>
      <w:r>
        <w:rPr>
          <w:rFonts w:hint="eastAsia" w:ascii="仿宋" w:hAnsi="仿宋" w:eastAsia="仿宋" w:cs="仿宋"/>
          <w:b/>
          <w:bCs/>
          <w:sz w:val="28"/>
          <w:szCs w:val="28"/>
          <w:lang w:val="en-US"/>
        </w:rPr>
        <w:t>分，得分</w:t>
      </w:r>
      <w:r>
        <w:rPr>
          <w:rFonts w:hint="eastAsia" w:ascii="仿宋" w:hAnsi="仿宋" w:eastAsia="仿宋" w:cs="仿宋"/>
          <w:b/>
          <w:bCs/>
          <w:sz w:val="28"/>
          <w:szCs w:val="28"/>
          <w:lang w:val="en-US" w:eastAsia="zh-CN"/>
        </w:rPr>
        <w:t>10</w:t>
      </w:r>
      <w:r>
        <w:rPr>
          <w:rFonts w:hint="eastAsia" w:ascii="仿宋" w:hAnsi="仿宋" w:eastAsia="仿宋" w:cs="仿宋"/>
          <w:b/>
          <w:bCs/>
          <w:sz w:val="28"/>
          <w:szCs w:val="28"/>
          <w:lang w:val="en-US"/>
        </w:rPr>
        <w:t>分）</w:t>
      </w:r>
    </w:p>
    <w:p>
      <w:pPr>
        <w:pStyle w:val="3"/>
        <w:spacing w:line="62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rPr>
        <w:t>①</w:t>
      </w:r>
      <w:r>
        <w:rPr>
          <w:rFonts w:hint="eastAsia" w:ascii="仿宋" w:hAnsi="仿宋" w:eastAsia="仿宋" w:cs="仿宋"/>
          <w:color w:val="auto"/>
          <w:sz w:val="28"/>
          <w:szCs w:val="28"/>
          <w:lang w:val="en-US" w:eastAsia="zh-CN"/>
        </w:rPr>
        <w:t>公用设施完好率：100%。</w:t>
      </w:r>
    </w:p>
    <w:p>
      <w:pPr>
        <w:pStyle w:val="3"/>
        <w:spacing w:line="62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rPr>
        <w:t>②</w:t>
      </w:r>
      <w:r>
        <w:rPr>
          <w:rFonts w:hint="eastAsia" w:ascii="仿宋" w:hAnsi="仿宋" w:eastAsia="仿宋" w:cs="仿宋"/>
          <w:color w:val="auto"/>
          <w:sz w:val="28"/>
          <w:szCs w:val="28"/>
          <w:lang w:val="en-US" w:eastAsia="zh-CN"/>
        </w:rPr>
        <w:t>绿化养护成活率</w:t>
      </w:r>
      <w:r>
        <w:rPr>
          <w:rFonts w:hint="eastAsia" w:ascii="仿宋" w:hAnsi="仿宋" w:eastAsia="仿宋" w:cs="仿宋"/>
          <w:color w:val="auto"/>
          <w:sz w:val="28"/>
          <w:szCs w:val="28"/>
          <w:lang w:val="en-US"/>
        </w:rPr>
        <w:t>：</w:t>
      </w:r>
      <w:r>
        <w:rPr>
          <w:rFonts w:hint="eastAsia" w:ascii="仿宋" w:hAnsi="仿宋" w:eastAsia="仿宋" w:cs="仿宋"/>
          <w:color w:val="auto"/>
          <w:sz w:val="28"/>
          <w:szCs w:val="28"/>
          <w:lang w:val="en-US" w:eastAsia="zh-CN"/>
        </w:rPr>
        <w:t>98%。</w:t>
      </w:r>
    </w:p>
    <w:p>
      <w:pPr>
        <w:pStyle w:val="3"/>
        <w:spacing w:line="620" w:lineRule="exact"/>
        <w:jc w:val="both"/>
        <w:rPr>
          <w:rFonts w:hint="default" w:ascii="仿宋" w:hAnsi="仿宋" w:eastAsia="仿宋" w:cs="仿宋"/>
          <w:color w:val="auto"/>
          <w:sz w:val="28"/>
          <w:szCs w:val="28"/>
          <w:lang w:val="en-US"/>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en-US"/>
        </w:rPr>
        <w:t>③</w:t>
      </w:r>
      <w:r>
        <w:rPr>
          <w:rFonts w:hint="eastAsia" w:ascii="仿宋" w:hAnsi="仿宋" w:eastAsia="仿宋" w:cs="仿宋"/>
          <w:color w:val="auto"/>
          <w:sz w:val="28"/>
          <w:szCs w:val="28"/>
          <w:lang w:val="en-US" w:eastAsia="zh-CN"/>
        </w:rPr>
        <w:t>亮灯率</w:t>
      </w:r>
      <w:r>
        <w:rPr>
          <w:rFonts w:hint="eastAsia" w:ascii="仿宋" w:hAnsi="仿宋" w:eastAsia="仿宋" w:cs="仿宋"/>
          <w:color w:val="auto"/>
          <w:sz w:val="28"/>
          <w:szCs w:val="28"/>
          <w:lang w:val="en-US"/>
        </w:rPr>
        <w:t>：</w:t>
      </w:r>
      <w:r>
        <w:rPr>
          <w:rFonts w:hint="eastAsia" w:ascii="仿宋" w:hAnsi="仿宋" w:eastAsia="仿宋" w:cs="仿宋"/>
          <w:color w:val="auto"/>
          <w:sz w:val="28"/>
          <w:szCs w:val="28"/>
          <w:lang w:val="en-US" w:eastAsia="zh-CN"/>
        </w:rPr>
        <w:t>100%。</w:t>
      </w:r>
    </w:p>
    <w:p>
      <w:pPr>
        <w:pStyle w:val="2"/>
        <w:rPr>
          <w:rFonts w:hint="eastAsia"/>
          <w:lang w:val="en-US"/>
        </w:rPr>
      </w:pPr>
    </w:p>
    <w:p>
      <w:pPr>
        <w:numPr>
          <w:numId w:val="0"/>
        </w:numPr>
        <w:spacing w:line="600" w:lineRule="exact"/>
        <w:ind w:firstLine="562" w:firstLineChars="200"/>
        <w:rPr>
          <w:rFonts w:hint="eastAsia" w:ascii="仿宋" w:hAnsi="仿宋" w:eastAsia="仿宋" w:cs="仿宋"/>
          <w:b/>
          <w:bCs/>
          <w:i w:val="0"/>
          <w:iCs w:val="0"/>
          <w:color w:val="auto"/>
          <w:kern w:val="0"/>
          <w:sz w:val="28"/>
          <w:szCs w:val="28"/>
        </w:rPr>
      </w:pPr>
      <w:r>
        <w:rPr>
          <w:rFonts w:hint="eastAsia" w:ascii="仿宋" w:hAnsi="仿宋" w:eastAsia="仿宋" w:cs="仿宋"/>
          <w:b/>
          <w:bCs/>
          <w:i w:val="0"/>
          <w:iCs w:val="0"/>
          <w:color w:val="auto"/>
          <w:kern w:val="0"/>
          <w:sz w:val="28"/>
          <w:szCs w:val="28"/>
        </w:rPr>
        <w:t>（</w:t>
      </w:r>
      <w:r>
        <w:rPr>
          <w:rFonts w:hint="eastAsia" w:ascii="仿宋" w:hAnsi="仿宋" w:eastAsia="仿宋" w:cs="仿宋"/>
          <w:b/>
          <w:bCs/>
          <w:i w:val="0"/>
          <w:iCs w:val="0"/>
          <w:color w:val="auto"/>
          <w:kern w:val="0"/>
          <w:sz w:val="28"/>
          <w:szCs w:val="28"/>
          <w:lang w:val="en-US" w:eastAsia="zh-CN"/>
        </w:rPr>
        <w:t>3</w:t>
      </w:r>
      <w:r>
        <w:rPr>
          <w:rFonts w:hint="eastAsia" w:ascii="仿宋" w:hAnsi="仿宋" w:eastAsia="仿宋" w:cs="仿宋"/>
          <w:b/>
          <w:bCs/>
          <w:i w:val="0"/>
          <w:iCs w:val="0"/>
          <w:color w:val="auto"/>
          <w:kern w:val="0"/>
          <w:sz w:val="28"/>
          <w:szCs w:val="28"/>
        </w:rPr>
        <w:t>）</w:t>
      </w:r>
      <w:r>
        <w:rPr>
          <w:rFonts w:hint="eastAsia" w:ascii="仿宋" w:hAnsi="仿宋" w:eastAsia="仿宋" w:cs="仿宋"/>
          <w:b/>
          <w:bCs/>
          <w:i w:val="0"/>
          <w:iCs w:val="0"/>
          <w:color w:val="auto"/>
          <w:kern w:val="0"/>
          <w:sz w:val="28"/>
          <w:szCs w:val="28"/>
          <w:lang w:val="en-US" w:eastAsia="zh-CN"/>
        </w:rPr>
        <w:t>时效</w:t>
      </w:r>
      <w:r>
        <w:rPr>
          <w:rFonts w:hint="eastAsia" w:ascii="仿宋" w:hAnsi="仿宋" w:eastAsia="仿宋" w:cs="仿宋"/>
          <w:b/>
          <w:bCs/>
          <w:i w:val="0"/>
          <w:iCs w:val="0"/>
          <w:color w:val="auto"/>
          <w:kern w:val="0"/>
          <w:sz w:val="28"/>
          <w:szCs w:val="28"/>
        </w:rPr>
        <w:t>指标</w:t>
      </w:r>
      <w:r>
        <w:rPr>
          <w:rFonts w:hint="eastAsia" w:ascii="仿宋" w:hAnsi="仿宋" w:eastAsia="仿宋" w:cs="仿宋"/>
          <w:b/>
          <w:bCs/>
          <w:i w:val="0"/>
          <w:iCs w:val="0"/>
          <w:color w:val="auto"/>
          <w:kern w:val="0"/>
          <w:sz w:val="28"/>
          <w:szCs w:val="28"/>
          <w:lang w:val="en-US"/>
        </w:rPr>
        <w:t>（满分</w:t>
      </w:r>
      <w:r>
        <w:rPr>
          <w:rFonts w:hint="eastAsia" w:ascii="仿宋" w:hAnsi="仿宋" w:eastAsia="仿宋" w:cs="仿宋"/>
          <w:b/>
          <w:bCs/>
          <w:i w:val="0"/>
          <w:iCs w:val="0"/>
          <w:color w:val="auto"/>
          <w:kern w:val="0"/>
          <w:sz w:val="28"/>
          <w:szCs w:val="28"/>
          <w:lang w:val="en-US" w:eastAsia="zh-CN"/>
        </w:rPr>
        <w:t>9</w:t>
      </w:r>
      <w:r>
        <w:rPr>
          <w:rFonts w:hint="eastAsia" w:ascii="仿宋" w:hAnsi="仿宋" w:eastAsia="仿宋" w:cs="仿宋"/>
          <w:b/>
          <w:bCs/>
          <w:i w:val="0"/>
          <w:iCs w:val="0"/>
          <w:color w:val="auto"/>
          <w:kern w:val="0"/>
          <w:sz w:val="28"/>
          <w:szCs w:val="28"/>
          <w:lang w:val="en-US"/>
        </w:rPr>
        <w:t>分，得分</w:t>
      </w:r>
      <w:r>
        <w:rPr>
          <w:rFonts w:hint="eastAsia" w:ascii="仿宋" w:hAnsi="仿宋" w:eastAsia="仿宋" w:cs="仿宋"/>
          <w:b/>
          <w:bCs/>
          <w:i w:val="0"/>
          <w:iCs w:val="0"/>
          <w:color w:val="auto"/>
          <w:kern w:val="0"/>
          <w:sz w:val="28"/>
          <w:szCs w:val="28"/>
          <w:lang w:val="en-US" w:eastAsia="zh-CN"/>
        </w:rPr>
        <w:t>7</w:t>
      </w:r>
      <w:r>
        <w:rPr>
          <w:rFonts w:hint="eastAsia" w:ascii="仿宋" w:hAnsi="仿宋" w:eastAsia="仿宋" w:cs="仿宋"/>
          <w:b/>
          <w:bCs/>
          <w:i w:val="0"/>
          <w:iCs w:val="0"/>
          <w:color w:val="auto"/>
          <w:kern w:val="0"/>
          <w:sz w:val="28"/>
          <w:szCs w:val="28"/>
          <w:lang w:val="en-US"/>
        </w:rPr>
        <w:t>分）</w:t>
      </w:r>
      <w:r>
        <w:rPr>
          <w:rFonts w:hint="eastAsia" w:ascii="仿宋" w:hAnsi="仿宋" w:eastAsia="仿宋" w:cs="仿宋"/>
          <w:sz w:val="28"/>
          <w:szCs w:val="28"/>
          <w:highlight w:val="none"/>
          <w:lang w:val="en-US"/>
        </w:rPr>
        <w:t xml:space="preserve"> </w:t>
      </w:r>
    </w:p>
    <w:p>
      <w:pPr>
        <w:pStyle w:val="3"/>
        <w:spacing w:line="620" w:lineRule="exact"/>
        <w:ind w:left="0" w:firstLine="560" w:firstLineChars="200"/>
        <w:jc w:val="both"/>
        <w:rPr>
          <w:rFonts w:hint="default" w:ascii="仿宋" w:hAnsi="仿宋" w:eastAsia="仿宋" w:cs="仿宋"/>
          <w:color w:val="auto"/>
          <w:sz w:val="28"/>
          <w:szCs w:val="28"/>
          <w:highlight w:val="none"/>
          <w:lang w:val="en-US" w:eastAsia="zh-CN"/>
        </w:rPr>
      </w:pPr>
      <w:r>
        <w:rPr>
          <w:rFonts w:hint="eastAsia" w:ascii="微软雅黑" w:hAnsi="微软雅黑" w:eastAsia="微软雅黑" w:cs="微软雅黑"/>
          <w:color w:val="auto"/>
          <w:sz w:val="28"/>
          <w:szCs w:val="28"/>
          <w:highlight w:val="none"/>
          <w:lang w:val="en-US"/>
        </w:rPr>
        <w:t>①</w:t>
      </w:r>
      <w:r>
        <w:rPr>
          <w:rFonts w:hint="eastAsia" w:ascii="仿宋" w:hAnsi="仿宋" w:eastAsia="仿宋" w:cs="仿宋"/>
          <w:color w:val="auto"/>
          <w:sz w:val="28"/>
          <w:szCs w:val="28"/>
          <w:highlight w:val="none"/>
          <w:lang w:val="en-US"/>
        </w:rPr>
        <w:t>完成及时率：</w:t>
      </w:r>
      <w:r>
        <w:rPr>
          <w:rFonts w:hint="eastAsia" w:ascii="仿宋" w:hAnsi="仿宋" w:eastAsia="仿宋" w:cs="仿宋"/>
          <w:color w:val="auto"/>
          <w:sz w:val="28"/>
          <w:szCs w:val="28"/>
          <w:highlight w:val="none"/>
          <w:lang w:val="en-US" w:eastAsia="zh-CN"/>
        </w:rPr>
        <w:t>2023年度计划完成的各项工作基本完成，完成及时率95%。</w:t>
      </w:r>
    </w:p>
    <w:p>
      <w:pPr>
        <w:pStyle w:val="4"/>
        <w:ind w:firstLine="560" w:firstLineChars="200"/>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lang w:val="en-US"/>
        </w:rPr>
        <w:t>②</w:t>
      </w:r>
      <w:r>
        <w:rPr>
          <w:rFonts w:hint="eastAsia" w:ascii="仿宋" w:hAnsi="仿宋" w:eastAsia="仿宋" w:cs="仿宋"/>
          <w:color w:val="auto"/>
          <w:sz w:val="28"/>
          <w:szCs w:val="28"/>
          <w:highlight w:val="none"/>
          <w:lang w:val="en-US" w:eastAsia="zh-CN"/>
        </w:rPr>
        <w:t>支付及时</w:t>
      </w:r>
      <w:r>
        <w:rPr>
          <w:rFonts w:hint="eastAsia" w:ascii="仿宋" w:hAnsi="仿宋" w:eastAsia="仿宋" w:cs="仿宋"/>
          <w:color w:val="auto"/>
          <w:sz w:val="28"/>
          <w:szCs w:val="28"/>
          <w:highlight w:val="none"/>
          <w:lang w:val="en-US"/>
        </w:rPr>
        <w:t>率：</w:t>
      </w:r>
      <w:r>
        <w:rPr>
          <w:rFonts w:hint="eastAsia" w:ascii="仿宋" w:hAnsi="仿宋" w:eastAsia="仿宋" w:cs="仿宋"/>
          <w:color w:val="auto"/>
          <w:sz w:val="28"/>
          <w:szCs w:val="28"/>
          <w:highlight w:val="none"/>
          <w:lang w:val="en-US" w:eastAsia="zh-CN"/>
        </w:rPr>
        <w:t>截止2023年12月31日，财政拨款收入8087.38</w:t>
      </w:r>
      <w:r>
        <w:rPr>
          <w:rFonts w:hint="eastAsia" w:ascii="仿宋" w:hAnsi="仿宋" w:eastAsia="仿宋" w:cs="仿宋"/>
          <w:color w:val="auto"/>
          <w:sz w:val="28"/>
          <w:szCs w:val="28"/>
          <w:highlight w:val="none"/>
          <w:lang w:val="en-US"/>
        </w:rPr>
        <w:t>万元</w:t>
      </w:r>
      <w:r>
        <w:rPr>
          <w:rFonts w:hint="eastAsia" w:ascii="仿宋" w:hAnsi="仿宋" w:eastAsia="仿宋" w:cs="仿宋"/>
          <w:color w:val="auto"/>
          <w:sz w:val="28"/>
          <w:szCs w:val="28"/>
          <w:highlight w:val="none"/>
          <w:lang w:val="en-US" w:eastAsia="zh-CN"/>
        </w:rPr>
        <w:t>，实际财政拨款支出8087.38</w:t>
      </w:r>
      <w:r>
        <w:rPr>
          <w:rFonts w:hint="eastAsia" w:ascii="仿宋" w:hAnsi="仿宋" w:eastAsia="仿宋" w:cs="仿宋"/>
          <w:color w:val="auto"/>
          <w:sz w:val="28"/>
          <w:szCs w:val="28"/>
          <w:highlight w:val="none"/>
          <w:lang w:val="en-US"/>
        </w:rPr>
        <w:t>万元，</w:t>
      </w:r>
      <w:r>
        <w:rPr>
          <w:rFonts w:hint="eastAsia" w:ascii="仿宋" w:hAnsi="仿宋" w:eastAsia="仿宋" w:cs="仿宋"/>
          <w:color w:val="auto"/>
          <w:sz w:val="28"/>
          <w:szCs w:val="28"/>
          <w:highlight w:val="none"/>
          <w:lang w:val="en-US" w:eastAsia="zh-CN"/>
        </w:rPr>
        <w:t>支付及时率</w:t>
      </w:r>
      <w:r>
        <w:rPr>
          <w:rFonts w:hint="eastAsia" w:ascii="仿宋" w:hAnsi="仿宋" w:eastAsia="仿宋" w:cs="仿宋"/>
          <w:color w:val="auto"/>
          <w:sz w:val="28"/>
          <w:szCs w:val="28"/>
          <w:highlight w:val="none"/>
          <w:lang w:val="en-US"/>
        </w:rPr>
        <w:t>100%，</w:t>
      </w:r>
      <w:r>
        <w:rPr>
          <w:rFonts w:hint="eastAsia" w:ascii="仿宋" w:hAnsi="仿宋" w:eastAsia="仿宋" w:cs="仿宋"/>
          <w:color w:val="auto"/>
          <w:sz w:val="28"/>
          <w:szCs w:val="28"/>
          <w:highlight w:val="none"/>
          <w:lang w:val="en-US" w:eastAsia="zh-CN"/>
        </w:rPr>
        <w:t>支付</w:t>
      </w:r>
      <w:r>
        <w:rPr>
          <w:rFonts w:hint="eastAsia" w:ascii="仿宋" w:hAnsi="仿宋" w:eastAsia="仿宋" w:cs="仿宋"/>
          <w:color w:val="auto"/>
          <w:sz w:val="28"/>
          <w:szCs w:val="28"/>
          <w:highlight w:val="none"/>
          <w:lang w:val="en-US"/>
        </w:rPr>
        <w:t>情况良好。</w:t>
      </w:r>
    </w:p>
    <w:p>
      <w:pPr>
        <w:pStyle w:val="4"/>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color w:val="auto"/>
          <w:sz w:val="28"/>
          <w:szCs w:val="28"/>
          <w:lang w:val="en-US" w:eastAsia="zh-CN"/>
        </w:rPr>
        <w:t>③</w:t>
      </w:r>
      <w:r>
        <w:rPr>
          <w:rFonts w:hint="eastAsia" w:ascii="仿宋" w:hAnsi="仿宋" w:eastAsia="仿宋" w:cs="仿宋"/>
          <w:color w:val="auto"/>
          <w:kern w:val="2"/>
          <w:sz w:val="28"/>
          <w:szCs w:val="28"/>
          <w:highlight w:val="none"/>
          <w:lang w:val="en-US" w:eastAsia="zh-CN" w:bidi="ar-SA"/>
        </w:rPr>
        <w:t>重点工作办结率：</w:t>
      </w:r>
      <w:r>
        <w:rPr>
          <w:rFonts w:hint="eastAsia" w:ascii="仿宋" w:hAnsi="仿宋" w:eastAsia="仿宋" w:cs="仿宋"/>
          <w:b w:val="0"/>
          <w:bCs w:val="0"/>
          <w:color w:val="auto"/>
          <w:spacing w:val="0"/>
          <w:kern w:val="2"/>
          <w:sz w:val="28"/>
          <w:szCs w:val="28"/>
          <w:lang w:val="en-US" w:eastAsia="zh-CN" w:bidi="ar-SA"/>
        </w:rPr>
        <w:t>县城管局较好地完成了2023年重点工作任务。其中：</w:t>
      </w:r>
      <w:r>
        <w:rPr>
          <w:rFonts w:hint="eastAsia" w:ascii="仿宋" w:hAnsi="仿宋" w:eastAsia="仿宋" w:cs="仿宋"/>
          <w:color w:val="auto"/>
          <w:spacing w:val="0"/>
          <w:sz w:val="28"/>
          <w:szCs w:val="28"/>
          <w:highlight w:val="none"/>
          <w:lang w:val="en-US" w:eastAsia="zh-CN"/>
        </w:rPr>
        <w:t>城乡环卫一体化PPP项目环卫运营中</w:t>
      </w:r>
      <w:r>
        <w:rPr>
          <w:rFonts w:hint="eastAsia" w:ascii="仿宋" w:hAnsi="仿宋" w:eastAsia="仿宋" w:cs="仿宋"/>
          <w:spacing w:val="0"/>
          <w:sz w:val="28"/>
          <w:szCs w:val="28"/>
          <w:highlight w:val="none"/>
          <w:lang w:val="en-US" w:eastAsia="zh-CN"/>
        </w:rPr>
        <w:t>心、工业园中转站已完成主体建设；云锦路、旺华路中转站已完成选址及“三通一平”；生活垃圾焚烧发电PPP项目进场专用道路已完成主体工程。</w:t>
      </w:r>
    </w:p>
    <w:p>
      <w:pPr>
        <w:pStyle w:val="3"/>
        <w:spacing w:line="620" w:lineRule="exact"/>
        <w:ind w:left="0" w:firstLine="562" w:firstLineChars="200"/>
        <w:jc w:val="both"/>
        <w:rPr>
          <w:rFonts w:hint="eastAsia" w:ascii="仿宋" w:hAnsi="仿宋" w:eastAsia="仿宋" w:cs="仿宋"/>
          <w:b/>
          <w:bCs/>
          <w:color w:val="70AD47" w:themeColor="accent6"/>
          <w:sz w:val="28"/>
          <w:szCs w:val="28"/>
          <w:lang w:val="en-US"/>
          <w14:textFill>
            <w14:solidFill>
              <w14:schemeClr w14:val="accent6"/>
            </w14:solidFill>
          </w14:textFill>
        </w:rPr>
      </w:pPr>
      <w:r>
        <w:rPr>
          <w:rFonts w:hint="eastAsia" w:ascii="仿宋" w:hAnsi="仿宋" w:eastAsia="仿宋" w:cs="仿宋"/>
          <w:b/>
          <w:bCs/>
          <w:color w:val="auto"/>
          <w:sz w:val="28"/>
          <w:szCs w:val="28"/>
          <w:lang w:val="en-US"/>
        </w:rPr>
        <w:t>小结：“</w:t>
      </w:r>
      <w:r>
        <w:rPr>
          <w:rFonts w:hint="eastAsia" w:ascii="仿宋" w:hAnsi="仿宋" w:eastAsia="仿宋" w:cs="仿宋"/>
          <w:b/>
          <w:bCs/>
          <w:color w:val="auto"/>
          <w:sz w:val="28"/>
          <w:szCs w:val="28"/>
          <w:lang w:val="en-US" w:eastAsia="zh-CN"/>
        </w:rPr>
        <w:t>产出指标</w:t>
      </w:r>
      <w:r>
        <w:rPr>
          <w:rFonts w:hint="eastAsia" w:ascii="仿宋" w:hAnsi="仿宋" w:eastAsia="仿宋" w:cs="仿宋"/>
          <w:b/>
          <w:bCs/>
          <w:color w:val="auto"/>
          <w:sz w:val="28"/>
          <w:szCs w:val="28"/>
          <w:lang w:val="en-US"/>
        </w:rPr>
        <w:t>”维度，满分</w:t>
      </w:r>
      <w:r>
        <w:rPr>
          <w:rFonts w:hint="eastAsia" w:ascii="仿宋" w:hAnsi="仿宋" w:eastAsia="仿宋" w:cs="仿宋"/>
          <w:b/>
          <w:bCs/>
          <w:color w:val="auto"/>
          <w:sz w:val="28"/>
          <w:szCs w:val="28"/>
          <w:lang w:val="en-US" w:eastAsia="zh-CN"/>
        </w:rPr>
        <w:t>54</w:t>
      </w:r>
      <w:r>
        <w:rPr>
          <w:rFonts w:hint="eastAsia" w:ascii="仿宋" w:hAnsi="仿宋" w:eastAsia="仿宋" w:cs="仿宋"/>
          <w:b/>
          <w:bCs/>
          <w:color w:val="auto"/>
          <w:sz w:val="28"/>
          <w:szCs w:val="28"/>
          <w:lang w:val="en-US"/>
        </w:rPr>
        <w:t>分，实际得分</w:t>
      </w:r>
      <w:r>
        <w:rPr>
          <w:rFonts w:hint="eastAsia" w:ascii="仿宋" w:hAnsi="仿宋" w:eastAsia="仿宋" w:cs="仿宋"/>
          <w:b/>
          <w:bCs/>
          <w:color w:val="auto"/>
          <w:sz w:val="28"/>
          <w:szCs w:val="28"/>
          <w:lang w:val="en-US" w:eastAsia="zh-CN"/>
        </w:rPr>
        <w:t>51</w:t>
      </w:r>
      <w:r>
        <w:rPr>
          <w:rFonts w:hint="eastAsia" w:ascii="仿宋" w:hAnsi="仿宋" w:eastAsia="仿宋" w:cs="仿宋"/>
          <w:b/>
          <w:bCs/>
          <w:color w:val="auto"/>
          <w:sz w:val="28"/>
          <w:szCs w:val="28"/>
          <w:lang w:val="en-US"/>
        </w:rPr>
        <w:t>分。</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20" w:lineRule="exact"/>
        <w:ind w:left="0" w:leftChars="0" w:firstLine="562" w:firstLineChars="200"/>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lang w:val="en-US" w:eastAsia="zh-CN"/>
        </w:rPr>
        <w:t>效益指标情况</w:t>
      </w:r>
    </w:p>
    <w:p>
      <w:pPr>
        <w:pStyle w:val="3"/>
        <w:spacing w:line="620" w:lineRule="exact"/>
        <w:ind w:left="0" w:firstLine="560" w:firstLineChars="200"/>
        <w:jc w:val="both"/>
        <w:rPr>
          <w:rFonts w:hint="eastAsia" w:ascii="仿宋" w:hAnsi="仿宋" w:eastAsia="仿宋" w:cs="仿宋"/>
          <w:sz w:val="28"/>
          <w:szCs w:val="28"/>
          <w:highlight w:val="none"/>
          <w:lang w:val="en-US"/>
        </w:rPr>
      </w:pPr>
      <w:r>
        <w:rPr>
          <w:rFonts w:hint="eastAsia" w:ascii="仿宋" w:hAnsi="仿宋" w:eastAsia="仿宋" w:cs="仿宋"/>
          <w:sz w:val="28"/>
          <w:szCs w:val="28"/>
          <w:highlight w:val="none"/>
          <w:lang w:val="en-US"/>
        </w:rPr>
        <w:t>根据实际情况，围绕</w:t>
      </w:r>
      <w:r>
        <w:rPr>
          <w:rFonts w:hint="eastAsia" w:ascii="仿宋" w:hAnsi="仿宋" w:eastAsia="仿宋" w:cs="仿宋"/>
          <w:sz w:val="28"/>
          <w:szCs w:val="28"/>
          <w:highlight w:val="none"/>
          <w:lang w:val="en-US" w:eastAsia="zh-CN"/>
        </w:rPr>
        <w:t>经济效益、</w:t>
      </w:r>
      <w:r>
        <w:rPr>
          <w:rFonts w:hint="eastAsia" w:ascii="仿宋" w:hAnsi="仿宋" w:eastAsia="仿宋" w:cs="仿宋"/>
          <w:sz w:val="28"/>
          <w:szCs w:val="28"/>
          <w:highlight w:val="none"/>
          <w:lang w:val="en-US"/>
        </w:rPr>
        <w:t>社会效益、</w:t>
      </w:r>
      <w:r>
        <w:rPr>
          <w:rFonts w:hint="eastAsia" w:ascii="仿宋" w:hAnsi="仿宋" w:eastAsia="仿宋" w:cs="仿宋"/>
          <w:sz w:val="28"/>
          <w:szCs w:val="28"/>
          <w:highlight w:val="none"/>
          <w:lang w:val="en-US" w:eastAsia="zh-CN"/>
        </w:rPr>
        <w:t>生态效益</w:t>
      </w:r>
      <w:r>
        <w:rPr>
          <w:rFonts w:hint="eastAsia" w:ascii="仿宋" w:hAnsi="仿宋" w:eastAsia="仿宋" w:cs="仿宋"/>
          <w:sz w:val="28"/>
          <w:szCs w:val="28"/>
          <w:highlight w:val="none"/>
          <w:lang w:val="en-US"/>
        </w:rPr>
        <w:t>等方面，分别设置</w:t>
      </w:r>
      <w:r>
        <w:rPr>
          <w:rFonts w:hint="eastAsia" w:ascii="仿宋" w:hAnsi="仿宋" w:eastAsia="仿宋" w:cs="仿宋"/>
          <w:sz w:val="28"/>
          <w:szCs w:val="28"/>
          <w:highlight w:val="none"/>
          <w:lang w:val="en-US" w:eastAsia="zh-CN"/>
        </w:rPr>
        <w:t>“</w:t>
      </w:r>
      <w:r>
        <w:rPr>
          <w:rFonts w:hint="eastAsia" w:ascii="Times New Roman" w:hAnsi="Times New Roman" w:eastAsia="仿宋_GB2312" w:cs="Times New Roman"/>
          <w:b w:val="0"/>
          <w:bCs w:val="0"/>
          <w:highlight w:val="none"/>
          <w:lang w:val="en-US" w:eastAsia="zh-CN"/>
        </w:rPr>
        <w:t>建成区绿化覆盖率</w:t>
      </w:r>
      <w:r>
        <w:rPr>
          <w:rFonts w:hint="eastAsia" w:ascii="仿宋" w:hAnsi="仿宋" w:eastAsia="仿宋" w:cs="仿宋"/>
          <w:sz w:val="28"/>
          <w:szCs w:val="28"/>
          <w:highlight w:val="none"/>
          <w:lang w:val="en-US" w:eastAsia="zh-CN"/>
        </w:rPr>
        <w:t>”、“</w:t>
      </w:r>
      <w:r>
        <w:rPr>
          <w:rFonts w:hint="default" w:ascii="Times New Roman" w:hAnsi="Times New Roman" w:eastAsia="仿宋_GB2312" w:cs="Times New Roman"/>
          <w:highlight w:val="none"/>
          <w:lang w:val="en-US" w:eastAsia="zh-CN"/>
        </w:rPr>
        <w:t>垃圾焚烧发电，实现资源</w:t>
      </w:r>
      <w:r>
        <w:rPr>
          <w:rFonts w:hint="default" w:ascii="Times New Roman" w:hAnsi="Times New Roman" w:eastAsia="仿宋_GB2312" w:cs="Times New Roman"/>
          <w:sz w:val="32"/>
          <w:szCs w:val="32"/>
          <w:lang w:val="en-US" w:eastAsia="zh-CN"/>
        </w:rPr>
        <w:t>循环</w:t>
      </w:r>
      <w:r>
        <w:rPr>
          <w:rFonts w:hint="default" w:ascii="Times New Roman" w:hAnsi="Times New Roman" w:eastAsia="仿宋_GB2312" w:cs="Times New Roman"/>
          <w:highlight w:val="none"/>
          <w:lang w:val="en-US" w:eastAsia="zh-CN"/>
        </w:rPr>
        <w:t>利用</w:t>
      </w:r>
      <w:r>
        <w:rPr>
          <w:rFonts w:hint="eastAsia" w:ascii="Times New Roman" w:hAnsi="Times New Roman" w:eastAsia="仿宋_GB2312" w:cs="Times New Roman"/>
          <w:highlight w:val="none"/>
          <w:lang w:val="en-US" w:eastAsia="zh-CN"/>
        </w:rPr>
        <w:t>”、</w:t>
      </w:r>
      <w:r>
        <w:rPr>
          <w:rFonts w:hint="eastAsia" w:ascii="仿宋" w:hAnsi="仿宋" w:eastAsia="仿宋" w:cs="仿宋"/>
          <w:sz w:val="28"/>
          <w:szCs w:val="28"/>
          <w:highlight w:val="none"/>
          <w:lang w:val="en-US" w:eastAsia="zh-CN"/>
        </w:rPr>
        <w:t>“维护</w:t>
      </w:r>
      <w:r>
        <w:rPr>
          <w:rFonts w:hint="eastAsia" w:ascii="仿宋" w:hAnsi="仿宋" w:eastAsia="仿宋" w:cs="仿宋"/>
          <w:sz w:val="28"/>
          <w:szCs w:val="28"/>
          <w:highlight w:val="none"/>
          <w:lang w:val="en-US"/>
        </w:rPr>
        <w:t>市容</w:t>
      </w:r>
      <w:r>
        <w:rPr>
          <w:rFonts w:hint="eastAsia" w:ascii="仿宋" w:hAnsi="仿宋" w:eastAsia="仿宋" w:cs="仿宋"/>
          <w:sz w:val="28"/>
          <w:szCs w:val="28"/>
          <w:highlight w:val="none"/>
          <w:lang w:val="en-US" w:eastAsia="zh-CN"/>
        </w:rPr>
        <w:t>干净整洁”、“规范</w:t>
      </w:r>
      <w:r>
        <w:rPr>
          <w:rFonts w:hint="eastAsia" w:ascii="仿宋" w:hAnsi="仿宋" w:eastAsia="仿宋" w:cs="仿宋"/>
          <w:sz w:val="28"/>
          <w:szCs w:val="28"/>
          <w:highlight w:val="none"/>
          <w:lang w:val="en-US"/>
        </w:rPr>
        <w:t>户外经营</w:t>
      </w:r>
      <w:r>
        <w:rPr>
          <w:rFonts w:hint="eastAsia" w:ascii="仿宋" w:hAnsi="仿宋" w:eastAsia="仿宋" w:cs="仿宋"/>
          <w:sz w:val="28"/>
          <w:szCs w:val="28"/>
          <w:highlight w:val="none"/>
          <w:lang w:val="en-US" w:eastAsia="zh-CN"/>
        </w:rPr>
        <w:t>”、“规范车辆</w:t>
      </w:r>
      <w:r>
        <w:rPr>
          <w:rFonts w:hint="eastAsia" w:ascii="仿宋" w:hAnsi="仿宋" w:eastAsia="仿宋" w:cs="仿宋"/>
          <w:sz w:val="28"/>
          <w:szCs w:val="28"/>
          <w:highlight w:val="none"/>
          <w:lang w:val="en-US"/>
        </w:rPr>
        <w:t>停</w:t>
      </w:r>
      <w:r>
        <w:rPr>
          <w:rFonts w:hint="eastAsia" w:ascii="仿宋" w:hAnsi="仿宋" w:eastAsia="仿宋" w:cs="仿宋"/>
          <w:sz w:val="28"/>
          <w:szCs w:val="28"/>
          <w:highlight w:val="none"/>
          <w:lang w:val="en-US" w:eastAsia="zh-CN"/>
        </w:rPr>
        <w:t>放”、“提升城市形象”、“社会公众或服务对象满意度”</w:t>
      </w:r>
      <w:r>
        <w:rPr>
          <w:rFonts w:hint="eastAsia" w:ascii="仿宋" w:hAnsi="仿宋" w:eastAsia="仿宋" w:cs="仿宋"/>
          <w:sz w:val="28"/>
          <w:szCs w:val="28"/>
          <w:highlight w:val="none"/>
          <w:lang w:val="en-US"/>
        </w:rPr>
        <w:t>等</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lang w:val="en-US"/>
        </w:rPr>
        <w:t>个三级指标来评价</w:t>
      </w:r>
      <w:r>
        <w:rPr>
          <w:rFonts w:hint="eastAsia" w:ascii="仿宋" w:hAnsi="仿宋" w:eastAsia="仿宋" w:cs="仿宋"/>
          <w:sz w:val="28"/>
          <w:szCs w:val="28"/>
          <w:highlight w:val="none"/>
          <w:lang w:val="en-US" w:eastAsia="zh-CN"/>
        </w:rPr>
        <w:t>县城管</w:t>
      </w:r>
      <w:r>
        <w:rPr>
          <w:rFonts w:hint="eastAsia" w:ascii="仿宋" w:hAnsi="仿宋" w:eastAsia="仿宋" w:cs="仿宋"/>
          <w:sz w:val="28"/>
          <w:szCs w:val="28"/>
          <w:highlight w:val="none"/>
          <w:lang w:val="en-US"/>
        </w:rPr>
        <w:t>局绩效目标的实现效果。</w:t>
      </w:r>
    </w:p>
    <w:p>
      <w:pPr>
        <w:pStyle w:val="3"/>
        <w:spacing w:line="620" w:lineRule="exact"/>
        <w:ind w:left="0" w:firstLine="562" w:firstLineChars="200"/>
        <w:jc w:val="both"/>
        <w:rPr>
          <w:rFonts w:hint="eastAsia" w:ascii="仿宋" w:hAnsi="仿宋" w:eastAsia="仿宋" w:cs="仿宋"/>
          <w:b/>
          <w:bCs/>
          <w:sz w:val="28"/>
          <w:szCs w:val="28"/>
          <w:highlight w:val="none"/>
          <w:lang w:val="en-US"/>
        </w:rPr>
      </w:pPr>
      <w:r>
        <w:rPr>
          <w:rFonts w:hint="eastAsia" w:ascii="仿宋" w:hAnsi="仿宋" w:eastAsia="仿宋" w:cs="仿宋"/>
          <w:b/>
          <w:bCs/>
          <w:sz w:val="28"/>
          <w:szCs w:val="28"/>
          <w:highlight w:val="none"/>
          <w:lang w:val="en-US" w:eastAsia="zh-CN"/>
        </w:rPr>
        <w:t>（1）经济效益：</w:t>
      </w:r>
      <w:r>
        <w:rPr>
          <w:rFonts w:hint="eastAsia" w:ascii="仿宋" w:hAnsi="仿宋" w:eastAsia="仿宋" w:cs="仿宋"/>
          <w:b/>
          <w:bCs/>
          <w:sz w:val="28"/>
          <w:szCs w:val="28"/>
          <w:highlight w:val="none"/>
          <w:lang w:val="en-US"/>
        </w:rPr>
        <w:t>（满分</w:t>
      </w:r>
      <w:r>
        <w:rPr>
          <w:rFonts w:hint="eastAsia" w:ascii="仿宋" w:hAnsi="仿宋" w:eastAsia="仿宋" w:cs="仿宋"/>
          <w:b/>
          <w:bCs/>
          <w:sz w:val="28"/>
          <w:szCs w:val="28"/>
          <w:highlight w:val="none"/>
          <w:lang w:val="en-US" w:eastAsia="zh-CN"/>
        </w:rPr>
        <w:t>3</w:t>
      </w:r>
      <w:r>
        <w:rPr>
          <w:rFonts w:hint="eastAsia" w:ascii="仿宋" w:hAnsi="仿宋" w:eastAsia="仿宋" w:cs="仿宋"/>
          <w:b/>
          <w:bCs/>
          <w:sz w:val="28"/>
          <w:szCs w:val="28"/>
          <w:highlight w:val="none"/>
          <w:lang w:val="en-US"/>
        </w:rPr>
        <w:t>分，得分</w:t>
      </w:r>
      <w:r>
        <w:rPr>
          <w:rFonts w:hint="eastAsia" w:ascii="仿宋" w:hAnsi="仿宋" w:eastAsia="仿宋" w:cs="仿宋"/>
          <w:b/>
          <w:bCs/>
          <w:sz w:val="28"/>
          <w:szCs w:val="28"/>
          <w:highlight w:val="none"/>
          <w:lang w:val="en-US" w:eastAsia="zh-CN"/>
        </w:rPr>
        <w:t>3</w:t>
      </w:r>
      <w:r>
        <w:rPr>
          <w:rFonts w:hint="eastAsia" w:ascii="仿宋" w:hAnsi="仿宋" w:eastAsia="仿宋" w:cs="仿宋"/>
          <w:b/>
          <w:bCs/>
          <w:sz w:val="28"/>
          <w:szCs w:val="28"/>
          <w:highlight w:val="none"/>
          <w:lang w:val="en-US"/>
        </w:rPr>
        <w:t xml:space="preserve">分） </w:t>
      </w:r>
    </w:p>
    <w:p>
      <w:pPr>
        <w:pStyle w:val="3"/>
        <w:numPr>
          <w:ilvl w:val="0"/>
          <w:numId w:val="0"/>
        </w:numPr>
        <w:spacing w:line="620" w:lineRule="exact"/>
        <w:ind w:firstLine="640" w:firstLineChars="200"/>
        <w:jc w:val="both"/>
        <w:rPr>
          <w:rFonts w:hint="default" w:ascii="仿宋" w:hAnsi="仿宋" w:eastAsia="仿宋" w:cs="仿宋"/>
          <w:b/>
          <w:bCs/>
          <w:sz w:val="28"/>
          <w:szCs w:val="28"/>
          <w:highlight w:val="none"/>
          <w:lang w:val="en-US" w:eastAsia="zh-CN"/>
        </w:rPr>
      </w:pPr>
      <w:r>
        <w:rPr>
          <w:rFonts w:hint="eastAsia" w:ascii="仿宋_GB2312" w:hAnsi="仿宋_GB2312" w:eastAsia="仿宋_GB2312" w:cs="仿宋_GB2312"/>
          <w:b w:val="0"/>
          <w:bCs w:val="0"/>
          <w:kern w:val="2"/>
          <w:sz w:val="32"/>
          <w:szCs w:val="32"/>
          <w:highlight w:val="none"/>
          <w:lang w:val="en-US" w:eastAsia="zh-CN" w:bidi="ar-SA"/>
        </w:rPr>
        <w:t>持续深化简政放权，推进乡镇街道和园区赋权工作,深入推进“放管服”改革,推行“一件事一次</w:t>
      </w:r>
      <w:bookmarkStart w:id="15" w:name="_GoBack"/>
      <w:bookmarkEnd w:id="15"/>
      <w:r>
        <w:rPr>
          <w:rFonts w:hint="eastAsia" w:ascii="仿宋_GB2312" w:hAnsi="仿宋_GB2312" w:eastAsia="仿宋_GB2312" w:cs="仿宋_GB2312"/>
          <w:b w:val="0"/>
          <w:bCs w:val="0"/>
          <w:kern w:val="2"/>
          <w:sz w:val="32"/>
          <w:szCs w:val="32"/>
          <w:highlight w:val="none"/>
          <w:lang w:val="en-US" w:eastAsia="zh-CN" w:bidi="ar-SA"/>
        </w:rPr>
        <w:t>办”，设立“一件事一次办”二维码，推行全程网办，打通“一件事一次办”网办流程，为县城投资带来优质的营商环境，助力县城经济发展。</w:t>
      </w:r>
    </w:p>
    <w:p>
      <w:pPr>
        <w:pStyle w:val="3"/>
        <w:spacing w:line="620" w:lineRule="exact"/>
        <w:ind w:left="0" w:firstLine="562" w:firstLineChars="200"/>
        <w:jc w:val="both"/>
        <w:rPr>
          <w:rFonts w:hint="eastAsia" w:ascii="仿宋" w:hAnsi="仿宋" w:eastAsia="仿宋" w:cs="仿宋"/>
          <w:b/>
          <w:bCs/>
          <w:sz w:val="28"/>
          <w:szCs w:val="28"/>
          <w:highlight w:val="none"/>
          <w:lang w:val="en-US"/>
        </w:rPr>
      </w:pPr>
      <w:r>
        <w:rPr>
          <w:rFonts w:hint="eastAsia" w:ascii="仿宋" w:hAnsi="仿宋" w:eastAsia="仿宋" w:cs="仿宋"/>
          <w:b/>
          <w:bCs/>
          <w:sz w:val="28"/>
          <w:szCs w:val="28"/>
          <w:highlight w:val="none"/>
          <w:lang w:val="en-US" w:eastAsia="zh-CN"/>
        </w:rPr>
        <w:t>（2）</w:t>
      </w:r>
      <w:r>
        <w:rPr>
          <w:rFonts w:hint="eastAsia" w:ascii="仿宋" w:hAnsi="仿宋" w:eastAsia="仿宋" w:cs="仿宋"/>
          <w:b/>
          <w:bCs/>
          <w:sz w:val="28"/>
          <w:szCs w:val="28"/>
          <w:highlight w:val="none"/>
          <w:lang w:val="en-US"/>
        </w:rPr>
        <w:t>社会效益（满分</w:t>
      </w:r>
      <w:r>
        <w:rPr>
          <w:rFonts w:hint="eastAsia" w:ascii="仿宋" w:hAnsi="仿宋" w:eastAsia="仿宋" w:cs="仿宋"/>
          <w:b/>
          <w:bCs/>
          <w:sz w:val="28"/>
          <w:szCs w:val="28"/>
          <w:highlight w:val="none"/>
          <w:lang w:val="en-US" w:eastAsia="zh-CN"/>
        </w:rPr>
        <w:t>21</w:t>
      </w:r>
      <w:r>
        <w:rPr>
          <w:rFonts w:hint="eastAsia" w:ascii="仿宋" w:hAnsi="仿宋" w:eastAsia="仿宋" w:cs="仿宋"/>
          <w:b/>
          <w:bCs/>
          <w:sz w:val="28"/>
          <w:szCs w:val="28"/>
          <w:highlight w:val="none"/>
          <w:lang w:val="en-US"/>
        </w:rPr>
        <w:t>分，得分</w:t>
      </w:r>
      <w:r>
        <w:rPr>
          <w:rFonts w:hint="eastAsia" w:ascii="仿宋" w:hAnsi="仿宋" w:eastAsia="仿宋" w:cs="仿宋"/>
          <w:b/>
          <w:bCs/>
          <w:sz w:val="28"/>
          <w:szCs w:val="28"/>
          <w:highlight w:val="none"/>
          <w:lang w:val="en-US" w:eastAsia="zh-CN"/>
        </w:rPr>
        <w:t>21</w:t>
      </w:r>
      <w:r>
        <w:rPr>
          <w:rFonts w:hint="eastAsia" w:ascii="仿宋" w:hAnsi="仿宋" w:eastAsia="仿宋" w:cs="仿宋"/>
          <w:b/>
          <w:bCs/>
          <w:sz w:val="28"/>
          <w:szCs w:val="28"/>
          <w:highlight w:val="none"/>
          <w:lang w:val="en-US"/>
        </w:rPr>
        <w:t xml:space="preserve">分） </w:t>
      </w:r>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①维护</w:t>
      </w:r>
      <w:r>
        <w:rPr>
          <w:rFonts w:hint="eastAsia" w:ascii="仿宋" w:hAnsi="仿宋" w:eastAsia="仿宋" w:cs="仿宋"/>
          <w:sz w:val="28"/>
          <w:szCs w:val="28"/>
          <w:highlight w:val="none"/>
          <w:lang w:val="en-US"/>
        </w:rPr>
        <w:t>市容</w:t>
      </w:r>
      <w:r>
        <w:rPr>
          <w:rFonts w:hint="eastAsia" w:ascii="仿宋" w:hAnsi="仿宋" w:eastAsia="仿宋" w:cs="仿宋"/>
          <w:sz w:val="28"/>
          <w:szCs w:val="28"/>
          <w:highlight w:val="none"/>
          <w:lang w:val="en-US" w:eastAsia="zh-CN"/>
        </w:rPr>
        <w:t>干净整洁</w:t>
      </w:r>
      <w:r>
        <w:rPr>
          <w:rFonts w:hint="eastAsia" w:ascii="仿宋" w:hAnsi="仿宋" w:eastAsia="仿宋" w:cs="仿宋"/>
          <w:sz w:val="28"/>
          <w:szCs w:val="28"/>
          <w:highlight w:val="none"/>
          <w:lang w:val="en-US"/>
        </w:rPr>
        <w:t>：</w:t>
      </w:r>
      <w:r>
        <w:rPr>
          <w:rFonts w:hint="eastAsia" w:ascii="仿宋" w:hAnsi="仿宋" w:eastAsia="仿宋" w:cs="仿宋"/>
          <w:sz w:val="28"/>
          <w:szCs w:val="28"/>
          <w:highlight w:val="none"/>
          <w:lang w:val="en-US" w:eastAsia="zh-CN"/>
        </w:rPr>
        <w:t>通过对环卫服务一体化的外包方提供的县城相关区域的</w:t>
      </w:r>
      <w:r>
        <w:rPr>
          <w:rFonts w:hint="eastAsia" w:ascii="仿宋" w:hAnsi="仿宋" w:eastAsia="仿宋" w:cs="仿宋"/>
          <w:sz w:val="28"/>
          <w:szCs w:val="28"/>
          <w:highlight w:val="none"/>
          <w:lang w:val="en-US"/>
        </w:rPr>
        <w:t>清扫保洁</w:t>
      </w:r>
      <w:r>
        <w:rPr>
          <w:rFonts w:hint="eastAsia" w:ascii="仿宋" w:hAnsi="仿宋" w:eastAsia="仿宋" w:cs="仿宋"/>
          <w:sz w:val="28"/>
          <w:szCs w:val="28"/>
          <w:highlight w:val="none"/>
          <w:lang w:val="en-US" w:eastAsia="zh-CN"/>
        </w:rPr>
        <w:t>、垃圾收运等项服务的日常监管；开展</w:t>
      </w:r>
      <w:r>
        <w:rPr>
          <w:rFonts w:hint="eastAsia" w:ascii="仿宋" w:hAnsi="仿宋" w:eastAsia="仿宋" w:cs="仿宋"/>
          <w:sz w:val="28"/>
          <w:szCs w:val="28"/>
          <w:highlight w:val="none"/>
          <w:lang w:val="en-US"/>
        </w:rPr>
        <w:t>环境卫生巡查</w:t>
      </w:r>
      <w:r>
        <w:rPr>
          <w:rFonts w:hint="eastAsia" w:ascii="仿宋" w:hAnsi="仿宋" w:eastAsia="仿宋" w:cs="仿宋"/>
          <w:sz w:val="28"/>
          <w:szCs w:val="28"/>
          <w:highlight w:val="none"/>
          <w:lang w:val="en-US" w:eastAsia="zh-CN"/>
        </w:rPr>
        <w:t>、施工场所的渣土管理、“控违拆违”专项行动、</w:t>
      </w:r>
      <w:r>
        <w:rPr>
          <w:rFonts w:hint="eastAsia" w:ascii="仿宋" w:hAnsi="仿宋" w:eastAsia="仿宋" w:cs="仿宋"/>
          <w:sz w:val="28"/>
          <w:szCs w:val="28"/>
        </w:rPr>
        <w:t>严抓</w:t>
      </w:r>
      <w:r>
        <w:rPr>
          <w:rFonts w:hint="eastAsia" w:ascii="仿宋" w:hAnsi="仿宋" w:eastAsia="仿宋" w:cs="仿宋"/>
          <w:sz w:val="28"/>
          <w:szCs w:val="28"/>
          <w:lang w:val="en-US" w:eastAsia="zh-CN"/>
        </w:rPr>
        <w:t>违规倾倒建筑垃圾等履职行为，</w:t>
      </w:r>
      <w:r>
        <w:rPr>
          <w:rFonts w:hint="eastAsia" w:ascii="仿宋" w:hAnsi="仿宋" w:eastAsia="仿宋" w:cs="仿宋"/>
          <w:sz w:val="28"/>
          <w:szCs w:val="28"/>
          <w:highlight w:val="none"/>
          <w:lang w:val="en-US"/>
        </w:rPr>
        <w:t>使</w:t>
      </w:r>
      <w:r>
        <w:rPr>
          <w:rFonts w:hint="eastAsia" w:ascii="仿宋" w:hAnsi="仿宋" w:eastAsia="仿宋" w:cs="仿宋"/>
          <w:sz w:val="28"/>
          <w:szCs w:val="28"/>
          <w:lang w:val="en-US" w:eastAsia="zh-CN"/>
        </w:rPr>
        <w:t>衡南县县城</w:t>
      </w:r>
      <w:r>
        <w:rPr>
          <w:rFonts w:hint="eastAsia" w:ascii="仿宋" w:hAnsi="仿宋" w:eastAsia="仿宋" w:cs="仿宋"/>
          <w:sz w:val="28"/>
          <w:szCs w:val="28"/>
          <w:highlight w:val="none"/>
          <w:lang w:val="en-US"/>
        </w:rPr>
        <w:t>环境保持</w:t>
      </w:r>
      <w:r>
        <w:rPr>
          <w:rFonts w:hint="eastAsia" w:ascii="仿宋" w:hAnsi="仿宋" w:eastAsia="仿宋" w:cs="仿宋"/>
          <w:sz w:val="28"/>
          <w:szCs w:val="28"/>
          <w:lang w:val="en-US" w:eastAsia="zh-CN"/>
        </w:rPr>
        <w:t>干净整洁。</w:t>
      </w:r>
    </w:p>
    <w:p>
      <w:pPr>
        <w:pStyle w:val="3"/>
        <w:spacing w:line="620" w:lineRule="exact"/>
        <w:ind w:left="0" w:firstLine="560" w:firstLineChars="200"/>
        <w:jc w:val="both"/>
        <w:rPr>
          <w:rFonts w:hint="eastAsia" w:ascii="仿宋" w:hAnsi="仿宋" w:eastAsia="仿宋" w:cs="仿宋"/>
          <w:sz w:val="28"/>
          <w:szCs w:val="28"/>
          <w:highlight w:val="none"/>
          <w:lang w:val="en-US"/>
        </w:rPr>
      </w:pPr>
      <w:r>
        <w:rPr>
          <w:rFonts w:hint="eastAsia" w:ascii="仿宋" w:hAnsi="仿宋" w:eastAsia="仿宋" w:cs="仿宋"/>
          <w:sz w:val="28"/>
          <w:szCs w:val="28"/>
          <w:highlight w:val="none"/>
          <w:lang w:val="en-US"/>
        </w:rPr>
        <w:t>②</w:t>
      </w:r>
      <w:r>
        <w:rPr>
          <w:rFonts w:hint="eastAsia" w:ascii="仿宋" w:hAnsi="仿宋" w:eastAsia="仿宋" w:cs="仿宋"/>
          <w:sz w:val="28"/>
          <w:szCs w:val="28"/>
          <w:highlight w:val="none"/>
          <w:lang w:val="en-US" w:eastAsia="zh-CN"/>
        </w:rPr>
        <w:t>规范</w:t>
      </w:r>
      <w:r>
        <w:rPr>
          <w:rFonts w:hint="eastAsia" w:ascii="仿宋" w:hAnsi="仿宋" w:eastAsia="仿宋" w:cs="仿宋"/>
          <w:sz w:val="28"/>
          <w:szCs w:val="28"/>
          <w:highlight w:val="none"/>
          <w:lang w:val="en-US"/>
        </w:rPr>
        <w:t>户外经营：</w:t>
      </w:r>
      <w:r>
        <w:rPr>
          <w:rFonts w:hint="eastAsia" w:ascii="仿宋" w:hAnsi="仿宋" w:eastAsia="仿宋" w:cs="仿宋"/>
          <w:sz w:val="28"/>
          <w:szCs w:val="28"/>
          <w:highlight w:val="none"/>
          <w:lang w:val="en-US" w:eastAsia="zh-CN"/>
        </w:rPr>
        <w:t>对小摊小贩进行教育为主批评警告为辅的规范户外经营行动，户外经营行为不占压盲道、不占用消防通道、不影响行人通行、不噪声扰民、不污染环境、不影响交通安全；其次县城管局有采取指定区域、指定时间，合理布局、科学设置摊区、摊位和店外促销路段，使得摊位小贩整齐整洁经营</w:t>
      </w:r>
      <w:r>
        <w:rPr>
          <w:rFonts w:hint="eastAsia" w:ascii="仿宋" w:hAnsi="仿宋" w:eastAsia="仿宋" w:cs="仿宋"/>
          <w:sz w:val="28"/>
          <w:szCs w:val="28"/>
          <w:highlight w:val="none"/>
          <w:lang w:val="en-US"/>
        </w:rPr>
        <w:t>。在户外经营行为规范化方面，效果较明显。</w:t>
      </w:r>
    </w:p>
    <w:p>
      <w:pPr>
        <w:pStyle w:val="3"/>
        <w:spacing w:line="620" w:lineRule="exact"/>
        <w:ind w:left="0" w:firstLine="560" w:firstLineChars="200"/>
        <w:jc w:val="both"/>
        <w:rPr>
          <w:rFonts w:hint="eastAsia" w:ascii="仿宋" w:hAnsi="仿宋" w:eastAsia="仿宋" w:cs="仿宋"/>
          <w:sz w:val="28"/>
          <w:szCs w:val="28"/>
          <w:highlight w:val="none"/>
          <w:lang w:val="en-US"/>
        </w:rPr>
      </w:pPr>
      <w:r>
        <w:rPr>
          <w:rFonts w:hint="eastAsia" w:ascii="仿宋" w:hAnsi="仿宋" w:eastAsia="仿宋" w:cs="仿宋"/>
          <w:sz w:val="28"/>
          <w:szCs w:val="28"/>
          <w:highlight w:val="none"/>
          <w:lang w:val="en-US"/>
        </w:rPr>
        <w:t>③</w:t>
      </w:r>
      <w:r>
        <w:rPr>
          <w:rFonts w:hint="eastAsia" w:ascii="仿宋" w:hAnsi="仿宋" w:eastAsia="仿宋" w:cs="仿宋"/>
          <w:sz w:val="28"/>
          <w:szCs w:val="28"/>
          <w:highlight w:val="none"/>
          <w:lang w:val="en-US" w:eastAsia="zh-CN"/>
        </w:rPr>
        <w:t>规范车辆</w:t>
      </w:r>
      <w:r>
        <w:rPr>
          <w:rFonts w:hint="eastAsia" w:ascii="仿宋" w:hAnsi="仿宋" w:eastAsia="仿宋" w:cs="仿宋"/>
          <w:sz w:val="28"/>
          <w:szCs w:val="28"/>
          <w:highlight w:val="none"/>
          <w:lang w:val="en-US"/>
        </w:rPr>
        <w:t>停</w:t>
      </w:r>
      <w:r>
        <w:rPr>
          <w:rFonts w:hint="eastAsia" w:ascii="仿宋" w:hAnsi="仿宋" w:eastAsia="仿宋" w:cs="仿宋"/>
          <w:sz w:val="28"/>
          <w:szCs w:val="28"/>
          <w:highlight w:val="none"/>
          <w:lang w:val="en-US" w:eastAsia="zh-CN"/>
        </w:rPr>
        <w:t>放</w:t>
      </w:r>
      <w:r>
        <w:rPr>
          <w:rFonts w:hint="eastAsia" w:ascii="仿宋" w:hAnsi="仿宋" w:eastAsia="仿宋" w:cs="仿宋"/>
          <w:sz w:val="28"/>
          <w:szCs w:val="28"/>
          <w:highlight w:val="none"/>
          <w:lang w:val="en-US"/>
        </w:rPr>
        <w:t>：配备车辆、油漆等物品，循环县城区学校周边、农贸市场附近人行道两侧，</w:t>
      </w:r>
      <w:r>
        <w:rPr>
          <w:rFonts w:hint="eastAsia" w:ascii="仿宋" w:hAnsi="仿宋" w:eastAsia="仿宋" w:cs="仿宋"/>
          <w:sz w:val="28"/>
          <w:szCs w:val="28"/>
          <w:highlight w:val="none"/>
          <w:lang w:val="en-US" w:eastAsia="zh-CN"/>
        </w:rPr>
        <w:t>及时</w:t>
      </w:r>
      <w:r>
        <w:rPr>
          <w:rFonts w:hint="eastAsia" w:ascii="仿宋" w:hAnsi="仿宋" w:eastAsia="仿宋" w:cs="仿宋"/>
          <w:sz w:val="28"/>
          <w:szCs w:val="28"/>
          <w:highlight w:val="none"/>
          <w:lang w:val="en-US"/>
        </w:rPr>
        <w:t>施划非机动车停车标线，方便广大居民有序停车</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val="en-US"/>
        </w:rPr>
        <w:t>在</w:t>
      </w:r>
      <w:r>
        <w:rPr>
          <w:rFonts w:hint="eastAsia" w:ascii="仿宋" w:hAnsi="仿宋" w:eastAsia="仿宋" w:cs="仿宋"/>
          <w:sz w:val="28"/>
          <w:szCs w:val="28"/>
          <w:highlight w:val="none"/>
          <w:lang w:val="en-US" w:eastAsia="zh-CN"/>
        </w:rPr>
        <w:t>对县城人行道上乱停乱放</w:t>
      </w:r>
      <w:r>
        <w:rPr>
          <w:rFonts w:hint="eastAsia" w:ascii="仿宋" w:hAnsi="仿宋" w:eastAsia="仿宋" w:cs="仿宋"/>
          <w:sz w:val="28"/>
          <w:szCs w:val="28"/>
          <w:highlight w:val="none"/>
          <w:lang w:val="en-US"/>
        </w:rPr>
        <w:t>方面，</w:t>
      </w:r>
      <w:r>
        <w:rPr>
          <w:rFonts w:hint="eastAsia" w:ascii="仿宋" w:hAnsi="仿宋" w:eastAsia="仿宋" w:cs="仿宋"/>
          <w:sz w:val="28"/>
          <w:szCs w:val="28"/>
          <w:highlight w:val="none"/>
          <w:lang w:val="en-US" w:eastAsia="zh-CN"/>
        </w:rPr>
        <w:t>治理</w:t>
      </w:r>
      <w:r>
        <w:rPr>
          <w:rFonts w:hint="eastAsia" w:ascii="仿宋" w:hAnsi="仿宋" w:eastAsia="仿宋" w:cs="仿宋"/>
          <w:sz w:val="28"/>
          <w:szCs w:val="28"/>
          <w:highlight w:val="none"/>
          <w:lang w:val="en-US"/>
        </w:rPr>
        <w:t>效果较明显。</w:t>
      </w:r>
    </w:p>
    <w:p>
      <w:pPr>
        <w:pStyle w:val="3"/>
        <w:spacing w:line="620" w:lineRule="exact"/>
        <w:ind w:left="0" w:firstLine="560" w:firstLineChars="200"/>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fldChar w:fldCharType="begin"/>
      </w:r>
      <w:r>
        <w:rPr>
          <w:rFonts w:hint="eastAsia" w:ascii="仿宋" w:hAnsi="仿宋" w:eastAsia="仿宋" w:cs="仿宋"/>
          <w:sz w:val="28"/>
          <w:szCs w:val="28"/>
          <w:highlight w:val="none"/>
          <w:lang w:val="en-US" w:eastAsia="zh-CN"/>
        </w:rPr>
        <w:instrText xml:space="preserve"> = 4 \* GB3 \* MERGEFORMAT </w:instrText>
      </w:r>
      <w:r>
        <w:rPr>
          <w:rFonts w:hint="eastAsia" w:ascii="仿宋" w:hAnsi="仿宋" w:eastAsia="仿宋" w:cs="仿宋"/>
          <w:sz w:val="28"/>
          <w:szCs w:val="28"/>
          <w:highlight w:val="none"/>
          <w:lang w:val="en-US" w:eastAsia="zh-CN"/>
        </w:rPr>
        <w:fldChar w:fldCharType="separate"/>
      </w:r>
      <w:r>
        <w:rPr>
          <w:rFonts w:hint="eastAsia" w:ascii="仿宋" w:hAnsi="仿宋" w:eastAsia="仿宋" w:cs="仿宋"/>
          <w:sz w:val="28"/>
          <w:szCs w:val="28"/>
        </w:rPr>
        <w:t>④</w:t>
      </w:r>
      <w:r>
        <w:rPr>
          <w:rFonts w:hint="eastAsia" w:ascii="仿宋" w:hAnsi="仿宋" w:eastAsia="仿宋" w:cs="仿宋"/>
          <w:sz w:val="28"/>
          <w:szCs w:val="28"/>
          <w:highlight w:val="none"/>
          <w:lang w:val="en-US" w:eastAsia="zh-CN"/>
        </w:rPr>
        <w:fldChar w:fldCharType="end"/>
      </w:r>
      <w:r>
        <w:rPr>
          <w:rFonts w:hint="eastAsia" w:ascii="仿宋" w:hAnsi="仿宋" w:eastAsia="仿宋" w:cs="仿宋"/>
          <w:sz w:val="28"/>
          <w:szCs w:val="28"/>
          <w:highlight w:val="none"/>
          <w:lang w:val="en-US" w:eastAsia="zh-CN"/>
        </w:rPr>
        <w:t>提升城市形象</w:t>
      </w:r>
      <w:r>
        <w:rPr>
          <w:rFonts w:hint="eastAsia" w:ascii="仿宋" w:hAnsi="仿宋" w:eastAsia="仿宋" w:cs="仿宋"/>
          <w:sz w:val="28"/>
          <w:szCs w:val="28"/>
          <w:highlight w:val="none"/>
          <w:lang w:val="en-US"/>
        </w:rPr>
        <w:t>：</w:t>
      </w:r>
      <w:r>
        <w:rPr>
          <w:rFonts w:hint="eastAsia" w:ascii="仿宋" w:hAnsi="仿宋" w:eastAsia="仿宋" w:cs="仿宋"/>
          <w:sz w:val="28"/>
          <w:szCs w:val="28"/>
          <w:highlight w:val="none"/>
          <w:lang w:val="en-US" w:eastAsia="zh-CN"/>
        </w:rPr>
        <w:t>完成省住建厅、省环保厅交办的县生活垃圾填埋场13个环境问题及</w:t>
      </w:r>
      <w:r>
        <w:rPr>
          <w:rFonts w:hint="eastAsia" w:ascii="仿宋" w:hAnsi="仿宋" w:eastAsia="仿宋" w:cs="仿宋"/>
          <w:spacing w:val="0"/>
          <w:sz w:val="28"/>
          <w:szCs w:val="28"/>
          <w:highlight w:val="none"/>
          <w:lang w:val="en-US" w:eastAsia="zh-CN"/>
        </w:rPr>
        <w:t>2021年中央第二轮生态环境环保督察交办的第18批信X2HN202104230087号信访件整改销号工作，</w:t>
      </w:r>
      <w:r>
        <w:rPr>
          <w:rFonts w:hint="eastAsia" w:ascii="仿宋" w:hAnsi="仿宋" w:eastAsia="仿宋" w:cs="仿宋"/>
          <w:sz w:val="28"/>
          <w:szCs w:val="28"/>
          <w:highlight w:val="none"/>
          <w:lang w:val="en-US" w:eastAsia="zh-CN"/>
        </w:rPr>
        <w:t>组织城管志愿者开展包路段、文明交通劝导等活动。</w:t>
      </w:r>
    </w:p>
    <w:p>
      <w:pPr>
        <w:pStyle w:val="3"/>
        <w:spacing w:line="620" w:lineRule="exact"/>
        <w:ind w:left="0" w:firstLine="562" w:firstLineChars="200"/>
        <w:jc w:val="both"/>
        <w:rPr>
          <w:rFonts w:hint="default"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（3）</w:t>
      </w:r>
      <w:r>
        <w:rPr>
          <w:rFonts w:hint="default" w:ascii="仿宋" w:hAnsi="仿宋" w:eastAsia="仿宋" w:cs="仿宋"/>
          <w:b/>
          <w:bCs/>
          <w:sz w:val="28"/>
          <w:szCs w:val="28"/>
          <w:highlight w:val="none"/>
          <w:lang w:val="en-US" w:eastAsia="zh-CN"/>
        </w:rPr>
        <w:t>生态效益（满分</w:t>
      </w:r>
      <w:r>
        <w:rPr>
          <w:rFonts w:hint="eastAsia" w:ascii="仿宋" w:hAnsi="仿宋" w:eastAsia="仿宋" w:cs="仿宋"/>
          <w:b/>
          <w:bCs/>
          <w:sz w:val="28"/>
          <w:szCs w:val="28"/>
          <w:highlight w:val="none"/>
          <w:lang w:val="en-US" w:eastAsia="zh-CN"/>
        </w:rPr>
        <w:t>7</w:t>
      </w:r>
      <w:r>
        <w:rPr>
          <w:rFonts w:hint="default" w:ascii="仿宋" w:hAnsi="仿宋" w:eastAsia="仿宋" w:cs="仿宋"/>
          <w:b/>
          <w:bCs/>
          <w:sz w:val="28"/>
          <w:szCs w:val="28"/>
          <w:highlight w:val="none"/>
          <w:lang w:val="en-US" w:eastAsia="zh-CN"/>
        </w:rPr>
        <w:t>分，得分</w:t>
      </w:r>
      <w:r>
        <w:rPr>
          <w:rFonts w:hint="eastAsia" w:ascii="仿宋" w:hAnsi="仿宋" w:eastAsia="仿宋" w:cs="仿宋"/>
          <w:b/>
          <w:bCs/>
          <w:sz w:val="28"/>
          <w:szCs w:val="28"/>
          <w:highlight w:val="none"/>
          <w:lang w:val="en-US" w:eastAsia="zh-CN"/>
        </w:rPr>
        <w:t>6</w:t>
      </w:r>
      <w:r>
        <w:rPr>
          <w:rFonts w:hint="default" w:ascii="仿宋" w:hAnsi="仿宋" w:eastAsia="仿宋" w:cs="仿宋"/>
          <w:b/>
          <w:bCs/>
          <w:sz w:val="28"/>
          <w:szCs w:val="28"/>
          <w:highlight w:val="none"/>
          <w:lang w:val="en-US" w:eastAsia="zh-CN"/>
        </w:rPr>
        <w:t xml:space="preserve">分） </w:t>
      </w:r>
    </w:p>
    <w:p>
      <w:pPr>
        <w:pStyle w:val="3"/>
        <w:spacing w:line="620" w:lineRule="exact"/>
        <w:ind w:left="0" w:firstLine="560" w:firstLineChars="200"/>
        <w:jc w:val="both"/>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①</w:t>
      </w:r>
      <w:r>
        <w:rPr>
          <w:rFonts w:hint="eastAsia" w:ascii="仿宋" w:hAnsi="仿宋" w:eastAsia="仿宋" w:cs="仿宋"/>
          <w:sz w:val="28"/>
          <w:szCs w:val="28"/>
          <w:highlight w:val="none"/>
          <w:lang w:val="en-US" w:eastAsia="zh-CN"/>
        </w:rPr>
        <w:t>建成区绿化覆盖率</w:t>
      </w:r>
      <w:r>
        <w:rPr>
          <w:rFonts w:hint="default" w:ascii="仿宋" w:hAnsi="仿宋" w:eastAsia="仿宋" w:cs="仿宋"/>
          <w:sz w:val="28"/>
          <w:szCs w:val="28"/>
          <w:highlight w:val="none"/>
          <w:lang w:val="en-US" w:eastAsia="zh-CN"/>
        </w:rPr>
        <w:t>：及时对周边树木进行修剪整形，每周专人进行绿化巡查，查处损绿、毁绿行为，保护生态环境，效果较为明显。</w:t>
      </w:r>
    </w:p>
    <w:p>
      <w:pPr>
        <w:pStyle w:val="3"/>
        <w:spacing w:line="620" w:lineRule="exact"/>
        <w:ind w:left="0" w:firstLine="560" w:firstLineChars="200"/>
        <w:jc w:val="both"/>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②垃圾焚烧发电，实现资源循环利用：引入社会合作方，实施生活垃圾无害化处理</w:t>
      </w:r>
      <w:r>
        <w:rPr>
          <w:rFonts w:hint="eastAsia" w:ascii="仿宋" w:hAnsi="仿宋" w:eastAsia="仿宋" w:cs="仿宋"/>
          <w:sz w:val="28"/>
          <w:szCs w:val="28"/>
          <w:highlight w:val="none"/>
          <w:lang w:val="en-US" w:eastAsia="zh-CN"/>
        </w:rPr>
        <w:t>，</w:t>
      </w:r>
      <w:r>
        <w:rPr>
          <w:rFonts w:hint="default" w:ascii="仿宋" w:hAnsi="仿宋" w:eastAsia="仿宋" w:cs="仿宋"/>
          <w:sz w:val="28"/>
          <w:szCs w:val="28"/>
          <w:highlight w:val="none"/>
          <w:lang w:val="en-US" w:eastAsia="zh-CN"/>
        </w:rPr>
        <w:t>保护了生态环境，实现资源的循环利用。</w:t>
      </w:r>
    </w:p>
    <w:p>
      <w:pPr>
        <w:pStyle w:val="3"/>
        <w:spacing w:line="620" w:lineRule="exact"/>
        <w:ind w:left="0" w:firstLine="562" w:firstLineChars="200"/>
        <w:jc w:val="both"/>
        <w:rPr>
          <w:rFonts w:hint="eastAsia" w:ascii="仿宋" w:hAnsi="仿宋" w:eastAsia="仿宋" w:cs="仿宋"/>
          <w:b/>
          <w:bCs/>
          <w:kern w:val="2"/>
          <w:sz w:val="28"/>
          <w:szCs w:val="28"/>
          <w:lang w:val="en-US" w:bidi="ar-SA"/>
        </w:rPr>
      </w:pPr>
      <w:r>
        <w:rPr>
          <w:rFonts w:hint="eastAsia" w:ascii="仿宋" w:hAnsi="仿宋" w:eastAsia="仿宋" w:cs="仿宋"/>
          <w:b/>
          <w:bCs/>
          <w:sz w:val="28"/>
          <w:szCs w:val="28"/>
          <w:lang w:val="en-US"/>
        </w:rPr>
        <w:t>小结：“</w:t>
      </w:r>
      <w:r>
        <w:rPr>
          <w:rFonts w:hint="eastAsia" w:ascii="仿宋" w:hAnsi="仿宋" w:eastAsia="仿宋" w:cs="仿宋"/>
          <w:b/>
          <w:bCs/>
          <w:sz w:val="28"/>
          <w:szCs w:val="28"/>
          <w:lang w:val="en-US" w:eastAsia="zh-CN"/>
        </w:rPr>
        <w:t>效益指标</w:t>
      </w:r>
      <w:r>
        <w:rPr>
          <w:rFonts w:hint="eastAsia" w:ascii="仿宋" w:hAnsi="仿宋" w:eastAsia="仿宋" w:cs="仿宋"/>
          <w:b/>
          <w:bCs/>
          <w:sz w:val="28"/>
          <w:szCs w:val="28"/>
          <w:lang w:val="en-US"/>
        </w:rPr>
        <w:t>”维度，满分</w:t>
      </w:r>
      <w:r>
        <w:rPr>
          <w:rFonts w:hint="eastAsia" w:ascii="仿宋" w:hAnsi="仿宋" w:eastAsia="仿宋" w:cs="仿宋"/>
          <w:b/>
          <w:bCs/>
          <w:sz w:val="28"/>
          <w:szCs w:val="28"/>
          <w:lang w:val="en-US" w:eastAsia="zh-CN"/>
        </w:rPr>
        <w:t>31</w:t>
      </w:r>
      <w:r>
        <w:rPr>
          <w:rFonts w:hint="eastAsia" w:ascii="仿宋" w:hAnsi="仿宋" w:eastAsia="仿宋" w:cs="仿宋"/>
          <w:b/>
          <w:bCs/>
          <w:sz w:val="28"/>
          <w:szCs w:val="28"/>
          <w:lang w:val="en-US"/>
        </w:rPr>
        <w:t>分，实际得分</w:t>
      </w:r>
      <w:r>
        <w:rPr>
          <w:rFonts w:hint="eastAsia" w:ascii="仿宋" w:hAnsi="仿宋" w:eastAsia="仿宋" w:cs="仿宋"/>
          <w:b/>
          <w:bCs/>
          <w:sz w:val="28"/>
          <w:szCs w:val="28"/>
          <w:lang w:val="en-US" w:eastAsia="zh-CN"/>
        </w:rPr>
        <w:t>30</w:t>
      </w:r>
      <w:r>
        <w:rPr>
          <w:rFonts w:hint="eastAsia" w:ascii="仿宋" w:hAnsi="仿宋" w:eastAsia="仿宋" w:cs="仿宋"/>
          <w:b/>
          <w:bCs/>
          <w:sz w:val="28"/>
          <w:szCs w:val="28"/>
          <w:lang w:val="en-US"/>
        </w:rPr>
        <w:t>分。</w:t>
      </w:r>
      <w:bookmarkStart w:id="12" w:name="_Toc22405"/>
    </w:p>
    <w:bookmarkEnd w:id="12"/>
    <w:p>
      <w:pPr>
        <w:pStyle w:val="3"/>
        <w:numPr>
          <w:numId w:val="0"/>
        </w:numPr>
        <w:spacing w:line="620" w:lineRule="exact"/>
        <w:ind w:leftChars="200"/>
        <w:jc w:val="both"/>
        <w:rPr>
          <w:rFonts w:hint="eastAsia" w:ascii="仿宋" w:hAnsi="仿宋" w:eastAsia="仿宋" w:cs="仿宋"/>
          <w:b/>
          <w:bCs/>
          <w:sz w:val="28"/>
          <w:szCs w:val="28"/>
          <w:highlight w:val="none"/>
          <w:lang w:val="en-US"/>
        </w:rPr>
      </w:pPr>
      <w:r>
        <w:rPr>
          <w:rFonts w:hint="eastAsia" w:ascii="仿宋" w:hAnsi="仿宋" w:eastAsia="仿宋" w:cs="仿宋"/>
          <w:b/>
          <w:bCs/>
          <w:sz w:val="28"/>
          <w:szCs w:val="28"/>
          <w:highlight w:val="none"/>
          <w:lang w:val="en-US" w:eastAsia="zh-CN"/>
        </w:rPr>
        <w:t>三、</w:t>
      </w:r>
      <w:r>
        <w:rPr>
          <w:rFonts w:hint="eastAsia" w:ascii="仿宋" w:hAnsi="仿宋" w:eastAsia="仿宋" w:cs="仿宋"/>
          <w:b/>
          <w:bCs/>
          <w:sz w:val="28"/>
          <w:szCs w:val="28"/>
          <w:highlight w:val="none"/>
          <w:lang w:val="en-US"/>
        </w:rPr>
        <w:t>满意度</w:t>
      </w:r>
      <w:r>
        <w:rPr>
          <w:rFonts w:hint="eastAsia" w:ascii="仿宋" w:hAnsi="仿宋" w:eastAsia="仿宋" w:cs="仿宋"/>
          <w:b/>
          <w:bCs/>
          <w:sz w:val="28"/>
          <w:szCs w:val="28"/>
          <w:highlight w:val="none"/>
          <w:lang w:val="en-US" w:eastAsia="zh-CN"/>
        </w:rPr>
        <w:t>指标</w:t>
      </w:r>
      <w:r>
        <w:rPr>
          <w:rFonts w:hint="eastAsia" w:ascii="仿宋" w:hAnsi="仿宋" w:eastAsia="仿宋" w:cs="仿宋"/>
          <w:b/>
          <w:bCs/>
          <w:sz w:val="28"/>
          <w:szCs w:val="28"/>
          <w:highlight w:val="none"/>
          <w:lang w:val="en-US"/>
        </w:rPr>
        <w:t>（满分</w:t>
      </w:r>
      <w:r>
        <w:rPr>
          <w:rFonts w:hint="eastAsia" w:ascii="仿宋" w:hAnsi="仿宋" w:eastAsia="仿宋" w:cs="仿宋"/>
          <w:b/>
          <w:bCs/>
          <w:sz w:val="28"/>
          <w:szCs w:val="28"/>
          <w:highlight w:val="none"/>
          <w:lang w:val="en-US" w:eastAsia="zh-CN"/>
        </w:rPr>
        <w:t>5</w:t>
      </w:r>
      <w:r>
        <w:rPr>
          <w:rFonts w:hint="eastAsia" w:ascii="仿宋" w:hAnsi="仿宋" w:eastAsia="仿宋" w:cs="仿宋"/>
          <w:b/>
          <w:bCs/>
          <w:sz w:val="28"/>
          <w:szCs w:val="28"/>
          <w:highlight w:val="none"/>
          <w:lang w:val="en-US"/>
        </w:rPr>
        <w:t>分，得分</w:t>
      </w:r>
      <w:r>
        <w:rPr>
          <w:rFonts w:hint="eastAsia" w:ascii="仿宋" w:hAnsi="仿宋" w:eastAsia="仿宋" w:cs="仿宋"/>
          <w:b/>
          <w:bCs/>
          <w:sz w:val="28"/>
          <w:szCs w:val="28"/>
          <w:highlight w:val="none"/>
          <w:lang w:val="en-US" w:eastAsia="zh-CN"/>
        </w:rPr>
        <w:t>5</w:t>
      </w:r>
      <w:r>
        <w:rPr>
          <w:rFonts w:hint="eastAsia" w:ascii="仿宋" w:hAnsi="仿宋" w:eastAsia="仿宋" w:cs="仿宋"/>
          <w:b/>
          <w:bCs/>
          <w:sz w:val="28"/>
          <w:szCs w:val="28"/>
          <w:highlight w:val="none"/>
          <w:lang w:val="en-US"/>
        </w:rPr>
        <w:t>分）</w:t>
      </w:r>
    </w:p>
    <w:p>
      <w:pPr>
        <w:pStyle w:val="3"/>
        <w:spacing w:line="620" w:lineRule="exact"/>
        <w:ind w:left="0" w:firstLine="640" w:firstLineChars="200"/>
        <w:jc w:val="both"/>
        <w:rPr>
          <w:rFonts w:hint="default" w:ascii="仿宋" w:hAnsi="仿宋" w:eastAsia="仿宋" w:cs="仿宋"/>
          <w:b/>
          <w:bCs/>
          <w:sz w:val="28"/>
          <w:szCs w:val="28"/>
          <w:highlight w:val="none"/>
          <w:lang w:val="en-US" w:eastAsia="zh-CN"/>
        </w:rPr>
      </w:pPr>
      <w:r>
        <w:rPr>
          <w:rFonts w:hint="eastAsia"/>
          <w:lang w:val="en-US" w:eastAsia="zh-CN"/>
        </w:rPr>
        <w:t xml:space="preserve"> （</w:t>
      </w:r>
      <w:r>
        <w:rPr>
          <w:rFonts w:hint="eastAsia" w:ascii="仿宋" w:hAnsi="仿宋" w:eastAsia="仿宋" w:cs="仿宋"/>
          <w:b/>
          <w:bCs/>
          <w:sz w:val="28"/>
          <w:szCs w:val="28"/>
          <w:highlight w:val="none"/>
          <w:lang w:val="en-US" w:eastAsia="zh-CN"/>
        </w:rPr>
        <w:t>1）服务对象满意度</w:t>
      </w:r>
    </w:p>
    <w:p>
      <w:pPr>
        <w:pStyle w:val="3"/>
        <w:spacing w:line="620" w:lineRule="exact"/>
        <w:ind w:left="0" w:firstLine="560" w:firstLineChars="200"/>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办理人大代表建议4件、政协委员提案7件，12345市民服务热线工单1550条，信访事项13件、网络舆情27件，回复率及满意率均达100%。</w:t>
      </w:r>
    </w:p>
    <w:p>
      <w:pPr>
        <w:pStyle w:val="3"/>
        <w:tabs>
          <w:tab w:val="left" w:pos="0"/>
        </w:tabs>
        <w:spacing w:line="620" w:lineRule="exact"/>
        <w:ind w:left="0" w:leftChars="0" w:firstLine="422" w:firstLineChars="150"/>
        <w:jc w:val="both"/>
        <w:outlineLvl w:val="0"/>
        <w:rPr>
          <w:rFonts w:hint="eastAsia" w:ascii="仿宋" w:hAnsi="仿宋" w:eastAsia="仿宋" w:cs="仿宋"/>
          <w:b/>
          <w:bCs/>
          <w:sz w:val="28"/>
          <w:szCs w:val="28"/>
          <w:highlight w:val="none"/>
          <w:lang w:val="en-US" w:eastAsia="zh-CN"/>
        </w:rPr>
      </w:pPr>
      <w:bookmarkStart w:id="13" w:name="_Toc11983"/>
      <w:r>
        <w:rPr>
          <w:rFonts w:hint="eastAsia" w:ascii="仿宋" w:hAnsi="仿宋" w:eastAsia="仿宋" w:cs="仿宋"/>
          <w:b/>
          <w:bCs w:val="0"/>
          <w:sz w:val="28"/>
          <w:szCs w:val="28"/>
          <w:lang w:val="en-US" w:eastAsia="zh-CN"/>
        </w:rPr>
        <w:t>（4）</w:t>
      </w:r>
      <w:r>
        <w:rPr>
          <w:rFonts w:hint="eastAsia" w:ascii="仿宋" w:hAnsi="仿宋" w:eastAsia="仿宋" w:cs="仿宋"/>
          <w:b/>
          <w:bCs w:val="0"/>
          <w:sz w:val="28"/>
          <w:szCs w:val="28"/>
          <w:highlight w:val="none"/>
          <w:lang w:val="en-US" w:eastAsia="zh-CN"/>
        </w:rPr>
        <w:t>综合评价结</w:t>
      </w:r>
      <w:r>
        <w:rPr>
          <w:rFonts w:hint="eastAsia" w:ascii="仿宋" w:hAnsi="仿宋" w:eastAsia="仿宋" w:cs="仿宋"/>
          <w:b/>
          <w:bCs/>
          <w:sz w:val="28"/>
          <w:szCs w:val="28"/>
          <w:highlight w:val="none"/>
          <w:lang w:val="en-US" w:eastAsia="zh-CN"/>
        </w:rPr>
        <w:t>论</w:t>
      </w:r>
      <w:bookmarkEnd w:id="13"/>
    </w:p>
    <w:p>
      <w:pPr>
        <w:pStyle w:val="3"/>
        <w:spacing w:line="620" w:lineRule="exact"/>
        <w:ind w:lef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县城管</w:t>
      </w:r>
      <w:r>
        <w:rPr>
          <w:rFonts w:hint="eastAsia" w:ascii="仿宋" w:hAnsi="仿宋" w:eastAsia="仿宋" w:cs="仿宋"/>
          <w:sz w:val="28"/>
          <w:szCs w:val="28"/>
          <w:lang w:val="en-US"/>
        </w:rPr>
        <w:t>局202</w:t>
      </w:r>
      <w:r>
        <w:rPr>
          <w:rFonts w:hint="eastAsia" w:ascii="仿宋" w:hAnsi="仿宋" w:eastAsia="仿宋" w:cs="仿宋"/>
          <w:sz w:val="28"/>
          <w:szCs w:val="28"/>
          <w:lang w:val="en-US" w:eastAsia="zh-CN"/>
        </w:rPr>
        <w:t>3</w:t>
      </w:r>
      <w:r>
        <w:rPr>
          <w:rFonts w:hint="eastAsia" w:ascii="仿宋" w:hAnsi="仿宋" w:eastAsia="仿宋" w:cs="仿宋"/>
          <w:sz w:val="28"/>
          <w:szCs w:val="28"/>
          <w:lang w:val="en-US"/>
        </w:rPr>
        <w:t>年年度部门整体支出绩效评价综合评价得分为</w:t>
      </w:r>
      <w:r>
        <w:rPr>
          <w:rFonts w:hint="eastAsia" w:ascii="仿宋" w:hAnsi="仿宋" w:eastAsia="仿宋" w:cs="仿宋"/>
          <w:sz w:val="28"/>
          <w:szCs w:val="28"/>
          <w:lang w:val="en-US" w:eastAsia="zh-CN"/>
        </w:rPr>
        <w:t>96</w:t>
      </w:r>
      <w:r>
        <w:rPr>
          <w:rFonts w:hint="eastAsia" w:ascii="仿宋" w:hAnsi="仿宋" w:eastAsia="仿宋" w:cs="仿宋"/>
          <w:sz w:val="28"/>
          <w:szCs w:val="28"/>
          <w:lang w:val="en-US"/>
        </w:rPr>
        <w:t>分。其中产出</w:t>
      </w:r>
      <w:r>
        <w:rPr>
          <w:rFonts w:hint="eastAsia" w:ascii="仿宋" w:hAnsi="仿宋" w:eastAsia="仿宋" w:cs="仿宋"/>
          <w:sz w:val="28"/>
          <w:szCs w:val="28"/>
          <w:lang w:val="en-US" w:eastAsia="zh-CN"/>
        </w:rPr>
        <w:t>51</w:t>
      </w:r>
      <w:r>
        <w:rPr>
          <w:rFonts w:hint="eastAsia" w:ascii="仿宋" w:hAnsi="仿宋" w:eastAsia="仿宋" w:cs="仿宋"/>
          <w:sz w:val="28"/>
          <w:szCs w:val="28"/>
          <w:lang w:val="en-US"/>
        </w:rPr>
        <w:t>分，效</w:t>
      </w:r>
      <w:r>
        <w:rPr>
          <w:rFonts w:hint="eastAsia" w:ascii="仿宋" w:hAnsi="仿宋" w:eastAsia="仿宋" w:cs="仿宋"/>
          <w:sz w:val="28"/>
          <w:szCs w:val="28"/>
          <w:lang w:val="en-US" w:eastAsia="zh-CN"/>
        </w:rPr>
        <w:t>益30</w:t>
      </w:r>
      <w:r>
        <w:rPr>
          <w:rFonts w:hint="eastAsia" w:ascii="仿宋" w:hAnsi="仿宋" w:eastAsia="仿宋" w:cs="仿宋"/>
          <w:sz w:val="28"/>
          <w:szCs w:val="28"/>
          <w:lang w:val="en-US"/>
        </w:rPr>
        <w:t>分，</w:t>
      </w:r>
      <w:r>
        <w:rPr>
          <w:rFonts w:hint="eastAsia" w:ascii="仿宋" w:hAnsi="仿宋" w:eastAsia="仿宋" w:cs="仿宋"/>
          <w:sz w:val="28"/>
          <w:szCs w:val="28"/>
          <w:lang w:val="en-US" w:eastAsia="zh-CN"/>
        </w:rPr>
        <w:t>满意度5分，预算执行10分，</w:t>
      </w:r>
      <w:r>
        <w:rPr>
          <w:rFonts w:hint="eastAsia" w:ascii="仿宋" w:hAnsi="仿宋" w:eastAsia="仿宋" w:cs="仿宋"/>
          <w:sz w:val="28"/>
          <w:szCs w:val="28"/>
          <w:lang w:val="en-US"/>
        </w:rPr>
        <w:t>综合绩效级别为“</w:t>
      </w:r>
      <w:r>
        <w:rPr>
          <w:rFonts w:hint="eastAsia" w:ascii="仿宋" w:hAnsi="仿宋" w:eastAsia="仿宋" w:cs="仿宋"/>
          <w:sz w:val="28"/>
          <w:szCs w:val="28"/>
          <w:lang w:val="en-US" w:eastAsia="zh-CN"/>
        </w:rPr>
        <w:t>优</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w:t>
      </w:r>
    </w:p>
    <w:p>
      <w:pPr>
        <w:numPr>
          <w:ilvl w:val="0"/>
          <w:numId w:val="0"/>
        </w:numPr>
        <w:spacing w:line="560" w:lineRule="exact"/>
        <w:ind w:left="630" w:leftChars="0"/>
        <w:rPr>
          <w:rFonts w:hint="eastAsia" w:ascii="仿宋" w:hAnsi="仿宋" w:eastAsia="仿宋" w:cs="仿宋"/>
          <w:b/>
          <w:bCs/>
          <w:kern w:val="0"/>
          <w:sz w:val="28"/>
          <w:szCs w:val="28"/>
        </w:rPr>
      </w:pPr>
      <w:r>
        <w:rPr>
          <w:rFonts w:hint="eastAsia" w:ascii="仿宋" w:hAnsi="仿宋" w:eastAsia="仿宋" w:cs="仿宋"/>
          <w:b/>
          <w:bCs/>
          <w:kern w:val="0"/>
          <w:sz w:val="28"/>
          <w:szCs w:val="28"/>
          <w:lang w:val="en-US" w:eastAsia="zh-CN"/>
        </w:rPr>
        <w:t>四、</w:t>
      </w:r>
      <w:r>
        <w:rPr>
          <w:rFonts w:hint="eastAsia" w:ascii="仿宋" w:hAnsi="仿宋" w:eastAsia="仿宋" w:cs="仿宋"/>
          <w:b/>
          <w:bCs/>
          <w:kern w:val="0"/>
          <w:sz w:val="28"/>
          <w:szCs w:val="28"/>
        </w:rPr>
        <w:t>存在的主要问题</w:t>
      </w:r>
    </w:p>
    <w:p>
      <w:pPr>
        <w:keepNext w:val="0"/>
        <w:keepLines w:val="0"/>
        <w:pageBreakBefore w:val="0"/>
        <w:widowControl w:val="0"/>
        <w:numPr>
          <w:ilvl w:val="0"/>
          <w:numId w:val="0"/>
        </w:numPr>
        <w:kinsoku/>
        <w:wordWrap/>
        <w:overflowPunct/>
        <w:topLinePunct w:val="0"/>
        <w:autoSpaceDE w:val="0"/>
        <w:autoSpaceDN w:val="0"/>
        <w:bidi w:val="0"/>
        <w:adjustRightInd/>
        <w:snapToGrid w:val="0"/>
        <w:spacing w:line="62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w:t>
      </w:r>
      <w:r>
        <w:rPr>
          <w:rFonts w:hint="eastAsia" w:ascii="仿宋" w:hAnsi="仿宋" w:eastAsia="仿宋" w:cs="仿宋"/>
          <w:i w:val="0"/>
          <w:iCs w:val="0"/>
          <w:caps w:val="0"/>
          <w:spacing w:val="0"/>
          <w:sz w:val="28"/>
          <w:szCs w:val="28"/>
          <w:highlight w:val="none"/>
          <w:shd w:val="clear" w:color="auto" w:fill="FFFFFF"/>
          <w:lang w:val="en-US" w:eastAsia="zh-CN"/>
        </w:rPr>
        <w:t>城市排涝设施基础薄弱，容易出现内涝现象，</w:t>
      </w:r>
      <w:r>
        <w:rPr>
          <w:rFonts w:hint="eastAsia" w:ascii="仿宋" w:hAnsi="仿宋" w:eastAsia="仿宋" w:cs="仿宋"/>
          <w:i w:val="0"/>
          <w:iCs w:val="0"/>
          <w:caps w:val="0"/>
          <w:spacing w:val="0"/>
          <w:sz w:val="28"/>
          <w:szCs w:val="28"/>
          <w:highlight w:val="none"/>
          <w:shd w:val="clear" w:color="auto" w:fill="FFFFFF"/>
        </w:rPr>
        <w:t>影响了城市</w:t>
      </w:r>
      <w:r>
        <w:rPr>
          <w:rFonts w:hint="eastAsia" w:ascii="仿宋" w:hAnsi="仿宋" w:eastAsia="仿宋" w:cs="仿宋"/>
          <w:i w:val="0"/>
          <w:iCs w:val="0"/>
          <w:caps w:val="0"/>
          <w:spacing w:val="0"/>
          <w:sz w:val="28"/>
          <w:szCs w:val="28"/>
          <w:highlight w:val="none"/>
          <w:shd w:val="clear" w:color="auto" w:fill="FFFFFF"/>
          <w:lang w:val="en-US" w:eastAsia="zh-CN"/>
        </w:rPr>
        <w:t>总体形象；</w:t>
      </w:r>
    </w:p>
    <w:p>
      <w:pPr>
        <w:pStyle w:val="3"/>
        <w:keepNext w:val="0"/>
        <w:keepLines w:val="0"/>
        <w:pageBreakBefore w:val="0"/>
        <w:widowControl w:val="0"/>
        <w:kinsoku/>
        <w:wordWrap/>
        <w:overflowPunct/>
        <w:topLinePunct w:val="0"/>
        <w:autoSpaceDE w:val="0"/>
        <w:autoSpaceDN w:val="0"/>
        <w:bidi w:val="0"/>
        <w:adjustRightInd/>
        <w:snapToGrid w:val="0"/>
        <w:spacing w:line="620" w:lineRule="exact"/>
        <w:ind w:lef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w:t>
      </w:r>
      <w:r>
        <w:rPr>
          <w:rFonts w:hint="eastAsia" w:ascii="仿宋" w:hAnsi="仿宋" w:eastAsia="仿宋" w:cs="仿宋"/>
          <w:b w:val="0"/>
          <w:bCs w:val="0"/>
          <w:i w:val="0"/>
          <w:iCs w:val="0"/>
          <w:caps w:val="0"/>
          <w:spacing w:val="0"/>
          <w:sz w:val="28"/>
          <w:szCs w:val="28"/>
          <w:highlight w:val="none"/>
          <w:shd w:val="clear" w:color="auto" w:fill="FFFFFF"/>
          <w:lang w:val="en-US" w:eastAsia="zh-CN"/>
        </w:rPr>
        <w:t>城市精细化水平有待进一步提高。</w:t>
      </w:r>
      <w:r>
        <w:rPr>
          <w:rFonts w:hint="eastAsia" w:ascii="仿宋" w:hAnsi="仿宋" w:eastAsia="仿宋" w:cs="仿宋"/>
          <w:b w:val="0"/>
          <w:bCs/>
          <w:color w:val="auto"/>
          <w:kern w:val="2"/>
          <w:sz w:val="28"/>
          <w:szCs w:val="28"/>
          <w:highlight w:val="none"/>
          <w:lang w:val="en-US" w:eastAsia="zh-CN" w:bidi="ar-SA"/>
        </w:rPr>
        <w:t>虽然县城主次干道市容市貌较干净整洁，但少数</w:t>
      </w:r>
      <w:r>
        <w:rPr>
          <w:rFonts w:hint="eastAsia" w:ascii="仿宋" w:hAnsi="仿宋" w:eastAsia="仿宋" w:cs="仿宋"/>
          <w:i w:val="0"/>
          <w:iCs w:val="0"/>
          <w:caps w:val="0"/>
          <w:spacing w:val="0"/>
          <w:sz w:val="28"/>
          <w:szCs w:val="28"/>
          <w:highlight w:val="none"/>
          <w:shd w:val="clear" w:color="auto" w:fill="FFFFFF"/>
        </w:rPr>
        <w:t>城市背街小巷</w:t>
      </w:r>
      <w:r>
        <w:rPr>
          <w:rFonts w:hint="eastAsia" w:ascii="仿宋" w:hAnsi="仿宋" w:eastAsia="仿宋" w:cs="仿宋"/>
          <w:i w:val="0"/>
          <w:iCs w:val="0"/>
          <w:caps w:val="0"/>
          <w:spacing w:val="0"/>
          <w:sz w:val="28"/>
          <w:szCs w:val="28"/>
          <w:highlight w:val="none"/>
          <w:shd w:val="clear" w:color="auto" w:fill="FFFFFF"/>
          <w:lang w:eastAsia="zh-CN"/>
        </w:rPr>
        <w:t>、</w:t>
      </w:r>
      <w:r>
        <w:rPr>
          <w:rFonts w:hint="eastAsia" w:ascii="仿宋" w:hAnsi="仿宋" w:eastAsia="仿宋" w:cs="仿宋"/>
          <w:i w:val="0"/>
          <w:iCs w:val="0"/>
          <w:caps w:val="0"/>
          <w:spacing w:val="0"/>
          <w:sz w:val="28"/>
          <w:szCs w:val="28"/>
          <w:highlight w:val="none"/>
          <w:shd w:val="clear" w:color="auto" w:fill="FFFFFF"/>
          <w:lang w:val="en-US" w:eastAsia="zh-CN"/>
        </w:rPr>
        <w:t>居民小区仍</w:t>
      </w:r>
      <w:r>
        <w:rPr>
          <w:rFonts w:hint="eastAsia" w:ascii="仿宋" w:hAnsi="仿宋" w:eastAsia="仿宋" w:cs="仿宋"/>
          <w:i w:val="0"/>
          <w:iCs w:val="0"/>
          <w:caps w:val="0"/>
          <w:spacing w:val="0"/>
          <w:sz w:val="28"/>
          <w:szCs w:val="28"/>
          <w:highlight w:val="none"/>
          <w:shd w:val="clear" w:color="auto" w:fill="FFFFFF"/>
        </w:rPr>
        <w:t>存在乱堆乱放、乱扯乱挂等乱象</w:t>
      </w:r>
      <w:r>
        <w:rPr>
          <w:rFonts w:hint="eastAsia" w:ascii="仿宋" w:hAnsi="仿宋" w:eastAsia="仿宋" w:cs="仿宋"/>
          <w:i w:val="0"/>
          <w:iCs w:val="0"/>
          <w:caps w:val="0"/>
          <w:spacing w:val="0"/>
          <w:sz w:val="28"/>
          <w:szCs w:val="28"/>
          <w:highlight w:val="none"/>
          <w:shd w:val="clear" w:color="auto" w:fill="FFFFFF"/>
          <w:lang w:val="en-US" w:eastAsia="zh-CN"/>
        </w:rPr>
        <w:t>；</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kern w:val="2"/>
          <w:sz w:val="28"/>
          <w:szCs w:val="28"/>
          <w:lang w:val="en-US" w:eastAsia="zh-CN" w:bidi="ar-SA"/>
        </w:rPr>
      </w:pPr>
      <w:bookmarkStart w:id="14" w:name="_Toc26159"/>
      <w:r>
        <w:rPr>
          <w:rFonts w:hint="eastAsia" w:ascii="仿宋" w:hAnsi="仿宋" w:eastAsia="仿宋" w:cs="仿宋"/>
          <w:kern w:val="2"/>
          <w:sz w:val="28"/>
          <w:szCs w:val="28"/>
          <w:lang w:val="en-US" w:eastAsia="zh-CN" w:bidi="ar-SA"/>
        </w:rPr>
        <w:t>3、资产管理方面</w:t>
      </w:r>
      <w:bookmarkEnd w:id="14"/>
      <w:r>
        <w:rPr>
          <w:rFonts w:hint="eastAsia" w:ascii="仿宋" w:hAnsi="仿宋" w:eastAsia="仿宋" w:cs="仿宋"/>
          <w:kern w:val="2"/>
          <w:sz w:val="28"/>
          <w:szCs w:val="28"/>
          <w:lang w:val="en-US" w:eastAsia="zh-CN" w:bidi="ar-SA"/>
        </w:rPr>
        <w:t>：固定资产的定期盘点工作执行欠到位。</w:t>
      </w:r>
    </w:p>
    <w:p>
      <w:pPr>
        <w:pStyle w:val="3"/>
        <w:keepNext w:val="0"/>
        <w:keepLines w:val="0"/>
        <w:pageBreakBefore w:val="0"/>
        <w:widowControl w:val="0"/>
        <w:kinsoku/>
        <w:wordWrap/>
        <w:overflowPunct/>
        <w:topLinePunct w:val="0"/>
        <w:autoSpaceDE w:val="0"/>
        <w:autoSpaceDN w:val="0"/>
        <w:bidi w:val="0"/>
        <w:adjustRightInd/>
        <w:snapToGrid/>
        <w:spacing w:line="620" w:lineRule="exact"/>
        <w:ind w:left="0" w:firstLine="560" w:firstLineChars="200"/>
        <w:jc w:val="both"/>
        <w:textAlignment w:val="auto"/>
        <w:outlineLvl w:val="1"/>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4、预算编制欠精细，如“2023年未单独编列三公经费预算”。</w:t>
      </w:r>
    </w:p>
    <w:p>
      <w:pPr>
        <w:spacing w:line="560" w:lineRule="exact"/>
        <w:ind w:firstLine="562" w:firstLineChars="200"/>
        <w:rPr>
          <w:rFonts w:hint="eastAsia" w:ascii="仿宋" w:hAnsi="仿宋" w:eastAsia="仿宋" w:cs="仿宋"/>
          <w:b/>
          <w:bCs/>
          <w:kern w:val="0"/>
          <w:sz w:val="28"/>
          <w:szCs w:val="28"/>
        </w:rPr>
      </w:pPr>
      <w:r>
        <w:rPr>
          <w:rFonts w:hint="eastAsia" w:ascii="仿宋" w:hAnsi="仿宋" w:eastAsia="仿宋" w:cs="仿宋"/>
          <w:b/>
          <w:bCs/>
          <w:kern w:val="0"/>
          <w:sz w:val="28"/>
          <w:szCs w:val="28"/>
        </w:rPr>
        <w:t>五、改进措施及建议</w:t>
      </w:r>
    </w:p>
    <w:p>
      <w:pPr>
        <w:keepNext w:val="0"/>
        <w:keepLines w:val="0"/>
        <w:pageBreakBefore w:val="0"/>
        <w:widowControl w:val="0"/>
        <w:kinsoku/>
        <w:wordWrap/>
        <w:overflowPunct/>
        <w:topLinePunct w:val="0"/>
        <w:autoSpaceDE w:val="0"/>
        <w:autoSpaceDN w:val="0"/>
        <w:bidi w:val="0"/>
        <w:adjustRightInd/>
        <w:spacing w:line="6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完善固定资产管理制度，从固定资产申请、采购到资产的验收、保管、使用、维修、处置等各环节明确流程及责任。进一步加强资产管理，明确实物资产管理责任人，将实物管理与财务管理严格分开，对固定资产进行编号管理，并进行至少一年一次的清查盘点工作，做到“账实相符”，以确保国有资产的安全与完整。</w:t>
      </w:r>
    </w:p>
    <w:p>
      <w:pPr>
        <w:pStyle w:val="6"/>
        <w:spacing w:after="0" w:line="360" w:lineRule="auto"/>
        <w:ind w:left="0" w:leftChars="0" w:firstLine="560" w:firstLineChars="200"/>
        <w:contextualSpacing/>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2、加强会计人员业务培训，从学习、制度、检查等方面进一步加强会计基础工作规范化建设。</w:t>
      </w:r>
    </w:p>
    <w:p>
      <w:pPr>
        <w:pStyle w:val="6"/>
        <w:spacing w:after="0" w:line="360" w:lineRule="auto"/>
        <w:ind w:left="0" w:leftChars="0" w:firstLine="560" w:firstLineChars="200"/>
        <w:contextualSpacing/>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lang w:val="en-US" w:eastAsia="zh-CN" w:bidi="zh-CN"/>
        </w:rPr>
        <w:t>强化“三公经费”预算编制，使预算编制更合理。</w:t>
      </w:r>
    </w:p>
    <w:p>
      <w:pPr>
        <w:pStyle w:val="6"/>
        <w:spacing w:after="0" w:line="360" w:lineRule="auto"/>
        <w:ind w:left="0" w:leftChars="0" w:firstLine="560" w:firstLineChars="200"/>
        <w:contextualSpacing/>
        <w:rPr>
          <w:rFonts w:hint="default" w:ascii="Arial" w:hAnsi="Arial" w:eastAsia="仿宋" w:cs="Arial"/>
          <w:kern w:val="2"/>
          <w:sz w:val="28"/>
          <w:szCs w:val="28"/>
          <w:lang w:val="en-US" w:eastAsia="zh-CN" w:bidi="ar-SA"/>
        </w:rPr>
      </w:pPr>
      <w:r>
        <w:rPr>
          <w:rFonts w:hint="eastAsia" w:ascii="仿宋" w:hAnsi="仿宋" w:eastAsia="仿宋" w:cs="仿宋"/>
          <w:kern w:val="2"/>
          <w:sz w:val="28"/>
          <w:szCs w:val="28"/>
          <w:lang w:val="en-US" w:eastAsia="zh-CN" w:bidi="ar-SA"/>
        </w:rPr>
        <w:t>4、组织工作人员认真学习内控制度，严格按照内控制度规定执</w:t>
      </w:r>
      <w:r>
        <w:rPr>
          <w:rFonts w:hint="eastAsia" w:ascii="Arial" w:hAnsi="Arial" w:eastAsia="仿宋" w:cs="Arial"/>
          <w:kern w:val="2"/>
          <w:sz w:val="28"/>
          <w:szCs w:val="28"/>
          <w:lang w:val="en-US" w:eastAsia="zh-CN" w:bidi="ar-SA"/>
        </w:rPr>
        <w:t>行。</w:t>
      </w:r>
    </w:p>
    <w:p>
      <w:pPr>
        <w:keepNext w:val="0"/>
        <w:keepLines w:val="0"/>
        <w:pageBreakBefore w:val="0"/>
        <w:widowControl w:val="0"/>
        <w:kinsoku/>
        <w:wordWrap/>
        <w:overflowPunct/>
        <w:topLinePunct w:val="0"/>
        <w:autoSpaceDE w:val="0"/>
        <w:autoSpaceDN w:val="0"/>
        <w:bidi w:val="0"/>
        <w:adjustRightInd/>
        <w:spacing w:line="620" w:lineRule="exact"/>
        <w:ind w:firstLine="640" w:firstLineChars="200"/>
        <w:textAlignment w:val="auto"/>
        <w:rPr>
          <w:rFonts w:hint="default" w:ascii="Times New Roman" w:hAnsi="Times New Roman" w:eastAsia="仿宋_GB2312" w:cs="Times New Roman"/>
          <w:sz w:val="32"/>
          <w:szCs w:val="32"/>
          <w:lang w:val="en-US" w:eastAsia="zh-CN" w:bidi="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A2464B"/>
    <w:multiLevelType w:val="singleLevel"/>
    <w:tmpl w:val="F9A2464B"/>
    <w:lvl w:ilvl="0" w:tentative="0">
      <w:start w:val="2"/>
      <w:numFmt w:val="decimal"/>
      <w:suff w:val="nothing"/>
      <w:lvlText w:val="（%1）"/>
      <w:lvlJc w:val="left"/>
    </w:lvl>
  </w:abstractNum>
  <w:abstractNum w:abstractNumId="1">
    <w:nsid w:val="0B047E26"/>
    <w:multiLevelType w:val="singleLevel"/>
    <w:tmpl w:val="0B047E26"/>
    <w:lvl w:ilvl="0" w:tentative="0">
      <w:start w:val="6"/>
      <w:numFmt w:val="decimal"/>
      <w:suff w:val="nothing"/>
      <w:lvlText w:val="%1、"/>
      <w:lvlJc w:val="left"/>
    </w:lvl>
  </w:abstractNum>
  <w:abstractNum w:abstractNumId="2">
    <w:nsid w:val="382D672B"/>
    <w:multiLevelType w:val="singleLevel"/>
    <w:tmpl w:val="382D672B"/>
    <w:lvl w:ilvl="0" w:tentative="0">
      <w:start w:val="3"/>
      <w:numFmt w:val="chineseCounting"/>
      <w:suff w:val="nothing"/>
      <w:lvlText w:val="%1、"/>
      <w:lvlJc w:val="left"/>
      <w:pPr>
        <w:ind w:left="-13"/>
      </w:pPr>
      <w:rPr>
        <w:rFonts w:hint="eastAsia"/>
      </w:rPr>
    </w:lvl>
  </w:abstractNum>
  <w:abstractNum w:abstractNumId="3">
    <w:nsid w:val="450C26F1"/>
    <w:multiLevelType w:val="singleLevel"/>
    <w:tmpl w:val="450C26F1"/>
    <w:lvl w:ilvl="0" w:tentative="0">
      <w:start w:val="2"/>
      <w:numFmt w:val="decimal"/>
      <w:suff w:val="nothing"/>
      <w:lvlText w:val="%1、"/>
      <w:lvlJc w:val="left"/>
      <w:pPr>
        <w:ind w:left="800" w:leftChars="0" w:firstLine="0" w:firstLineChars="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yMzU1OGEyMDQ2MDM2ZTY5NDNhMDQxMjE2M2E5YTAifQ=="/>
  </w:docVars>
  <w:rsids>
    <w:rsidRoot w:val="729E19F7"/>
    <w:rsid w:val="002A3573"/>
    <w:rsid w:val="0050305A"/>
    <w:rsid w:val="00700B7C"/>
    <w:rsid w:val="01601E7D"/>
    <w:rsid w:val="02E32A26"/>
    <w:rsid w:val="02EA4C6C"/>
    <w:rsid w:val="046E6CDA"/>
    <w:rsid w:val="049F307A"/>
    <w:rsid w:val="09313EBC"/>
    <w:rsid w:val="093B2B72"/>
    <w:rsid w:val="097B6B41"/>
    <w:rsid w:val="0C021601"/>
    <w:rsid w:val="0D4359B3"/>
    <w:rsid w:val="0E050949"/>
    <w:rsid w:val="0F916077"/>
    <w:rsid w:val="0FE4130C"/>
    <w:rsid w:val="12061A6D"/>
    <w:rsid w:val="13046755"/>
    <w:rsid w:val="13A17765"/>
    <w:rsid w:val="14460574"/>
    <w:rsid w:val="14661220"/>
    <w:rsid w:val="165B29D6"/>
    <w:rsid w:val="17FB5B95"/>
    <w:rsid w:val="1A846823"/>
    <w:rsid w:val="1BE13BFD"/>
    <w:rsid w:val="1DEE1070"/>
    <w:rsid w:val="20002BEB"/>
    <w:rsid w:val="228C3546"/>
    <w:rsid w:val="228C69DB"/>
    <w:rsid w:val="23245D05"/>
    <w:rsid w:val="23CC3BF4"/>
    <w:rsid w:val="27D44C08"/>
    <w:rsid w:val="27FA6F5C"/>
    <w:rsid w:val="28E527C8"/>
    <w:rsid w:val="29394043"/>
    <w:rsid w:val="29A37F4B"/>
    <w:rsid w:val="29D01E82"/>
    <w:rsid w:val="2BBA5789"/>
    <w:rsid w:val="2D410C84"/>
    <w:rsid w:val="2D7F7B04"/>
    <w:rsid w:val="2D86248E"/>
    <w:rsid w:val="2D874301"/>
    <w:rsid w:val="2DA848DD"/>
    <w:rsid w:val="2EAF3571"/>
    <w:rsid w:val="2F494352"/>
    <w:rsid w:val="2F865202"/>
    <w:rsid w:val="3044110B"/>
    <w:rsid w:val="3086740A"/>
    <w:rsid w:val="308B0341"/>
    <w:rsid w:val="315556D4"/>
    <w:rsid w:val="31721F7C"/>
    <w:rsid w:val="347C5A95"/>
    <w:rsid w:val="36841B31"/>
    <w:rsid w:val="380E6FD6"/>
    <w:rsid w:val="38D24BFE"/>
    <w:rsid w:val="38FB244A"/>
    <w:rsid w:val="39DE570A"/>
    <w:rsid w:val="3A477694"/>
    <w:rsid w:val="3ADB3735"/>
    <w:rsid w:val="3AE01F35"/>
    <w:rsid w:val="3AFC79CA"/>
    <w:rsid w:val="3B4B1551"/>
    <w:rsid w:val="3DAA58E3"/>
    <w:rsid w:val="3F7611F8"/>
    <w:rsid w:val="3F9E2A1D"/>
    <w:rsid w:val="3FD95F8C"/>
    <w:rsid w:val="40CA05B4"/>
    <w:rsid w:val="41F210AD"/>
    <w:rsid w:val="435D1811"/>
    <w:rsid w:val="44E82CC0"/>
    <w:rsid w:val="482A6385"/>
    <w:rsid w:val="4B46714D"/>
    <w:rsid w:val="4BAF79DD"/>
    <w:rsid w:val="4C1C53CB"/>
    <w:rsid w:val="4EAE4178"/>
    <w:rsid w:val="4EBF4243"/>
    <w:rsid w:val="4EEC2F08"/>
    <w:rsid w:val="51A271EB"/>
    <w:rsid w:val="52694AD3"/>
    <w:rsid w:val="54027AA3"/>
    <w:rsid w:val="54A2647E"/>
    <w:rsid w:val="55D230DA"/>
    <w:rsid w:val="56B970CF"/>
    <w:rsid w:val="57B76348"/>
    <w:rsid w:val="583F7427"/>
    <w:rsid w:val="5AC81EB9"/>
    <w:rsid w:val="5BD170E9"/>
    <w:rsid w:val="5BD65EA4"/>
    <w:rsid w:val="5C4B2F7F"/>
    <w:rsid w:val="5F160BA1"/>
    <w:rsid w:val="60870E15"/>
    <w:rsid w:val="61416562"/>
    <w:rsid w:val="61E0755F"/>
    <w:rsid w:val="64990F84"/>
    <w:rsid w:val="656D4793"/>
    <w:rsid w:val="67136C12"/>
    <w:rsid w:val="68204D74"/>
    <w:rsid w:val="68CA1D93"/>
    <w:rsid w:val="6AA20CED"/>
    <w:rsid w:val="6F2B42A6"/>
    <w:rsid w:val="6FEB788F"/>
    <w:rsid w:val="703D26C1"/>
    <w:rsid w:val="716E74A0"/>
    <w:rsid w:val="729E19F7"/>
    <w:rsid w:val="740636F9"/>
    <w:rsid w:val="7508360D"/>
    <w:rsid w:val="759B1E0B"/>
    <w:rsid w:val="77693B20"/>
    <w:rsid w:val="786560D3"/>
    <w:rsid w:val="78DD2184"/>
    <w:rsid w:val="7B5D2653"/>
    <w:rsid w:val="7D1E288D"/>
    <w:rsid w:val="7DBD50E6"/>
    <w:rsid w:val="7E215A18"/>
    <w:rsid w:val="7EDC2F69"/>
    <w:rsid w:val="7EF56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autoRedefine/>
    <w:qFormat/>
    <w:uiPriority w:val="0"/>
    <w:pPr>
      <w:ind w:firstLine="643" w:firstLineChars="200"/>
    </w:pPr>
    <w:rPr>
      <w:rFonts w:ascii="Arial" w:hAnsi="Arial" w:eastAsia="仿宋" w:cs="Arial"/>
      <w:sz w:val="30"/>
    </w:rPr>
  </w:style>
  <w:style w:type="paragraph" w:styleId="3">
    <w:name w:val="Body Text"/>
    <w:basedOn w:val="1"/>
    <w:next w:val="4"/>
    <w:autoRedefine/>
    <w:qFormat/>
    <w:uiPriority w:val="1"/>
    <w:pPr>
      <w:ind w:left="420"/>
    </w:pPr>
    <w:rPr>
      <w:rFonts w:eastAsia="宋体"/>
      <w:sz w:val="32"/>
      <w:szCs w:val="32"/>
    </w:rPr>
  </w:style>
  <w:style w:type="paragraph" w:customStyle="1" w:styleId="4">
    <w:name w:val="正文首行缩进1"/>
    <w:basedOn w:val="1"/>
    <w:autoRedefine/>
    <w:qFormat/>
    <w:uiPriority w:val="0"/>
    <w:pPr>
      <w:spacing w:after="120"/>
      <w:ind w:firstLine="420" w:firstLineChars="100"/>
    </w:pPr>
  </w:style>
  <w:style w:type="paragraph" w:styleId="5">
    <w:name w:val="footer"/>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6">
    <w:name w:val="Body Text Indent 3"/>
    <w:basedOn w:val="1"/>
    <w:autoRedefine/>
    <w:semiHidden/>
    <w:unhideWhenUsed/>
    <w:qFormat/>
    <w:uiPriority w:val="0"/>
    <w:pPr>
      <w:spacing w:after="120"/>
      <w:ind w:left="420" w:leftChars="200"/>
    </w:pPr>
    <w:rPr>
      <w:rFonts w:ascii="Times New Roman" w:hAnsi="Times New Roman" w:eastAsia="宋体" w:cs="Times New Roman"/>
      <w:sz w:val="16"/>
      <w:szCs w:val="16"/>
    </w:rPr>
  </w:style>
  <w:style w:type="paragraph" w:styleId="9">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5400</Words>
  <Characters>5841</Characters>
  <Lines>0</Lines>
  <Paragraphs>0</Paragraphs>
  <TotalTime>249</TotalTime>
  <ScaleCrop>false</ScaleCrop>
  <LinksUpToDate>false</LinksUpToDate>
  <CharactersWithSpaces>5928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2021-04-27T06:57:00Z</dcterms:created>
  <dc:creator>紫诺</dc:creator>
  <cp:lastModifiedBy>紫诺</cp:lastModifiedBy>
  <cp:lastPrinted>2024-05-21T07:18:36Z</cp:lastPrinted>
  <dcterms:modified xsi:type="dcterms:W3CDTF">2024-05-21T08:10:55Z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2FADF17C88404E10BE945F37AB7A30AA</vt:lpwstr>
  </property>
  <property fmtid="{D5CDD505-2E9C-101B-9397-08002B2CF9AE}" pid="4" name="commondata">
    <vt:lpwstr>eyJoZGlkIjoiOTgyMzU1OGEyMDQ2MDM2ZTY5NDNhMDQxMjE2M2E5YTAifQ==</vt:lpwstr>
  </property>
</Properties>
</file>