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rsidR="00B113A2" w:rsidRDefault="00B113A2">
      <w:pPr>
        <w:pStyle w:val="Default"/>
        <w:jc w:val="center"/>
        <w:rPr>
          <w:sz w:val="56"/>
          <w:szCs w:val="56"/>
        </w:rPr>
      </w:pPr>
    </w:p>
    <w:p w:rsidR="00B113A2" w:rsidRDefault="00B113A2">
      <w:pPr>
        <w:pStyle w:val="Default"/>
        <w:jc w:val="center"/>
        <w:rPr>
          <w:sz w:val="56"/>
          <w:szCs w:val="56"/>
        </w:rPr>
      </w:pPr>
    </w:p>
    <w:p w:rsidR="00B113A2" w:rsidRDefault="00B113A2">
      <w:pPr>
        <w:pStyle w:val="Default"/>
        <w:jc w:val="center"/>
        <w:rPr>
          <w:sz w:val="84"/>
          <w:szCs w:val="84"/>
        </w:rPr>
      </w:pPr>
    </w:p>
    <w:p w:rsidR="00B113A2" w:rsidRDefault="00B113A2">
      <w:pPr>
        <w:pStyle w:val="Default"/>
        <w:jc w:val="center"/>
        <w:rPr>
          <w:sz w:val="84"/>
          <w:szCs w:val="84"/>
        </w:rPr>
      </w:pPr>
    </w:p>
    <w:p w:rsidR="00B113A2" w:rsidRDefault="004E39AB">
      <w:pPr>
        <w:pStyle w:val="Default"/>
        <w:jc w:val="center"/>
        <w:rPr>
          <w:sz w:val="84"/>
          <w:szCs w:val="84"/>
        </w:rPr>
      </w:pPr>
      <w:r>
        <w:rPr>
          <w:rFonts w:hint="eastAsia"/>
          <w:sz w:val="84"/>
          <w:szCs w:val="84"/>
        </w:rPr>
        <w:t>2020年度</w:t>
      </w:r>
    </w:p>
    <w:p w:rsidR="00B113A2" w:rsidRDefault="004E39AB">
      <w:pPr>
        <w:pStyle w:val="Default"/>
        <w:jc w:val="center"/>
        <w:rPr>
          <w:sz w:val="84"/>
          <w:szCs w:val="84"/>
        </w:rPr>
      </w:pPr>
      <w:r>
        <w:rPr>
          <w:rFonts w:hint="eastAsia"/>
          <w:sz w:val="84"/>
          <w:szCs w:val="84"/>
        </w:rPr>
        <w:t>洪山镇人民政府</w:t>
      </w:r>
    </w:p>
    <w:p w:rsidR="00B113A2" w:rsidRDefault="004E39AB">
      <w:pPr>
        <w:pStyle w:val="Default"/>
        <w:jc w:val="center"/>
        <w:rPr>
          <w:sz w:val="84"/>
          <w:szCs w:val="84"/>
        </w:rPr>
      </w:pPr>
      <w:r>
        <w:rPr>
          <w:rFonts w:hint="eastAsia"/>
          <w:sz w:val="84"/>
          <w:szCs w:val="84"/>
        </w:rPr>
        <w:t>部门决算</w:t>
      </w:r>
    </w:p>
    <w:p w:rsidR="00B113A2" w:rsidRDefault="00B113A2">
      <w:pPr>
        <w:pStyle w:val="Default"/>
        <w:jc w:val="center"/>
        <w:rPr>
          <w:sz w:val="56"/>
          <w:szCs w:val="56"/>
        </w:rPr>
      </w:pPr>
    </w:p>
    <w:p w:rsidR="00B113A2" w:rsidRDefault="00B113A2">
      <w:pPr>
        <w:pStyle w:val="Default"/>
        <w:jc w:val="center"/>
        <w:rPr>
          <w:sz w:val="56"/>
          <w:szCs w:val="56"/>
        </w:rPr>
      </w:pPr>
    </w:p>
    <w:p w:rsidR="00B113A2" w:rsidRDefault="00B113A2">
      <w:pPr>
        <w:pStyle w:val="Default"/>
        <w:jc w:val="center"/>
        <w:rPr>
          <w:sz w:val="56"/>
          <w:szCs w:val="56"/>
        </w:rPr>
      </w:pPr>
    </w:p>
    <w:p w:rsidR="00B113A2" w:rsidRDefault="00B113A2">
      <w:pPr>
        <w:pStyle w:val="Default"/>
        <w:jc w:val="center"/>
        <w:rPr>
          <w:sz w:val="56"/>
          <w:szCs w:val="56"/>
        </w:rPr>
      </w:pPr>
    </w:p>
    <w:p w:rsidR="00B113A2" w:rsidRDefault="00B113A2">
      <w:pPr>
        <w:pStyle w:val="Default"/>
        <w:jc w:val="center"/>
        <w:rPr>
          <w:sz w:val="56"/>
          <w:szCs w:val="56"/>
        </w:rPr>
      </w:pPr>
    </w:p>
    <w:p w:rsidR="00B113A2" w:rsidRDefault="00B113A2">
      <w:pPr>
        <w:pStyle w:val="Default"/>
        <w:spacing w:line="540" w:lineRule="exact"/>
        <w:jc w:val="center"/>
        <w:rPr>
          <w:sz w:val="56"/>
          <w:szCs w:val="56"/>
        </w:rPr>
      </w:pPr>
    </w:p>
    <w:p w:rsidR="00B113A2" w:rsidRDefault="00B113A2">
      <w:pPr>
        <w:pStyle w:val="Default"/>
        <w:spacing w:line="540" w:lineRule="exact"/>
        <w:jc w:val="center"/>
        <w:rPr>
          <w:sz w:val="56"/>
          <w:szCs w:val="56"/>
        </w:rPr>
      </w:pPr>
    </w:p>
    <w:p w:rsidR="00B113A2" w:rsidRDefault="00B113A2">
      <w:pPr>
        <w:pStyle w:val="Default"/>
        <w:spacing w:line="540" w:lineRule="exact"/>
        <w:jc w:val="center"/>
        <w:rPr>
          <w:sz w:val="56"/>
          <w:szCs w:val="56"/>
        </w:rPr>
      </w:pPr>
    </w:p>
    <w:p w:rsidR="00B113A2" w:rsidRDefault="00B113A2">
      <w:pPr>
        <w:pStyle w:val="Default"/>
        <w:spacing w:line="540" w:lineRule="exact"/>
        <w:jc w:val="center"/>
        <w:rPr>
          <w:sz w:val="56"/>
          <w:szCs w:val="56"/>
        </w:rPr>
      </w:pPr>
    </w:p>
    <w:p w:rsidR="00B113A2" w:rsidRDefault="00B113A2">
      <w:pPr>
        <w:pStyle w:val="Default"/>
        <w:spacing w:line="540" w:lineRule="exact"/>
        <w:jc w:val="center"/>
        <w:rPr>
          <w:sz w:val="56"/>
          <w:szCs w:val="56"/>
        </w:rPr>
      </w:pPr>
    </w:p>
    <w:p w:rsidR="00B113A2" w:rsidRDefault="004E39AB">
      <w:pPr>
        <w:pStyle w:val="Default"/>
        <w:spacing w:line="520" w:lineRule="exact"/>
        <w:jc w:val="center"/>
        <w:rPr>
          <w:sz w:val="56"/>
          <w:szCs w:val="56"/>
        </w:rPr>
      </w:pPr>
      <w:r>
        <w:rPr>
          <w:rFonts w:hint="eastAsia"/>
          <w:sz w:val="56"/>
          <w:szCs w:val="56"/>
        </w:rPr>
        <w:t>目录</w:t>
      </w:r>
    </w:p>
    <w:p w:rsidR="00B113A2" w:rsidRDefault="00B113A2">
      <w:pPr>
        <w:pStyle w:val="Default"/>
        <w:spacing w:line="520" w:lineRule="exact"/>
        <w:jc w:val="center"/>
        <w:rPr>
          <w:sz w:val="56"/>
          <w:szCs w:val="56"/>
        </w:rPr>
      </w:pPr>
    </w:p>
    <w:p w:rsidR="00B113A2" w:rsidRDefault="00B113A2">
      <w:pPr>
        <w:pStyle w:val="Default"/>
        <w:spacing w:line="520" w:lineRule="exact"/>
        <w:jc w:val="center"/>
        <w:rPr>
          <w:sz w:val="56"/>
          <w:szCs w:val="56"/>
        </w:rPr>
      </w:pPr>
    </w:p>
    <w:p w:rsidR="00B113A2" w:rsidRDefault="004E39AB">
      <w:pPr>
        <w:pStyle w:val="Default"/>
        <w:spacing w:line="520" w:lineRule="exact"/>
        <w:rPr>
          <w:rFonts w:ascii="仿宋_GB2312" w:hAnsi="仿宋_GB2312" w:cs="仿宋_GB2312"/>
          <w:b/>
          <w:sz w:val="28"/>
          <w:szCs w:val="28"/>
        </w:rPr>
      </w:pPr>
      <w:r>
        <w:rPr>
          <w:rFonts w:hint="eastAsia"/>
          <w:b/>
          <w:sz w:val="28"/>
          <w:szCs w:val="28"/>
        </w:rPr>
        <w:t>第一部分洪山镇人民政府概况</w:t>
      </w:r>
    </w:p>
    <w:p w:rsidR="00B113A2" w:rsidRDefault="004E39AB">
      <w:pPr>
        <w:pStyle w:val="Default"/>
        <w:spacing w:line="520" w:lineRule="exact"/>
        <w:ind w:firstLineChars="250" w:firstLine="700"/>
        <w:rPr>
          <w:rFonts w:asciiTheme="minorEastAsia" w:eastAsiaTheme="minorEastAsia" w:hAnsiTheme="minorEastAsia" w:cs="仿宋_GB2312"/>
          <w:sz w:val="28"/>
          <w:szCs w:val="28"/>
        </w:rPr>
      </w:pPr>
      <w:r>
        <w:rPr>
          <w:rFonts w:asciiTheme="minorEastAsia" w:eastAsiaTheme="minorEastAsia" w:hAnsiTheme="minorEastAsia" w:cs="仿宋_GB2312"/>
          <w:sz w:val="28"/>
          <w:szCs w:val="28"/>
        </w:rPr>
        <w:t>一、部门职责</w:t>
      </w:r>
    </w:p>
    <w:p w:rsidR="00B113A2" w:rsidRDefault="004E39AB">
      <w:pPr>
        <w:pStyle w:val="Default"/>
        <w:spacing w:line="520" w:lineRule="exact"/>
        <w:ind w:firstLineChars="250" w:firstLine="700"/>
        <w:rPr>
          <w:rFonts w:asciiTheme="minorEastAsia" w:eastAsiaTheme="minorEastAsia" w:hAnsiTheme="minorEastAsia" w:cs="仿宋_GB2312"/>
          <w:sz w:val="28"/>
          <w:szCs w:val="28"/>
        </w:rPr>
      </w:pPr>
      <w:r>
        <w:rPr>
          <w:rFonts w:asciiTheme="minorEastAsia" w:eastAsiaTheme="minorEastAsia" w:hAnsiTheme="minorEastAsia" w:cs="仿宋_GB2312"/>
          <w:sz w:val="28"/>
          <w:szCs w:val="28"/>
        </w:rPr>
        <w:t>二、机构设置</w:t>
      </w:r>
    </w:p>
    <w:p w:rsidR="00B113A2" w:rsidRDefault="004E39AB">
      <w:pPr>
        <w:pStyle w:val="Default"/>
        <w:spacing w:line="520" w:lineRule="exact"/>
        <w:rPr>
          <w:rFonts w:ascii="仿宋_GB2312" w:hAnsi="仿宋_GB2312" w:cs="仿宋_GB2312"/>
          <w:b/>
          <w:sz w:val="28"/>
          <w:szCs w:val="28"/>
        </w:rPr>
      </w:pPr>
      <w:r>
        <w:rPr>
          <w:rFonts w:hAnsi="仿宋_GB2312" w:hint="eastAsia"/>
          <w:b/>
          <w:sz w:val="28"/>
          <w:szCs w:val="28"/>
        </w:rPr>
        <w:t>第二部分2020年度部门决算表</w:t>
      </w:r>
    </w:p>
    <w:p w:rsidR="00B113A2" w:rsidRDefault="004E39AB">
      <w:pPr>
        <w:pStyle w:val="Default"/>
        <w:spacing w:line="520" w:lineRule="exact"/>
        <w:ind w:firstLineChars="250" w:firstLine="700"/>
        <w:rPr>
          <w:rFonts w:asciiTheme="minorEastAsia" w:eastAsiaTheme="minorEastAsia" w:hAnsiTheme="minorEastAsia" w:cs="仿宋_GB2312"/>
          <w:sz w:val="28"/>
          <w:szCs w:val="28"/>
        </w:rPr>
      </w:pPr>
      <w:r>
        <w:rPr>
          <w:rFonts w:asciiTheme="minorEastAsia" w:eastAsiaTheme="minorEastAsia" w:hAnsiTheme="minorEastAsia" w:cs="仿宋_GB2312"/>
          <w:sz w:val="28"/>
          <w:szCs w:val="28"/>
        </w:rPr>
        <w:t>一、收入支出决算总表</w:t>
      </w:r>
    </w:p>
    <w:p w:rsidR="00B113A2" w:rsidRDefault="004E39AB">
      <w:pPr>
        <w:pStyle w:val="Default"/>
        <w:spacing w:line="520" w:lineRule="exact"/>
        <w:ind w:firstLineChars="250" w:firstLine="700"/>
        <w:rPr>
          <w:rFonts w:asciiTheme="minorEastAsia" w:eastAsiaTheme="minorEastAsia" w:hAnsiTheme="minorEastAsia" w:cs="仿宋_GB2312"/>
          <w:sz w:val="28"/>
          <w:szCs w:val="28"/>
        </w:rPr>
      </w:pPr>
      <w:r>
        <w:rPr>
          <w:rFonts w:asciiTheme="minorEastAsia" w:eastAsiaTheme="minorEastAsia" w:hAnsiTheme="minorEastAsia" w:cs="仿宋_GB2312"/>
          <w:sz w:val="28"/>
          <w:szCs w:val="28"/>
        </w:rPr>
        <w:t>二、收入决算表</w:t>
      </w:r>
    </w:p>
    <w:p w:rsidR="00B113A2" w:rsidRDefault="004E39AB">
      <w:pPr>
        <w:pStyle w:val="Default"/>
        <w:spacing w:line="520" w:lineRule="exact"/>
        <w:ind w:firstLineChars="250" w:firstLine="700"/>
        <w:rPr>
          <w:rFonts w:asciiTheme="minorEastAsia" w:eastAsiaTheme="minorEastAsia" w:hAnsiTheme="minorEastAsia" w:cs="仿宋_GB2312"/>
          <w:sz w:val="28"/>
          <w:szCs w:val="28"/>
        </w:rPr>
      </w:pPr>
      <w:r>
        <w:rPr>
          <w:rFonts w:asciiTheme="minorEastAsia" w:eastAsiaTheme="minorEastAsia" w:hAnsiTheme="minorEastAsia" w:cs="仿宋_GB2312"/>
          <w:sz w:val="28"/>
          <w:szCs w:val="28"/>
        </w:rPr>
        <w:t>三、支出决算表</w:t>
      </w:r>
    </w:p>
    <w:p w:rsidR="00B113A2" w:rsidRDefault="004E39AB">
      <w:pPr>
        <w:pStyle w:val="Default"/>
        <w:spacing w:line="520" w:lineRule="exact"/>
        <w:ind w:firstLineChars="250" w:firstLine="700"/>
        <w:rPr>
          <w:rFonts w:asciiTheme="minorEastAsia" w:eastAsiaTheme="minorEastAsia" w:hAnsiTheme="minorEastAsia" w:cs="仿宋_GB2312"/>
          <w:sz w:val="28"/>
          <w:szCs w:val="28"/>
        </w:rPr>
      </w:pPr>
      <w:r>
        <w:rPr>
          <w:rFonts w:asciiTheme="minorEastAsia" w:eastAsiaTheme="minorEastAsia" w:hAnsiTheme="minorEastAsia" w:cs="仿宋_GB2312"/>
          <w:sz w:val="28"/>
          <w:szCs w:val="28"/>
        </w:rPr>
        <w:t>四、财政拨款收入支出决算总表</w:t>
      </w:r>
    </w:p>
    <w:p w:rsidR="00B113A2" w:rsidRDefault="004E39AB">
      <w:pPr>
        <w:pStyle w:val="Default"/>
        <w:spacing w:line="520" w:lineRule="exact"/>
        <w:ind w:firstLineChars="250" w:firstLine="700"/>
        <w:rPr>
          <w:rFonts w:asciiTheme="minorEastAsia" w:eastAsiaTheme="minorEastAsia" w:hAnsiTheme="minorEastAsia" w:cs="仿宋_GB2312"/>
          <w:sz w:val="28"/>
          <w:szCs w:val="28"/>
        </w:rPr>
      </w:pPr>
      <w:r>
        <w:rPr>
          <w:rFonts w:asciiTheme="minorEastAsia" w:eastAsiaTheme="minorEastAsia" w:hAnsiTheme="minorEastAsia" w:cs="仿宋_GB2312"/>
          <w:sz w:val="28"/>
          <w:szCs w:val="28"/>
        </w:rPr>
        <w:t>五、一般公共预算财政拨款支出决算表</w:t>
      </w:r>
    </w:p>
    <w:p w:rsidR="00B113A2" w:rsidRDefault="004E39AB">
      <w:pPr>
        <w:pStyle w:val="Default"/>
        <w:spacing w:line="520" w:lineRule="exact"/>
        <w:ind w:firstLineChars="250" w:firstLine="700"/>
        <w:rPr>
          <w:rFonts w:asciiTheme="minorEastAsia" w:eastAsiaTheme="minorEastAsia" w:hAnsiTheme="minorEastAsia" w:cs="仿宋_GB2312"/>
          <w:sz w:val="28"/>
          <w:szCs w:val="28"/>
        </w:rPr>
      </w:pPr>
      <w:r>
        <w:rPr>
          <w:rFonts w:asciiTheme="minorEastAsia" w:eastAsiaTheme="minorEastAsia" w:hAnsiTheme="minorEastAsia" w:cs="仿宋_GB2312"/>
          <w:sz w:val="28"/>
          <w:szCs w:val="28"/>
        </w:rPr>
        <w:t>六、一般公共预算财政拨款基本支出决算表</w:t>
      </w:r>
    </w:p>
    <w:p w:rsidR="00B113A2" w:rsidRDefault="004E39AB">
      <w:pPr>
        <w:pStyle w:val="Default"/>
        <w:spacing w:line="520" w:lineRule="exact"/>
        <w:ind w:firstLineChars="250" w:firstLine="700"/>
        <w:rPr>
          <w:rFonts w:asciiTheme="minorEastAsia" w:eastAsiaTheme="minorEastAsia" w:hAnsiTheme="minorEastAsia" w:cs="仿宋_GB2312"/>
          <w:sz w:val="28"/>
          <w:szCs w:val="28"/>
        </w:rPr>
      </w:pPr>
      <w:r>
        <w:rPr>
          <w:rFonts w:asciiTheme="minorEastAsia" w:eastAsiaTheme="minorEastAsia" w:hAnsiTheme="minorEastAsia" w:cs="仿宋_GB2312"/>
          <w:sz w:val="28"/>
          <w:szCs w:val="28"/>
        </w:rPr>
        <w:t>七、一般公共预算财政拨款“三公”经费支出决算表</w:t>
      </w:r>
    </w:p>
    <w:p w:rsidR="00B113A2" w:rsidRDefault="004E39AB">
      <w:pPr>
        <w:pStyle w:val="Default"/>
        <w:spacing w:line="520" w:lineRule="exact"/>
        <w:ind w:firstLineChars="250" w:firstLine="700"/>
        <w:rPr>
          <w:rFonts w:asciiTheme="minorEastAsia" w:eastAsiaTheme="minorEastAsia" w:hAnsiTheme="minorEastAsia" w:cs="仿宋_GB2312"/>
          <w:sz w:val="28"/>
          <w:szCs w:val="28"/>
        </w:rPr>
      </w:pPr>
      <w:r>
        <w:rPr>
          <w:rFonts w:asciiTheme="minorEastAsia" w:eastAsiaTheme="minorEastAsia" w:hAnsiTheme="minorEastAsia" w:cs="仿宋_GB2312"/>
          <w:sz w:val="28"/>
          <w:szCs w:val="28"/>
        </w:rPr>
        <w:t>八、政府性基金预算财政拨款收入支出决算表</w:t>
      </w:r>
    </w:p>
    <w:p w:rsidR="00B113A2" w:rsidRDefault="004E39AB">
      <w:pPr>
        <w:pStyle w:val="Default"/>
        <w:spacing w:line="520" w:lineRule="exact"/>
        <w:ind w:firstLineChars="250" w:firstLine="700"/>
        <w:rPr>
          <w:rFonts w:asciiTheme="minorEastAsia" w:eastAsiaTheme="minorEastAsia" w:hAnsiTheme="minorEastAsia" w:cs="仿宋_GB2312"/>
          <w:sz w:val="28"/>
          <w:szCs w:val="28"/>
        </w:rPr>
      </w:pPr>
      <w:r>
        <w:rPr>
          <w:rFonts w:asciiTheme="minorEastAsia" w:eastAsiaTheme="minorEastAsia" w:hAnsiTheme="minorEastAsia" w:cs="仿宋_GB2312" w:hint="eastAsia"/>
          <w:sz w:val="28"/>
          <w:szCs w:val="28"/>
        </w:rPr>
        <w:t>九、国有资本经营预算财政拨款支出决算表</w:t>
      </w:r>
    </w:p>
    <w:p w:rsidR="00B113A2" w:rsidRDefault="004E39AB">
      <w:pPr>
        <w:pStyle w:val="Default"/>
        <w:spacing w:line="520" w:lineRule="exact"/>
        <w:rPr>
          <w:rFonts w:ascii="仿宋_GB2312" w:hAnsi="仿宋_GB2312" w:cs="仿宋_GB2312"/>
          <w:b/>
          <w:sz w:val="28"/>
          <w:szCs w:val="28"/>
        </w:rPr>
      </w:pPr>
      <w:r>
        <w:rPr>
          <w:rFonts w:hAnsi="仿宋_GB2312" w:hint="eastAsia"/>
          <w:b/>
          <w:sz w:val="28"/>
          <w:szCs w:val="28"/>
        </w:rPr>
        <w:t>第三部分2020年度部门决算情况说明</w:t>
      </w:r>
    </w:p>
    <w:p w:rsidR="00B113A2" w:rsidRDefault="004E39AB">
      <w:pPr>
        <w:pStyle w:val="Default"/>
        <w:spacing w:line="520" w:lineRule="exact"/>
        <w:ind w:firstLineChars="250" w:firstLine="700"/>
        <w:rPr>
          <w:rFonts w:asciiTheme="minorEastAsia" w:eastAsiaTheme="minorEastAsia" w:hAnsiTheme="minorEastAsia" w:cs="仿宋_GB2312"/>
          <w:sz w:val="28"/>
          <w:szCs w:val="28"/>
        </w:rPr>
      </w:pPr>
      <w:r>
        <w:rPr>
          <w:rFonts w:asciiTheme="minorEastAsia" w:eastAsiaTheme="minorEastAsia" w:hAnsiTheme="minorEastAsia" w:cs="仿宋_GB2312"/>
          <w:sz w:val="28"/>
          <w:szCs w:val="28"/>
        </w:rPr>
        <w:t>一、收入支出决算总体情况说明</w:t>
      </w:r>
    </w:p>
    <w:p w:rsidR="00B113A2" w:rsidRDefault="004E39AB">
      <w:pPr>
        <w:spacing w:line="520" w:lineRule="exact"/>
        <w:ind w:firstLineChars="250" w:firstLine="700"/>
        <w:jc w:val="left"/>
        <w:rPr>
          <w:rFonts w:ascii="仿宋_GB2312" w:hAnsi="仿宋_GB2312" w:cs="仿宋_GB2312"/>
          <w:sz w:val="28"/>
          <w:szCs w:val="28"/>
        </w:rPr>
      </w:pPr>
      <w:r>
        <w:rPr>
          <w:rFonts w:ascii="仿宋_GB2312" w:hAnsi="仿宋_GB2312" w:cs="仿宋_GB2312"/>
          <w:sz w:val="28"/>
          <w:szCs w:val="28"/>
        </w:rPr>
        <w:t>二、收入决算情况说明</w:t>
      </w:r>
    </w:p>
    <w:p w:rsidR="00B113A2" w:rsidRDefault="004E39AB">
      <w:pPr>
        <w:autoSpaceDE w:val="0"/>
        <w:autoSpaceDN w:val="0"/>
        <w:adjustRightInd w:val="0"/>
        <w:spacing w:line="520" w:lineRule="exact"/>
        <w:ind w:firstLineChars="250" w:firstLine="700"/>
        <w:jc w:val="left"/>
        <w:rPr>
          <w:rFonts w:ascii="仿宋_GB2312" w:hAnsi="仿宋_GB2312" w:cs="仿宋_GB2312"/>
          <w:color w:val="000000"/>
          <w:kern w:val="0"/>
          <w:sz w:val="28"/>
          <w:szCs w:val="28"/>
        </w:rPr>
      </w:pPr>
      <w:r>
        <w:rPr>
          <w:rFonts w:ascii="仿宋_GB2312" w:hAnsi="仿宋_GB2312" w:cs="仿宋_GB2312"/>
          <w:color w:val="000000"/>
          <w:kern w:val="0"/>
          <w:sz w:val="28"/>
          <w:szCs w:val="28"/>
        </w:rPr>
        <w:t>三、支出决算情况说明</w:t>
      </w:r>
    </w:p>
    <w:p w:rsidR="00B113A2" w:rsidRDefault="004E39AB">
      <w:pPr>
        <w:autoSpaceDE w:val="0"/>
        <w:autoSpaceDN w:val="0"/>
        <w:adjustRightInd w:val="0"/>
        <w:spacing w:line="520" w:lineRule="exact"/>
        <w:ind w:firstLineChars="250" w:firstLine="700"/>
        <w:jc w:val="left"/>
        <w:rPr>
          <w:rFonts w:ascii="仿宋_GB2312" w:hAnsi="仿宋_GB2312" w:cs="仿宋_GB2312"/>
          <w:color w:val="000000"/>
          <w:kern w:val="0"/>
          <w:sz w:val="28"/>
          <w:szCs w:val="28"/>
        </w:rPr>
      </w:pPr>
      <w:r>
        <w:rPr>
          <w:rFonts w:ascii="仿宋_GB2312" w:hAnsi="仿宋_GB2312" w:cs="仿宋_GB2312"/>
          <w:color w:val="000000"/>
          <w:kern w:val="0"/>
          <w:sz w:val="28"/>
          <w:szCs w:val="28"/>
        </w:rPr>
        <w:t>四、财政拨款收入支出决算总体情况说明</w:t>
      </w:r>
    </w:p>
    <w:p w:rsidR="00B113A2" w:rsidRDefault="004E39AB">
      <w:pPr>
        <w:autoSpaceDE w:val="0"/>
        <w:autoSpaceDN w:val="0"/>
        <w:adjustRightInd w:val="0"/>
        <w:spacing w:line="520" w:lineRule="exact"/>
        <w:ind w:firstLineChars="250" w:firstLine="700"/>
        <w:jc w:val="left"/>
        <w:rPr>
          <w:rFonts w:ascii="仿宋_GB2312" w:hAnsi="仿宋_GB2312" w:cs="仿宋_GB2312"/>
          <w:color w:val="000000"/>
          <w:kern w:val="0"/>
          <w:sz w:val="28"/>
          <w:szCs w:val="28"/>
        </w:rPr>
      </w:pPr>
      <w:r>
        <w:rPr>
          <w:rFonts w:ascii="仿宋_GB2312" w:hAnsi="仿宋_GB2312" w:cs="仿宋_GB2312"/>
          <w:color w:val="000000"/>
          <w:kern w:val="0"/>
          <w:sz w:val="28"/>
          <w:szCs w:val="28"/>
        </w:rPr>
        <w:t>五、一般公共预算财政拨款支出决算情况说明</w:t>
      </w:r>
    </w:p>
    <w:p w:rsidR="00B113A2" w:rsidRDefault="004E39AB">
      <w:pPr>
        <w:autoSpaceDE w:val="0"/>
        <w:autoSpaceDN w:val="0"/>
        <w:adjustRightInd w:val="0"/>
        <w:spacing w:line="520" w:lineRule="exact"/>
        <w:ind w:firstLineChars="250" w:firstLine="700"/>
        <w:jc w:val="left"/>
        <w:rPr>
          <w:rFonts w:ascii="仿宋_GB2312" w:hAnsi="仿宋_GB2312" w:cs="仿宋_GB2312"/>
          <w:color w:val="000000"/>
          <w:kern w:val="0"/>
          <w:sz w:val="28"/>
          <w:szCs w:val="28"/>
        </w:rPr>
      </w:pPr>
      <w:r>
        <w:rPr>
          <w:rFonts w:ascii="仿宋_GB2312" w:hAnsi="仿宋_GB2312" w:cs="仿宋_GB2312"/>
          <w:color w:val="000000"/>
          <w:kern w:val="0"/>
          <w:sz w:val="28"/>
          <w:szCs w:val="28"/>
        </w:rPr>
        <w:t>六、一般公共预算财政拨款基本支出决算情况说明</w:t>
      </w:r>
    </w:p>
    <w:p w:rsidR="00B113A2" w:rsidRDefault="004E39AB">
      <w:pPr>
        <w:autoSpaceDE w:val="0"/>
        <w:autoSpaceDN w:val="0"/>
        <w:adjustRightInd w:val="0"/>
        <w:spacing w:line="520" w:lineRule="exact"/>
        <w:ind w:firstLineChars="250" w:firstLine="700"/>
        <w:jc w:val="left"/>
        <w:rPr>
          <w:rFonts w:ascii="仿宋_GB2312" w:hAnsi="仿宋_GB2312" w:cs="仿宋_GB2312"/>
          <w:color w:val="000000"/>
          <w:kern w:val="0"/>
          <w:sz w:val="28"/>
          <w:szCs w:val="28"/>
        </w:rPr>
      </w:pPr>
      <w:r>
        <w:rPr>
          <w:rFonts w:ascii="仿宋_GB2312" w:hAnsi="仿宋_GB2312" w:cs="仿宋_GB2312"/>
          <w:color w:val="000000"/>
          <w:kern w:val="0"/>
          <w:sz w:val="28"/>
          <w:szCs w:val="28"/>
        </w:rPr>
        <w:t>七、一般公共预算财政拨款三公经费支出决算情况说明</w:t>
      </w:r>
    </w:p>
    <w:p w:rsidR="00B113A2" w:rsidRDefault="004E39AB">
      <w:pPr>
        <w:autoSpaceDE w:val="0"/>
        <w:autoSpaceDN w:val="0"/>
        <w:adjustRightInd w:val="0"/>
        <w:spacing w:line="520" w:lineRule="exact"/>
        <w:ind w:firstLineChars="250" w:firstLine="700"/>
        <w:jc w:val="left"/>
        <w:rPr>
          <w:rFonts w:ascii="仿宋_GB2312" w:hAnsi="仿宋_GB2312" w:cs="仿宋_GB2312"/>
          <w:color w:val="000000"/>
          <w:kern w:val="0"/>
          <w:sz w:val="28"/>
          <w:szCs w:val="28"/>
        </w:rPr>
      </w:pPr>
      <w:r>
        <w:rPr>
          <w:rFonts w:ascii="仿宋_GB2312" w:hAnsi="仿宋_GB2312" w:cs="仿宋_GB2312" w:hint="eastAsia"/>
          <w:color w:val="000000"/>
          <w:kern w:val="0"/>
          <w:sz w:val="28"/>
          <w:szCs w:val="28"/>
        </w:rPr>
        <w:t>八</w:t>
      </w:r>
      <w:r>
        <w:rPr>
          <w:rFonts w:ascii="仿宋_GB2312" w:hAnsi="仿宋_GB2312" w:cs="仿宋_GB2312"/>
          <w:color w:val="000000"/>
          <w:kern w:val="0"/>
          <w:sz w:val="28"/>
          <w:szCs w:val="28"/>
        </w:rPr>
        <w:t>、</w:t>
      </w:r>
      <w:r>
        <w:rPr>
          <w:rFonts w:ascii="仿宋_GB2312" w:hAnsi="仿宋_GB2312" w:cs="仿宋_GB2312" w:hint="eastAsia"/>
          <w:color w:val="000000"/>
          <w:kern w:val="0"/>
          <w:sz w:val="28"/>
          <w:szCs w:val="28"/>
        </w:rPr>
        <w:t>政府性基金预算收入支出决算情况</w:t>
      </w:r>
    </w:p>
    <w:p w:rsidR="00B113A2" w:rsidRDefault="004E39AB">
      <w:pPr>
        <w:autoSpaceDE w:val="0"/>
        <w:autoSpaceDN w:val="0"/>
        <w:adjustRightInd w:val="0"/>
        <w:spacing w:line="520" w:lineRule="exact"/>
        <w:ind w:firstLineChars="250" w:firstLine="700"/>
        <w:jc w:val="left"/>
        <w:rPr>
          <w:rFonts w:ascii="仿宋_GB2312" w:hAnsi="仿宋_GB2312" w:cs="仿宋_GB2312"/>
          <w:color w:val="000000"/>
          <w:kern w:val="0"/>
          <w:sz w:val="28"/>
          <w:szCs w:val="28"/>
        </w:rPr>
      </w:pPr>
      <w:r>
        <w:rPr>
          <w:rFonts w:ascii="仿宋_GB2312" w:hAnsi="仿宋_GB2312" w:cs="仿宋_GB2312" w:hint="eastAsia"/>
          <w:color w:val="000000"/>
          <w:kern w:val="0"/>
          <w:sz w:val="28"/>
          <w:szCs w:val="28"/>
        </w:rPr>
        <w:t>九、机关运行经费支出说明</w:t>
      </w:r>
    </w:p>
    <w:p w:rsidR="00B113A2" w:rsidRDefault="004E39AB">
      <w:pPr>
        <w:autoSpaceDE w:val="0"/>
        <w:autoSpaceDN w:val="0"/>
        <w:adjustRightInd w:val="0"/>
        <w:spacing w:line="520" w:lineRule="exact"/>
        <w:ind w:firstLineChars="250" w:firstLine="700"/>
        <w:jc w:val="left"/>
        <w:rPr>
          <w:rFonts w:ascii="仿宋_GB2312" w:hAnsi="仿宋_GB2312" w:cs="仿宋_GB2312"/>
          <w:color w:val="000000"/>
          <w:kern w:val="0"/>
          <w:sz w:val="28"/>
          <w:szCs w:val="28"/>
        </w:rPr>
      </w:pPr>
      <w:r>
        <w:rPr>
          <w:rFonts w:ascii="仿宋_GB2312" w:hAnsi="仿宋_GB2312" w:cs="仿宋_GB2312" w:hint="eastAsia"/>
          <w:color w:val="000000"/>
          <w:kern w:val="0"/>
          <w:sz w:val="28"/>
          <w:szCs w:val="28"/>
        </w:rPr>
        <w:t>十</w:t>
      </w:r>
      <w:r>
        <w:rPr>
          <w:rFonts w:ascii="仿宋_GB2312" w:hAnsi="仿宋_GB2312" w:cs="仿宋_GB2312"/>
          <w:color w:val="000000"/>
          <w:kern w:val="0"/>
          <w:sz w:val="28"/>
          <w:szCs w:val="28"/>
        </w:rPr>
        <w:t>、</w:t>
      </w:r>
      <w:r>
        <w:rPr>
          <w:rFonts w:ascii="仿宋_GB2312" w:hAnsi="仿宋_GB2312" w:cs="仿宋_GB2312" w:hint="eastAsia"/>
          <w:color w:val="000000"/>
          <w:kern w:val="0"/>
          <w:sz w:val="28"/>
          <w:szCs w:val="28"/>
        </w:rPr>
        <w:t>一般性支出情况说明</w:t>
      </w:r>
    </w:p>
    <w:p w:rsidR="00B113A2" w:rsidRDefault="004E39AB">
      <w:pPr>
        <w:autoSpaceDE w:val="0"/>
        <w:autoSpaceDN w:val="0"/>
        <w:adjustRightInd w:val="0"/>
        <w:spacing w:line="520" w:lineRule="exact"/>
        <w:ind w:firstLineChars="250" w:firstLine="700"/>
        <w:jc w:val="left"/>
        <w:rPr>
          <w:rFonts w:ascii="仿宋_GB2312" w:hAnsi="仿宋_GB2312" w:cs="仿宋_GB2312"/>
          <w:color w:val="000000"/>
          <w:kern w:val="0"/>
          <w:sz w:val="28"/>
          <w:szCs w:val="28"/>
        </w:rPr>
      </w:pPr>
      <w:r>
        <w:rPr>
          <w:rFonts w:ascii="仿宋_GB2312" w:hAnsi="仿宋_GB2312" w:cs="仿宋_GB2312" w:hint="eastAsia"/>
          <w:color w:val="000000"/>
          <w:kern w:val="0"/>
          <w:sz w:val="28"/>
          <w:szCs w:val="28"/>
        </w:rPr>
        <w:t>十一、关于政府采购支出说明</w:t>
      </w:r>
    </w:p>
    <w:p w:rsidR="00B113A2" w:rsidRDefault="00B113A2">
      <w:pPr>
        <w:autoSpaceDE w:val="0"/>
        <w:autoSpaceDN w:val="0"/>
        <w:adjustRightInd w:val="0"/>
        <w:spacing w:line="520" w:lineRule="exact"/>
        <w:ind w:firstLineChars="250" w:firstLine="700"/>
        <w:jc w:val="left"/>
        <w:rPr>
          <w:rFonts w:ascii="仿宋_GB2312" w:hAnsi="仿宋_GB2312" w:cs="仿宋_GB2312"/>
          <w:color w:val="000000"/>
          <w:kern w:val="0"/>
          <w:sz w:val="28"/>
          <w:szCs w:val="28"/>
        </w:rPr>
      </w:pPr>
    </w:p>
    <w:p w:rsidR="00B113A2" w:rsidRDefault="004E39AB">
      <w:pPr>
        <w:autoSpaceDE w:val="0"/>
        <w:autoSpaceDN w:val="0"/>
        <w:adjustRightInd w:val="0"/>
        <w:spacing w:line="520" w:lineRule="exact"/>
        <w:ind w:firstLineChars="250" w:firstLine="700"/>
        <w:jc w:val="left"/>
        <w:rPr>
          <w:rFonts w:ascii="仿宋_GB2312" w:hAnsi="仿宋_GB2312" w:cs="仿宋_GB2312"/>
          <w:color w:val="000000"/>
          <w:kern w:val="0"/>
          <w:sz w:val="28"/>
          <w:szCs w:val="28"/>
        </w:rPr>
      </w:pPr>
      <w:r>
        <w:rPr>
          <w:rFonts w:ascii="仿宋_GB2312" w:hAnsi="仿宋_GB2312" w:cs="仿宋_GB2312" w:hint="eastAsia"/>
          <w:color w:val="000000"/>
          <w:kern w:val="0"/>
          <w:sz w:val="28"/>
          <w:szCs w:val="28"/>
        </w:rPr>
        <w:t>十二、关于国有资产占用情况说明</w:t>
      </w:r>
    </w:p>
    <w:p w:rsidR="00B113A2" w:rsidRDefault="004E39AB">
      <w:pPr>
        <w:autoSpaceDE w:val="0"/>
        <w:autoSpaceDN w:val="0"/>
        <w:adjustRightInd w:val="0"/>
        <w:spacing w:line="520" w:lineRule="exact"/>
        <w:ind w:firstLineChars="250" w:firstLine="700"/>
        <w:jc w:val="left"/>
        <w:rPr>
          <w:rFonts w:ascii="仿宋_GB2312" w:hAnsi="仿宋_GB2312" w:cs="仿宋_GB2312"/>
          <w:color w:val="000000"/>
          <w:kern w:val="0"/>
          <w:sz w:val="28"/>
          <w:szCs w:val="28"/>
        </w:rPr>
      </w:pPr>
      <w:r>
        <w:rPr>
          <w:rFonts w:ascii="仿宋_GB2312" w:hAnsi="仿宋_GB2312" w:cs="仿宋_GB2312" w:hint="eastAsia"/>
          <w:color w:val="000000"/>
          <w:kern w:val="0"/>
          <w:sz w:val="28"/>
          <w:szCs w:val="28"/>
        </w:rPr>
        <w:t>十三、关于</w:t>
      </w:r>
      <w:r>
        <w:rPr>
          <w:rFonts w:ascii="仿宋_GB2312" w:hAnsi="仿宋_GB2312" w:cs="仿宋_GB2312" w:hint="eastAsia"/>
          <w:color w:val="000000"/>
          <w:kern w:val="0"/>
          <w:sz w:val="28"/>
          <w:szCs w:val="28"/>
        </w:rPr>
        <w:t>2020</w:t>
      </w:r>
      <w:r>
        <w:rPr>
          <w:rFonts w:ascii="仿宋_GB2312" w:hAnsi="仿宋_GB2312" w:cs="仿宋_GB2312" w:hint="eastAsia"/>
          <w:color w:val="000000"/>
          <w:kern w:val="0"/>
          <w:sz w:val="28"/>
          <w:szCs w:val="28"/>
        </w:rPr>
        <w:t>年度</w:t>
      </w:r>
      <w:r>
        <w:rPr>
          <w:rFonts w:ascii="仿宋_GB2312" w:hAnsi="仿宋_GB2312" w:cs="仿宋_GB2312"/>
          <w:color w:val="000000"/>
          <w:kern w:val="0"/>
          <w:sz w:val="28"/>
          <w:szCs w:val="28"/>
        </w:rPr>
        <w:t>预算绩效情况说明</w:t>
      </w:r>
    </w:p>
    <w:p w:rsidR="00B113A2" w:rsidRDefault="004E39AB">
      <w:pPr>
        <w:autoSpaceDE w:val="0"/>
        <w:autoSpaceDN w:val="0"/>
        <w:adjustRightInd w:val="0"/>
        <w:spacing w:line="520" w:lineRule="exact"/>
        <w:jc w:val="left"/>
        <w:rPr>
          <w:rFonts w:ascii="黑体" w:eastAsia="黑体" w:hAnsi="黑体" w:cs="仿宋_GB2312"/>
          <w:b/>
          <w:color w:val="000000"/>
          <w:kern w:val="0"/>
          <w:sz w:val="28"/>
          <w:szCs w:val="28"/>
        </w:rPr>
      </w:pPr>
      <w:r>
        <w:rPr>
          <w:rFonts w:ascii="黑体" w:eastAsia="黑体" w:hAnsi="黑体" w:cs="黑体"/>
          <w:b/>
          <w:color w:val="000000"/>
          <w:kern w:val="0"/>
          <w:sz w:val="28"/>
          <w:szCs w:val="28"/>
        </w:rPr>
        <w:t>第四部分名词解释</w:t>
      </w:r>
    </w:p>
    <w:p w:rsidR="00B113A2" w:rsidRDefault="004E39AB">
      <w:pPr>
        <w:spacing w:line="520" w:lineRule="exact"/>
        <w:jc w:val="left"/>
        <w:rPr>
          <w:rFonts w:ascii="黑体" w:eastAsia="黑体" w:hAnsi="黑体" w:cs="黑体"/>
          <w:b/>
          <w:color w:val="000000"/>
          <w:kern w:val="0"/>
          <w:sz w:val="28"/>
          <w:szCs w:val="28"/>
        </w:rPr>
      </w:pPr>
      <w:r>
        <w:rPr>
          <w:rFonts w:ascii="黑体" w:eastAsia="黑体" w:hAnsi="黑体" w:cs="黑体"/>
          <w:b/>
          <w:color w:val="000000"/>
          <w:kern w:val="0"/>
          <w:sz w:val="28"/>
          <w:szCs w:val="28"/>
        </w:rPr>
        <w:t>第五部分附件</w:t>
      </w:r>
    </w:p>
    <w:p w:rsidR="00B113A2" w:rsidRDefault="00B113A2">
      <w:pPr>
        <w:pStyle w:val="a0"/>
        <w:rPr>
          <w:rFonts w:ascii="黑体" w:eastAsia="黑体" w:hAnsi="黑体" w:cs="黑体"/>
          <w:b/>
          <w:color w:val="000000"/>
          <w:kern w:val="0"/>
          <w:sz w:val="28"/>
          <w:szCs w:val="28"/>
        </w:rPr>
      </w:pPr>
    </w:p>
    <w:p w:rsidR="00B113A2" w:rsidRDefault="00B113A2">
      <w:pPr>
        <w:pStyle w:val="a0"/>
        <w:rPr>
          <w:rFonts w:ascii="黑体" w:eastAsia="黑体" w:hAnsi="黑体" w:cs="黑体"/>
          <w:b/>
          <w:color w:val="000000"/>
          <w:kern w:val="0"/>
          <w:sz w:val="28"/>
          <w:szCs w:val="28"/>
        </w:rPr>
      </w:pPr>
    </w:p>
    <w:p w:rsidR="00B113A2" w:rsidRDefault="00B113A2">
      <w:pPr>
        <w:pStyle w:val="a0"/>
        <w:rPr>
          <w:rFonts w:ascii="黑体" w:eastAsia="黑体" w:hAnsi="黑体" w:cs="黑体"/>
          <w:b/>
          <w:color w:val="000000"/>
          <w:kern w:val="0"/>
          <w:sz w:val="28"/>
          <w:szCs w:val="28"/>
        </w:rPr>
      </w:pPr>
    </w:p>
    <w:p w:rsidR="00B113A2" w:rsidRDefault="00B113A2">
      <w:pPr>
        <w:pStyle w:val="a0"/>
        <w:rPr>
          <w:rFonts w:ascii="黑体" w:eastAsia="黑体" w:hAnsi="黑体" w:cs="黑体"/>
          <w:b/>
          <w:color w:val="000000"/>
          <w:kern w:val="0"/>
          <w:sz w:val="28"/>
          <w:szCs w:val="28"/>
        </w:rPr>
      </w:pPr>
    </w:p>
    <w:p w:rsidR="00B113A2" w:rsidRDefault="00B113A2">
      <w:pPr>
        <w:pStyle w:val="a0"/>
        <w:rPr>
          <w:rFonts w:ascii="黑体" w:eastAsia="黑体" w:hAnsi="黑体" w:cs="黑体"/>
          <w:b/>
          <w:color w:val="000000"/>
          <w:kern w:val="0"/>
          <w:sz w:val="28"/>
          <w:szCs w:val="28"/>
        </w:rPr>
      </w:pPr>
    </w:p>
    <w:p w:rsidR="00B113A2" w:rsidRDefault="00B113A2">
      <w:pPr>
        <w:pStyle w:val="a0"/>
        <w:rPr>
          <w:rFonts w:ascii="黑体" w:eastAsia="黑体" w:hAnsi="黑体" w:cs="黑体"/>
          <w:b/>
          <w:color w:val="000000"/>
          <w:kern w:val="0"/>
          <w:sz w:val="28"/>
          <w:szCs w:val="28"/>
        </w:rPr>
      </w:pPr>
    </w:p>
    <w:p w:rsidR="00B113A2" w:rsidRDefault="00B113A2">
      <w:pPr>
        <w:pStyle w:val="a0"/>
        <w:rPr>
          <w:rFonts w:ascii="黑体" w:eastAsia="黑体" w:hAnsi="黑体" w:cs="黑体"/>
          <w:b/>
          <w:color w:val="000000"/>
          <w:kern w:val="0"/>
          <w:sz w:val="28"/>
          <w:szCs w:val="28"/>
        </w:rPr>
      </w:pPr>
    </w:p>
    <w:p w:rsidR="00B113A2" w:rsidRDefault="00B113A2">
      <w:pPr>
        <w:pStyle w:val="a0"/>
        <w:rPr>
          <w:rFonts w:ascii="黑体" w:eastAsia="黑体" w:hAnsi="黑体" w:cs="黑体"/>
          <w:b/>
          <w:color w:val="000000"/>
          <w:kern w:val="0"/>
          <w:sz w:val="28"/>
          <w:szCs w:val="28"/>
        </w:rPr>
      </w:pPr>
    </w:p>
    <w:p w:rsidR="00B113A2" w:rsidRDefault="00B113A2">
      <w:pPr>
        <w:pStyle w:val="a0"/>
        <w:rPr>
          <w:rFonts w:ascii="黑体" w:eastAsia="黑体" w:hAnsi="黑体" w:cs="黑体"/>
          <w:b/>
          <w:color w:val="000000"/>
          <w:kern w:val="0"/>
          <w:sz w:val="28"/>
          <w:szCs w:val="28"/>
        </w:rPr>
      </w:pPr>
    </w:p>
    <w:p w:rsidR="00B113A2" w:rsidRDefault="00B113A2">
      <w:pPr>
        <w:pStyle w:val="a0"/>
        <w:rPr>
          <w:rFonts w:ascii="黑体" w:eastAsia="黑体" w:hAnsi="黑体" w:cs="黑体"/>
          <w:b/>
          <w:color w:val="000000"/>
          <w:kern w:val="0"/>
          <w:sz w:val="28"/>
          <w:szCs w:val="28"/>
        </w:rPr>
      </w:pPr>
    </w:p>
    <w:p w:rsidR="00B113A2" w:rsidRDefault="00B113A2">
      <w:pPr>
        <w:pStyle w:val="a0"/>
        <w:rPr>
          <w:rFonts w:ascii="黑体" w:eastAsia="黑体" w:hAnsi="黑体" w:cs="黑体"/>
          <w:b/>
          <w:color w:val="000000"/>
          <w:kern w:val="0"/>
          <w:sz w:val="28"/>
          <w:szCs w:val="28"/>
        </w:rPr>
      </w:pPr>
    </w:p>
    <w:p w:rsidR="00B113A2" w:rsidRDefault="00B113A2">
      <w:pPr>
        <w:pStyle w:val="a0"/>
        <w:rPr>
          <w:rFonts w:ascii="黑体" w:eastAsia="黑体" w:hAnsi="黑体" w:cs="黑体"/>
          <w:b/>
          <w:color w:val="000000"/>
          <w:kern w:val="0"/>
          <w:sz w:val="28"/>
          <w:szCs w:val="28"/>
        </w:rPr>
      </w:pPr>
    </w:p>
    <w:p w:rsidR="00B113A2" w:rsidRDefault="00B113A2">
      <w:pPr>
        <w:pStyle w:val="a0"/>
        <w:rPr>
          <w:rFonts w:ascii="黑体" w:eastAsia="黑体" w:hAnsi="黑体" w:cs="黑体"/>
          <w:b/>
          <w:color w:val="000000"/>
          <w:kern w:val="0"/>
          <w:sz w:val="28"/>
          <w:szCs w:val="28"/>
        </w:rPr>
      </w:pPr>
    </w:p>
    <w:p w:rsidR="00B113A2" w:rsidRDefault="00B113A2">
      <w:pPr>
        <w:pStyle w:val="a0"/>
        <w:rPr>
          <w:rFonts w:ascii="黑体" w:eastAsia="黑体" w:hAnsi="黑体" w:cs="黑体"/>
          <w:b/>
          <w:color w:val="000000"/>
          <w:kern w:val="0"/>
          <w:sz w:val="28"/>
          <w:szCs w:val="28"/>
        </w:rPr>
      </w:pPr>
    </w:p>
    <w:p w:rsidR="00B113A2" w:rsidRDefault="00B113A2">
      <w:pPr>
        <w:pStyle w:val="a0"/>
        <w:rPr>
          <w:rFonts w:ascii="黑体" w:eastAsia="黑体" w:hAnsi="黑体" w:cs="黑体"/>
          <w:b/>
          <w:color w:val="000000"/>
          <w:kern w:val="0"/>
          <w:sz w:val="28"/>
          <w:szCs w:val="28"/>
        </w:rPr>
      </w:pPr>
    </w:p>
    <w:p w:rsidR="00B113A2" w:rsidRDefault="00B113A2">
      <w:pPr>
        <w:pStyle w:val="a0"/>
        <w:rPr>
          <w:rFonts w:ascii="黑体" w:eastAsia="黑体" w:hAnsi="黑体" w:cs="黑体"/>
          <w:b/>
          <w:color w:val="000000"/>
          <w:kern w:val="0"/>
          <w:sz w:val="28"/>
          <w:szCs w:val="28"/>
        </w:rPr>
      </w:pPr>
    </w:p>
    <w:p w:rsidR="00B113A2" w:rsidRDefault="00B113A2">
      <w:pPr>
        <w:pStyle w:val="a0"/>
        <w:rPr>
          <w:rFonts w:ascii="黑体" w:eastAsia="黑体" w:hAnsi="黑体" w:cs="黑体"/>
          <w:b/>
          <w:color w:val="000000"/>
          <w:kern w:val="0"/>
          <w:sz w:val="28"/>
          <w:szCs w:val="28"/>
        </w:rPr>
      </w:pPr>
    </w:p>
    <w:p w:rsidR="00B113A2" w:rsidRDefault="00B113A2">
      <w:pPr>
        <w:pStyle w:val="a0"/>
        <w:rPr>
          <w:rFonts w:ascii="黑体" w:eastAsia="黑体" w:hAnsi="黑体" w:cs="黑体"/>
          <w:b/>
          <w:color w:val="000000"/>
          <w:kern w:val="0"/>
          <w:sz w:val="28"/>
          <w:szCs w:val="28"/>
        </w:rPr>
      </w:pPr>
    </w:p>
    <w:p w:rsidR="00B113A2" w:rsidRDefault="00B113A2">
      <w:pPr>
        <w:pStyle w:val="a0"/>
        <w:rPr>
          <w:rFonts w:ascii="黑体" w:eastAsia="黑体" w:hAnsi="黑体" w:cs="黑体"/>
          <w:b/>
          <w:color w:val="000000"/>
          <w:kern w:val="0"/>
          <w:sz w:val="28"/>
          <w:szCs w:val="28"/>
        </w:rPr>
      </w:pPr>
    </w:p>
    <w:p w:rsidR="00B113A2" w:rsidRDefault="00B113A2">
      <w:pPr>
        <w:pStyle w:val="a0"/>
        <w:rPr>
          <w:rFonts w:ascii="黑体" w:eastAsia="黑体" w:hAnsi="黑体" w:cs="黑体"/>
          <w:b/>
          <w:color w:val="000000"/>
          <w:kern w:val="0"/>
          <w:sz w:val="28"/>
          <w:szCs w:val="28"/>
        </w:rPr>
      </w:pPr>
    </w:p>
    <w:p w:rsidR="00B113A2" w:rsidRDefault="00B113A2">
      <w:pPr>
        <w:pStyle w:val="a0"/>
        <w:rPr>
          <w:rFonts w:ascii="黑体" w:eastAsia="黑体" w:hAnsi="黑体" w:cs="黑体"/>
          <w:b/>
          <w:color w:val="000000"/>
          <w:kern w:val="0"/>
          <w:sz w:val="28"/>
          <w:szCs w:val="28"/>
        </w:rPr>
      </w:pPr>
    </w:p>
    <w:p w:rsidR="00B113A2" w:rsidRDefault="00B113A2">
      <w:pPr>
        <w:pStyle w:val="a0"/>
        <w:rPr>
          <w:rFonts w:ascii="黑体" w:eastAsia="黑体" w:hAnsi="黑体" w:cs="黑体"/>
          <w:b/>
          <w:color w:val="000000"/>
          <w:kern w:val="0"/>
          <w:sz w:val="28"/>
          <w:szCs w:val="28"/>
        </w:rPr>
      </w:pPr>
    </w:p>
    <w:p w:rsidR="00B113A2" w:rsidRDefault="00B113A2">
      <w:pPr>
        <w:pStyle w:val="a0"/>
        <w:rPr>
          <w:rFonts w:ascii="黑体" w:eastAsia="黑体" w:hAnsi="黑体" w:cs="黑体"/>
          <w:b/>
          <w:color w:val="000000"/>
          <w:kern w:val="0"/>
          <w:sz w:val="28"/>
          <w:szCs w:val="28"/>
        </w:rPr>
      </w:pPr>
    </w:p>
    <w:p w:rsidR="00B113A2" w:rsidRDefault="00B113A2">
      <w:pPr>
        <w:pStyle w:val="a0"/>
        <w:rPr>
          <w:rFonts w:ascii="黑体" w:eastAsia="黑体" w:hAnsi="黑体" w:cs="黑体"/>
          <w:b/>
          <w:color w:val="000000"/>
          <w:kern w:val="0"/>
          <w:sz w:val="28"/>
          <w:szCs w:val="28"/>
        </w:rPr>
      </w:pPr>
    </w:p>
    <w:p w:rsidR="00B113A2" w:rsidRDefault="00B113A2">
      <w:pPr>
        <w:pStyle w:val="a0"/>
        <w:rPr>
          <w:rFonts w:ascii="黑体" w:eastAsia="黑体" w:hAnsi="黑体" w:cs="黑体"/>
          <w:b/>
          <w:color w:val="000000"/>
          <w:kern w:val="0"/>
          <w:sz w:val="28"/>
          <w:szCs w:val="28"/>
        </w:rPr>
      </w:pPr>
    </w:p>
    <w:p w:rsidR="00B113A2" w:rsidRDefault="00B113A2">
      <w:pPr>
        <w:pStyle w:val="a0"/>
        <w:rPr>
          <w:rFonts w:ascii="黑体" w:eastAsia="黑体" w:hAnsi="黑体" w:cs="黑体"/>
          <w:b/>
          <w:color w:val="000000"/>
          <w:kern w:val="0"/>
          <w:sz w:val="28"/>
          <w:szCs w:val="28"/>
        </w:rPr>
      </w:pPr>
    </w:p>
    <w:p w:rsidR="00B113A2" w:rsidRDefault="00B113A2">
      <w:pPr>
        <w:pStyle w:val="a0"/>
        <w:rPr>
          <w:rFonts w:ascii="黑体" w:eastAsia="黑体" w:hAnsi="黑体" w:cs="黑体"/>
          <w:b/>
          <w:color w:val="000000"/>
          <w:kern w:val="0"/>
          <w:sz w:val="28"/>
          <w:szCs w:val="28"/>
        </w:rPr>
      </w:pPr>
    </w:p>
    <w:p w:rsidR="00B113A2" w:rsidRDefault="00B113A2">
      <w:pPr>
        <w:pStyle w:val="a0"/>
        <w:rPr>
          <w:rFonts w:ascii="黑体" w:eastAsia="黑体" w:hAnsi="黑体" w:cs="黑体"/>
          <w:b/>
          <w:color w:val="000000"/>
          <w:kern w:val="0"/>
          <w:sz w:val="28"/>
          <w:szCs w:val="28"/>
        </w:rPr>
      </w:pPr>
    </w:p>
    <w:p w:rsidR="00B113A2" w:rsidRDefault="00B113A2">
      <w:pPr>
        <w:pStyle w:val="a0"/>
        <w:rPr>
          <w:rFonts w:ascii="黑体" w:eastAsia="黑体" w:hAnsi="黑体" w:cs="黑体"/>
          <w:b/>
          <w:color w:val="000000"/>
          <w:kern w:val="0"/>
          <w:sz w:val="28"/>
          <w:szCs w:val="28"/>
        </w:rPr>
      </w:pPr>
    </w:p>
    <w:p w:rsidR="00B113A2" w:rsidRDefault="00B113A2">
      <w:pPr>
        <w:pStyle w:val="a0"/>
        <w:rPr>
          <w:rFonts w:ascii="黑体" w:eastAsia="黑体" w:hAnsi="黑体" w:cs="黑体"/>
          <w:b/>
          <w:color w:val="000000"/>
          <w:kern w:val="0"/>
          <w:sz w:val="28"/>
          <w:szCs w:val="28"/>
        </w:rPr>
      </w:pPr>
    </w:p>
    <w:p w:rsidR="00B113A2" w:rsidRDefault="00B113A2">
      <w:pPr>
        <w:pStyle w:val="a0"/>
        <w:rPr>
          <w:rFonts w:ascii="黑体" w:eastAsia="黑体" w:hAnsi="黑体" w:cs="黑体"/>
          <w:b/>
          <w:color w:val="000000"/>
          <w:kern w:val="0"/>
          <w:sz w:val="28"/>
          <w:szCs w:val="28"/>
        </w:rPr>
      </w:pPr>
    </w:p>
    <w:p w:rsidR="00B113A2" w:rsidRDefault="00B113A2">
      <w:pPr>
        <w:pStyle w:val="a0"/>
        <w:rPr>
          <w:rFonts w:ascii="黑体" w:eastAsia="黑体" w:hAnsi="黑体" w:cs="黑体"/>
          <w:b/>
          <w:color w:val="000000"/>
          <w:kern w:val="0"/>
          <w:sz w:val="28"/>
          <w:szCs w:val="28"/>
        </w:rPr>
      </w:pPr>
    </w:p>
    <w:p w:rsidR="00B113A2" w:rsidRDefault="00B113A2">
      <w:pPr>
        <w:pStyle w:val="a0"/>
        <w:rPr>
          <w:rFonts w:ascii="黑体" w:eastAsia="黑体" w:hAnsi="黑体" w:cs="黑体"/>
          <w:b/>
          <w:color w:val="000000"/>
          <w:kern w:val="0"/>
          <w:sz w:val="28"/>
          <w:szCs w:val="28"/>
        </w:rPr>
      </w:pPr>
    </w:p>
    <w:p w:rsidR="00B113A2" w:rsidRDefault="00B113A2">
      <w:pPr>
        <w:pStyle w:val="a0"/>
        <w:rPr>
          <w:rFonts w:ascii="黑体" w:eastAsia="黑体" w:hAnsi="黑体" w:cs="黑体"/>
          <w:b/>
          <w:color w:val="000000"/>
          <w:kern w:val="0"/>
          <w:sz w:val="28"/>
          <w:szCs w:val="28"/>
        </w:rPr>
      </w:pPr>
    </w:p>
    <w:p w:rsidR="00B113A2" w:rsidRDefault="00B113A2">
      <w:pPr>
        <w:pStyle w:val="a0"/>
        <w:rPr>
          <w:rFonts w:ascii="黑体" w:eastAsia="黑体" w:hAnsi="黑体" w:cs="黑体"/>
          <w:b/>
          <w:color w:val="000000"/>
          <w:kern w:val="0"/>
          <w:sz w:val="28"/>
          <w:szCs w:val="28"/>
        </w:rPr>
      </w:pPr>
    </w:p>
    <w:p w:rsidR="00B113A2" w:rsidRDefault="00B113A2">
      <w:pPr>
        <w:pStyle w:val="a0"/>
        <w:jc w:val="center"/>
        <w:rPr>
          <w:sz w:val="72"/>
          <w:szCs w:val="72"/>
        </w:rPr>
      </w:pPr>
    </w:p>
    <w:p w:rsidR="00B113A2" w:rsidRDefault="00B113A2">
      <w:pPr>
        <w:pStyle w:val="a0"/>
        <w:jc w:val="center"/>
        <w:rPr>
          <w:sz w:val="72"/>
          <w:szCs w:val="72"/>
        </w:rPr>
      </w:pPr>
    </w:p>
    <w:p w:rsidR="00B113A2" w:rsidRDefault="00B113A2">
      <w:pPr>
        <w:pStyle w:val="a0"/>
        <w:jc w:val="center"/>
        <w:rPr>
          <w:sz w:val="72"/>
          <w:szCs w:val="72"/>
        </w:rPr>
      </w:pPr>
    </w:p>
    <w:p w:rsidR="00B113A2" w:rsidRDefault="00B113A2">
      <w:pPr>
        <w:pStyle w:val="a0"/>
        <w:jc w:val="center"/>
        <w:rPr>
          <w:sz w:val="72"/>
          <w:szCs w:val="72"/>
        </w:rPr>
      </w:pPr>
    </w:p>
    <w:p w:rsidR="00B113A2" w:rsidRDefault="00B113A2">
      <w:pPr>
        <w:pStyle w:val="a0"/>
        <w:jc w:val="center"/>
        <w:rPr>
          <w:sz w:val="72"/>
          <w:szCs w:val="72"/>
        </w:rPr>
      </w:pPr>
    </w:p>
    <w:p w:rsidR="00B113A2" w:rsidRDefault="00B113A2">
      <w:pPr>
        <w:pStyle w:val="a0"/>
        <w:jc w:val="center"/>
        <w:rPr>
          <w:sz w:val="72"/>
          <w:szCs w:val="72"/>
        </w:rPr>
      </w:pPr>
    </w:p>
    <w:p w:rsidR="00B113A2" w:rsidRDefault="00B113A2">
      <w:pPr>
        <w:pStyle w:val="a0"/>
        <w:jc w:val="center"/>
        <w:rPr>
          <w:sz w:val="72"/>
          <w:szCs w:val="72"/>
        </w:rPr>
      </w:pPr>
    </w:p>
    <w:p w:rsidR="00B113A2" w:rsidRDefault="004E39AB">
      <w:pPr>
        <w:pStyle w:val="a0"/>
        <w:jc w:val="center"/>
        <w:rPr>
          <w:sz w:val="72"/>
          <w:szCs w:val="72"/>
        </w:rPr>
      </w:pPr>
      <w:r>
        <w:rPr>
          <w:rFonts w:hint="eastAsia"/>
          <w:sz w:val="72"/>
          <w:szCs w:val="72"/>
        </w:rPr>
        <w:t>第一部分</w:t>
      </w:r>
    </w:p>
    <w:p w:rsidR="00B113A2" w:rsidRDefault="00B113A2">
      <w:pPr>
        <w:pStyle w:val="a0"/>
        <w:jc w:val="center"/>
        <w:rPr>
          <w:sz w:val="72"/>
          <w:szCs w:val="72"/>
        </w:rPr>
      </w:pPr>
    </w:p>
    <w:p w:rsidR="00B113A2" w:rsidRDefault="004E39AB">
      <w:pPr>
        <w:pStyle w:val="a0"/>
        <w:jc w:val="center"/>
        <w:rPr>
          <w:sz w:val="72"/>
          <w:szCs w:val="72"/>
        </w:rPr>
      </w:pPr>
      <w:r>
        <w:rPr>
          <w:rFonts w:hint="eastAsia"/>
          <w:sz w:val="72"/>
          <w:szCs w:val="72"/>
        </w:rPr>
        <w:t>洪山镇人民政府概况</w:t>
      </w:r>
    </w:p>
    <w:p w:rsidR="00B113A2" w:rsidRDefault="00B113A2">
      <w:pPr>
        <w:pStyle w:val="Default"/>
        <w:jc w:val="center"/>
        <w:rPr>
          <w:sz w:val="84"/>
          <w:szCs w:val="84"/>
        </w:rPr>
      </w:pPr>
    </w:p>
    <w:p w:rsidR="00B113A2" w:rsidRDefault="00B113A2">
      <w:pPr>
        <w:pStyle w:val="Default"/>
        <w:jc w:val="center"/>
        <w:rPr>
          <w:sz w:val="84"/>
          <w:szCs w:val="84"/>
        </w:rPr>
      </w:pPr>
    </w:p>
    <w:p w:rsidR="00B113A2" w:rsidRDefault="00B113A2">
      <w:pPr>
        <w:pStyle w:val="Default"/>
        <w:jc w:val="center"/>
        <w:rPr>
          <w:sz w:val="84"/>
          <w:szCs w:val="84"/>
        </w:rPr>
      </w:pPr>
    </w:p>
    <w:p w:rsidR="00B113A2" w:rsidRDefault="00B113A2">
      <w:pPr>
        <w:pStyle w:val="Default"/>
        <w:jc w:val="center"/>
        <w:rPr>
          <w:sz w:val="84"/>
          <w:szCs w:val="84"/>
        </w:rPr>
      </w:pPr>
    </w:p>
    <w:p w:rsidR="00B113A2" w:rsidRDefault="00B113A2">
      <w:pPr>
        <w:pStyle w:val="Default"/>
        <w:jc w:val="both"/>
        <w:rPr>
          <w:sz w:val="84"/>
          <w:szCs w:val="84"/>
        </w:rPr>
      </w:pPr>
    </w:p>
    <w:p w:rsidR="00B113A2" w:rsidRDefault="004E39AB">
      <w:pPr>
        <w:pStyle w:val="aa"/>
        <w:numPr>
          <w:ilvl w:val="0"/>
          <w:numId w:val="1"/>
        </w:numPr>
        <w:ind w:firstLineChars="0"/>
        <w:jc w:val="left"/>
        <w:rPr>
          <w:rFonts w:ascii="黑体" w:eastAsia="黑体" w:hAnsi="黑体"/>
          <w:sz w:val="32"/>
          <w:szCs w:val="32"/>
        </w:rPr>
      </w:pPr>
      <w:r>
        <w:rPr>
          <w:rFonts w:ascii="黑体" w:eastAsia="黑体" w:hAnsi="黑体"/>
          <w:sz w:val="32"/>
          <w:szCs w:val="32"/>
        </w:rPr>
        <w:lastRenderedPageBreak/>
        <w:t>部门职责</w:t>
      </w:r>
    </w:p>
    <w:p w:rsidR="00B113A2" w:rsidRDefault="004E39AB">
      <w:pPr>
        <w:ind w:firstLineChars="200" w:firstLine="640"/>
        <w:jc w:val="left"/>
        <w:rPr>
          <w:rFonts w:asciiTheme="minorEastAsia" w:hAnsiTheme="minorEastAsia"/>
          <w:sz w:val="32"/>
          <w:szCs w:val="32"/>
        </w:rPr>
      </w:pPr>
      <w:r>
        <w:rPr>
          <w:rFonts w:asciiTheme="minorEastAsia" w:hAnsiTheme="minorEastAsia" w:hint="eastAsia"/>
          <w:sz w:val="32"/>
          <w:szCs w:val="32"/>
        </w:rPr>
        <w:t>1、负责党的路线、方针、政策和国家法律、法规在本行政区域内的宣传、贯彻、落实。加强基层党组织和政权建设，为本地区经济的发展和社会稳定提供政治、社会环境和组织保证。</w:t>
      </w:r>
    </w:p>
    <w:p w:rsidR="00B113A2" w:rsidRDefault="004E39AB">
      <w:pPr>
        <w:ind w:firstLineChars="200" w:firstLine="640"/>
        <w:jc w:val="left"/>
        <w:rPr>
          <w:rFonts w:asciiTheme="minorEastAsia" w:hAnsiTheme="minorEastAsia"/>
          <w:sz w:val="32"/>
          <w:szCs w:val="32"/>
        </w:rPr>
      </w:pPr>
      <w:r>
        <w:rPr>
          <w:rFonts w:asciiTheme="minorEastAsia" w:hAnsiTheme="minorEastAsia" w:hint="eastAsia"/>
          <w:sz w:val="32"/>
          <w:szCs w:val="32"/>
        </w:rPr>
        <w:t>2、负责制定本行政区域内经济建设和各项社会事业发展的规划，并组织实施。依法管理经济和社会事务，促进本乡镇两个文明建设。负责本行政区域内的民主与法制建设工作，维护和保障公民的各项合法权利。</w:t>
      </w:r>
    </w:p>
    <w:p w:rsidR="00B113A2" w:rsidRDefault="004E39AB">
      <w:pPr>
        <w:ind w:firstLineChars="200" w:firstLine="640"/>
        <w:jc w:val="left"/>
        <w:rPr>
          <w:rFonts w:asciiTheme="minorEastAsia" w:hAnsiTheme="minorEastAsia"/>
          <w:sz w:val="32"/>
          <w:szCs w:val="32"/>
        </w:rPr>
      </w:pPr>
      <w:r>
        <w:rPr>
          <w:rFonts w:asciiTheme="minorEastAsia" w:hAnsiTheme="minorEastAsia" w:hint="eastAsia"/>
          <w:sz w:val="32"/>
          <w:szCs w:val="32"/>
        </w:rPr>
        <w:t>3、负责本乡镇党委、人大主席团、人民政府、政协联络工委、纪律检查委员会、人民武装及共青团、妇联等群团组织的日常工作。</w:t>
      </w:r>
    </w:p>
    <w:p w:rsidR="00B113A2" w:rsidRDefault="004E39AB">
      <w:pPr>
        <w:ind w:firstLineChars="200" w:firstLine="640"/>
        <w:jc w:val="left"/>
        <w:rPr>
          <w:rFonts w:asciiTheme="minorEastAsia" w:hAnsiTheme="minorEastAsia"/>
          <w:sz w:val="32"/>
          <w:szCs w:val="32"/>
        </w:rPr>
      </w:pPr>
      <w:r>
        <w:rPr>
          <w:rFonts w:asciiTheme="minorEastAsia" w:hAnsiTheme="minorEastAsia" w:hint="eastAsia"/>
          <w:sz w:val="32"/>
          <w:szCs w:val="32"/>
        </w:rPr>
        <w:t>4、负责制定本行政区域内的国有资产管理规章制度，组织实施和监督检查，会同有关部门管理好区域内的国有资产。</w:t>
      </w:r>
    </w:p>
    <w:p w:rsidR="00B113A2" w:rsidRDefault="004E39AB">
      <w:pPr>
        <w:ind w:firstLineChars="200" w:firstLine="640"/>
        <w:jc w:val="left"/>
        <w:rPr>
          <w:rFonts w:asciiTheme="minorEastAsia" w:hAnsiTheme="minorEastAsia"/>
          <w:sz w:val="32"/>
          <w:szCs w:val="32"/>
        </w:rPr>
      </w:pPr>
      <w:r>
        <w:rPr>
          <w:rFonts w:asciiTheme="minorEastAsia" w:hAnsiTheme="minorEastAsia" w:hint="eastAsia"/>
          <w:sz w:val="32"/>
          <w:szCs w:val="32"/>
        </w:rPr>
        <w:t>5、会同有关部门管理本行政区域内的财政社会保障和就业及医疗卫生支出，组织实施基本建设财务制度，负责农村综合改革工作。</w:t>
      </w:r>
    </w:p>
    <w:p w:rsidR="00B113A2" w:rsidRDefault="004E39AB">
      <w:pPr>
        <w:ind w:firstLineChars="200" w:firstLine="640"/>
        <w:jc w:val="left"/>
        <w:rPr>
          <w:rFonts w:asciiTheme="minorEastAsia" w:hAnsiTheme="minorEastAsia"/>
          <w:sz w:val="32"/>
          <w:szCs w:val="32"/>
        </w:rPr>
      </w:pPr>
      <w:r>
        <w:rPr>
          <w:rFonts w:asciiTheme="minorEastAsia" w:hAnsiTheme="minorEastAsia" w:hint="eastAsia"/>
          <w:sz w:val="32"/>
          <w:szCs w:val="32"/>
        </w:rPr>
        <w:t>6、贯彻执行政府内外债务管理的政策、制度和办法，防范财政风险。</w:t>
      </w:r>
    </w:p>
    <w:p w:rsidR="00B113A2" w:rsidRDefault="004E39AB">
      <w:pPr>
        <w:ind w:firstLineChars="200" w:firstLine="640"/>
        <w:jc w:val="left"/>
        <w:rPr>
          <w:rFonts w:asciiTheme="minorEastAsia" w:hAnsiTheme="minorEastAsia"/>
          <w:sz w:val="32"/>
          <w:szCs w:val="32"/>
        </w:rPr>
      </w:pPr>
      <w:r>
        <w:rPr>
          <w:rFonts w:asciiTheme="minorEastAsia" w:hAnsiTheme="minorEastAsia" w:hint="eastAsia"/>
          <w:sz w:val="32"/>
          <w:szCs w:val="32"/>
        </w:rPr>
        <w:t>7、监督检查财税法规、政策的执行情况，反映财政收支管理中的重大问题，提出加强财政管理的政策和建议。</w:t>
      </w:r>
    </w:p>
    <w:p w:rsidR="00B113A2" w:rsidRDefault="004E39AB">
      <w:pPr>
        <w:ind w:firstLineChars="200" w:firstLine="640"/>
        <w:jc w:val="left"/>
        <w:rPr>
          <w:rFonts w:ascii="仿宋_GB2312" w:eastAsia="仿宋_GB2312" w:hAnsiTheme="minorEastAsia"/>
          <w:sz w:val="28"/>
          <w:szCs w:val="32"/>
        </w:rPr>
      </w:pPr>
      <w:r>
        <w:rPr>
          <w:rFonts w:asciiTheme="minorEastAsia" w:hAnsiTheme="minorEastAsia" w:hint="eastAsia"/>
          <w:sz w:val="32"/>
          <w:szCs w:val="32"/>
        </w:rPr>
        <w:t>8、负责完成上级机关交办的其他工作任务。</w:t>
      </w:r>
    </w:p>
    <w:p w:rsidR="00B113A2" w:rsidRDefault="004E39AB">
      <w:pPr>
        <w:widowControl/>
        <w:spacing w:line="600" w:lineRule="exact"/>
        <w:rPr>
          <w:rFonts w:ascii="黑体" w:eastAsia="黑体" w:hAnsi="黑体"/>
          <w:bCs/>
          <w:kern w:val="0"/>
          <w:sz w:val="32"/>
          <w:szCs w:val="32"/>
        </w:rPr>
      </w:pPr>
      <w:r>
        <w:rPr>
          <w:rFonts w:ascii="黑体" w:eastAsia="黑体" w:hAnsi="黑体" w:hint="eastAsia"/>
          <w:bCs/>
          <w:kern w:val="0"/>
          <w:sz w:val="32"/>
          <w:szCs w:val="32"/>
        </w:rPr>
        <w:t>二、机构设置及决算单位构成</w:t>
      </w:r>
    </w:p>
    <w:p w:rsidR="00B113A2" w:rsidRDefault="004E39AB">
      <w:pPr>
        <w:widowControl/>
        <w:spacing w:line="600" w:lineRule="exact"/>
        <w:rPr>
          <w:rFonts w:asciiTheme="minorEastAsia" w:hAnsiTheme="minorEastAsia"/>
          <w:bCs/>
          <w:kern w:val="0"/>
          <w:sz w:val="32"/>
          <w:szCs w:val="32"/>
        </w:rPr>
      </w:pPr>
      <w:r>
        <w:rPr>
          <w:rFonts w:asciiTheme="minorEastAsia" w:hAnsiTheme="minorEastAsia" w:hint="eastAsia"/>
          <w:bCs/>
          <w:kern w:val="0"/>
          <w:sz w:val="32"/>
          <w:szCs w:val="32"/>
        </w:rPr>
        <w:t>（一）内设机构设置。洪山镇为独立的行政单位，属于一级预算单位，根据编委核定，本单位内设机构：党政办公室、党建办公室、经济发展办公室、社会治安和应急管理办公室、自然资源和生态环</w:t>
      </w:r>
      <w:r>
        <w:rPr>
          <w:rFonts w:asciiTheme="minorEastAsia" w:hAnsiTheme="minorEastAsia" w:hint="eastAsia"/>
          <w:bCs/>
          <w:kern w:val="0"/>
          <w:sz w:val="32"/>
          <w:szCs w:val="32"/>
        </w:rPr>
        <w:lastRenderedPageBreak/>
        <w:t>境办公室，社会事务办公室。另设三中心一大队：社会事务综合服务中心、农业综合服务中心、政务服务中心和综合行政执法大队。</w:t>
      </w:r>
    </w:p>
    <w:p w:rsidR="00B113A2" w:rsidRDefault="004E39AB">
      <w:pPr>
        <w:widowControl/>
        <w:spacing w:line="600" w:lineRule="exact"/>
        <w:rPr>
          <w:rFonts w:asciiTheme="minorEastAsia" w:hAnsiTheme="minorEastAsia"/>
          <w:bCs/>
          <w:kern w:val="0"/>
          <w:sz w:val="32"/>
          <w:szCs w:val="32"/>
        </w:rPr>
      </w:pPr>
      <w:r>
        <w:rPr>
          <w:rFonts w:asciiTheme="minorEastAsia" w:hAnsiTheme="minorEastAsia" w:hint="eastAsia"/>
          <w:bCs/>
          <w:kern w:val="0"/>
          <w:sz w:val="32"/>
          <w:szCs w:val="32"/>
        </w:rPr>
        <w:t>（二）决算单位构成。洪山镇2020年部门决算公开单位为镇政府本级。</w:t>
      </w:r>
    </w:p>
    <w:p w:rsidR="00B113A2" w:rsidRDefault="00B113A2">
      <w:pPr>
        <w:widowControl/>
        <w:spacing w:line="600" w:lineRule="exact"/>
        <w:rPr>
          <w:rFonts w:asciiTheme="minorEastAsia" w:hAnsiTheme="minorEastAsia"/>
          <w:bCs/>
          <w:kern w:val="0"/>
          <w:sz w:val="28"/>
          <w:szCs w:val="28"/>
        </w:rPr>
      </w:pPr>
    </w:p>
    <w:p w:rsidR="00B113A2" w:rsidRDefault="00B113A2">
      <w:pPr>
        <w:jc w:val="left"/>
        <w:rPr>
          <w:rFonts w:ascii="仿宋_GB2312" w:eastAsia="仿宋_GB2312" w:hAnsiTheme="minorEastAsia"/>
          <w:sz w:val="28"/>
          <w:szCs w:val="32"/>
        </w:rPr>
      </w:pPr>
    </w:p>
    <w:p w:rsidR="00B113A2" w:rsidRDefault="00B113A2">
      <w:pPr>
        <w:jc w:val="center"/>
        <w:rPr>
          <w:sz w:val="72"/>
          <w:szCs w:val="72"/>
        </w:rPr>
      </w:pPr>
    </w:p>
    <w:p w:rsidR="00B113A2" w:rsidRDefault="00B113A2">
      <w:pPr>
        <w:pStyle w:val="a0"/>
        <w:rPr>
          <w:sz w:val="72"/>
          <w:szCs w:val="72"/>
        </w:rPr>
      </w:pPr>
    </w:p>
    <w:p w:rsidR="00B113A2" w:rsidRDefault="00B113A2">
      <w:pPr>
        <w:pStyle w:val="a0"/>
        <w:rPr>
          <w:sz w:val="72"/>
          <w:szCs w:val="72"/>
        </w:rPr>
      </w:pPr>
    </w:p>
    <w:p w:rsidR="00B113A2" w:rsidRDefault="00B113A2">
      <w:pPr>
        <w:pStyle w:val="a0"/>
        <w:rPr>
          <w:sz w:val="72"/>
          <w:szCs w:val="72"/>
        </w:rPr>
      </w:pPr>
    </w:p>
    <w:p w:rsidR="00B113A2" w:rsidRDefault="00B113A2">
      <w:pPr>
        <w:pStyle w:val="a0"/>
        <w:rPr>
          <w:sz w:val="72"/>
          <w:szCs w:val="72"/>
        </w:rPr>
      </w:pPr>
    </w:p>
    <w:p w:rsidR="00B113A2" w:rsidRDefault="00B113A2">
      <w:pPr>
        <w:pStyle w:val="a0"/>
        <w:rPr>
          <w:sz w:val="72"/>
          <w:szCs w:val="72"/>
        </w:rPr>
      </w:pPr>
    </w:p>
    <w:p w:rsidR="00B113A2" w:rsidRDefault="00B113A2">
      <w:pPr>
        <w:pStyle w:val="a0"/>
        <w:rPr>
          <w:sz w:val="72"/>
          <w:szCs w:val="72"/>
        </w:rPr>
      </w:pPr>
    </w:p>
    <w:p w:rsidR="00B113A2" w:rsidRDefault="00B113A2">
      <w:pPr>
        <w:pStyle w:val="a0"/>
        <w:rPr>
          <w:sz w:val="72"/>
          <w:szCs w:val="72"/>
        </w:rPr>
      </w:pPr>
    </w:p>
    <w:p w:rsidR="00B113A2" w:rsidRDefault="00B113A2">
      <w:pPr>
        <w:pStyle w:val="a0"/>
        <w:rPr>
          <w:sz w:val="72"/>
          <w:szCs w:val="72"/>
        </w:rPr>
      </w:pPr>
    </w:p>
    <w:p w:rsidR="00B113A2" w:rsidRDefault="00B113A2">
      <w:pPr>
        <w:pStyle w:val="a0"/>
        <w:rPr>
          <w:sz w:val="72"/>
          <w:szCs w:val="72"/>
        </w:rPr>
      </w:pPr>
    </w:p>
    <w:p w:rsidR="00B113A2" w:rsidRDefault="00B113A2">
      <w:pPr>
        <w:pStyle w:val="a0"/>
        <w:rPr>
          <w:sz w:val="72"/>
          <w:szCs w:val="72"/>
        </w:rPr>
      </w:pPr>
    </w:p>
    <w:p w:rsidR="00B113A2" w:rsidRDefault="00B113A2">
      <w:pPr>
        <w:jc w:val="center"/>
        <w:rPr>
          <w:sz w:val="72"/>
          <w:szCs w:val="72"/>
        </w:rPr>
      </w:pPr>
    </w:p>
    <w:p w:rsidR="00B113A2" w:rsidRDefault="00B113A2">
      <w:pPr>
        <w:jc w:val="center"/>
        <w:rPr>
          <w:sz w:val="72"/>
          <w:szCs w:val="72"/>
        </w:rPr>
      </w:pPr>
    </w:p>
    <w:p w:rsidR="00B113A2" w:rsidRDefault="00B113A2">
      <w:pPr>
        <w:jc w:val="center"/>
        <w:rPr>
          <w:sz w:val="72"/>
          <w:szCs w:val="72"/>
        </w:rPr>
      </w:pPr>
    </w:p>
    <w:p w:rsidR="00B113A2" w:rsidRDefault="00B113A2">
      <w:pPr>
        <w:jc w:val="center"/>
        <w:rPr>
          <w:sz w:val="72"/>
          <w:szCs w:val="72"/>
        </w:rPr>
      </w:pPr>
    </w:p>
    <w:p w:rsidR="00B113A2" w:rsidRDefault="00B113A2">
      <w:pPr>
        <w:jc w:val="center"/>
        <w:rPr>
          <w:sz w:val="72"/>
          <w:szCs w:val="72"/>
        </w:rPr>
      </w:pPr>
    </w:p>
    <w:p w:rsidR="00B113A2" w:rsidRDefault="00B113A2">
      <w:pPr>
        <w:jc w:val="center"/>
        <w:rPr>
          <w:sz w:val="72"/>
          <w:szCs w:val="72"/>
        </w:rPr>
      </w:pPr>
    </w:p>
    <w:p w:rsidR="00B113A2" w:rsidRDefault="004E39AB">
      <w:pPr>
        <w:jc w:val="center"/>
        <w:rPr>
          <w:sz w:val="72"/>
          <w:szCs w:val="72"/>
        </w:rPr>
      </w:pPr>
      <w:r>
        <w:rPr>
          <w:rFonts w:hint="eastAsia"/>
          <w:sz w:val="72"/>
          <w:szCs w:val="72"/>
        </w:rPr>
        <w:t>第二部分</w:t>
      </w:r>
    </w:p>
    <w:p w:rsidR="00B113A2" w:rsidRDefault="00B113A2">
      <w:pPr>
        <w:jc w:val="center"/>
        <w:rPr>
          <w:sz w:val="72"/>
          <w:szCs w:val="72"/>
        </w:rPr>
      </w:pPr>
    </w:p>
    <w:p w:rsidR="00B113A2" w:rsidRDefault="004E39AB">
      <w:pPr>
        <w:jc w:val="center"/>
        <w:rPr>
          <w:sz w:val="72"/>
          <w:szCs w:val="72"/>
        </w:rPr>
      </w:pPr>
      <w:r>
        <w:rPr>
          <w:rFonts w:hint="eastAsia"/>
          <w:sz w:val="72"/>
          <w:szCs w:val="72"/>
        </w:rPr>
        <w:t>部门决算表</w:t>
      </w:r>
    </w:p>
    <w:p w:rsidR="00B113A2" w:rsidRDefault="00B113A2">
      <w:pPr>
        <w:jc w:val="center"/>
        <w:rPr>
          <w:sz w:val="72"/>
          <w:szCs w:val="72"/>
        </w:rPr>
      </w:pPr>
    </w:p>
    <w:p w:rsidR="00B113A2" w:rsidRDefault="004E39AB">
      <w:pPr>
        <w:jc w:val="center"/>
        <w:rPr>
          <w:sz w:val="72"/>
          <w:szCs w:val="72"/>
        </w:rPr>
      </w:pPr>
      <w:r>
        <w:rPr>
          <w:rFonts w:hint="eastAsia"/>
          <w:sz w:val="72"/>
          <w:szCs w:val="72"/>
        </w:rPr>
        <w:t>(</w:t>
      </w:r>
      <w:r>
        <w:rPr>
          <w:rFonts w:hint="eastAsia"/>
          <w:sz w:val="72"/>
          <w:szCs w:val="72"/>
        </w:rPr>
        <w:t>部门决算公示表附后</w:t>
      </w:r>
      <w:r>
        <w:rPr>
          <w:rFonts w:hint="eastAsia"/>
          <w:sz w:val="72"/>
          <w:szCs w:val="72"/>
        </w:rPr>
        <w:t>)</w:t>
      </w:r>
    </w:p>
    <w:p w:rsidR="00B113A2" w:rsidRDefault="00B113A2">
      <w:pPr>
        <w:jc w:val="center"/>
        <w:rPr>
          <w:sz w:val="72"/>
          <w:szCs w:val="72"/>
        </w:rPr>
      </w:pPr>
    </w:p>
    <w:p w:rsidR="00B113A2" w:rsidRDefault="00B113A2">
      <w:pPr>
        <w:pStyle w:val="a0"/>
        <w:rPr>
          <w:sz w:val="72"/>
          <w:szCs w:val="72"/>
        </w:rPr>
      </w:pPr>
    </w:p>
    <w:p w:rsidR="00B113A2" w:rsidRDefault="00B113A2">
      <w:pPr>
        <w:pStyle w:val="a0"/>
        <w:rPr>
          <w:sz w:val="72"/>
          <w:szCs w:val="72"/>
        </w:rPr>
      </w:pPr>
    </w:p>
    <w:p w:rsidR="00B113A2" w:rsidRDefault="00B113A2">
      <w:pPr>
        <w:pStyle w:val="a0"/>
        <w:rPr>
          <w:sz w:val="72"/>
          <w:szCs w:val="72"/>
        </w:rPr>
      </w:pPr>
    </w:p>
    <w:p w:rsidR="00B113A2" w:rsidRDefault="00B113A2">
      <w:pPr>
        <w:pStyle w:val="a0"/>
        <w:rPr>
          <w:sz w:val="72"/>
          <w:szCs w:val="72"/>
        </w:rPr>
      </w:pPr>
    </w:p>
    <w:p w:rsidR="00B113A2" w:rsidRDefault="00B113A2">
      <w:pPr>
        <w:pStyle w:val="a0"/>
        <w:rPr>
          <w:sz w:val="72"/>
          <w:szCs w:val="72"/>
        </w:rPr>
      </w:pPr>
    </w:p>
    <w:p w:rsidR="00B113A2" w:rsidRDefault="00B113A2">
      <w:pPr>
        <w:jc w:val="center"/>
        <w:rPr>
          <w:sz w:val="72"/>
          <w:szCs w:val="72"/>
        </w:rPr>
      </w:pPr>
    </w:p>
    <w:p w:rsidR="00B113A2" w:rsidRDefault="00B113A2">
      <w:pPr>
        <w:jc w:val="center"/>
        <w:rPr>
          <w:sz w:val="72"/>
          <w:szCs w:val="72"/>
        </w:rPr>
      </w:pPr>
    </w:p>
    <w:p w:rsidR="00B113A2" w:rsidRDefault="00B113A2">
      <w:pPr>
        <w:pStyle w:val="Default"/>
        <w:jc w:val="center"/>
        <w:rPr>
          <w:sz w:val="72"/>
          <w:szCs w:val="72"/>
        </w:rPr>
      </w:pPr>
    </w:p>
    <w:p w:rsidR="00B113A2" w:rsidRDefault="00B113A2">
      <w:pPr>
        <w:pStyle w:val="Default"/>
        <w:jc w:val="center"/>
        <w:rPr>
          <w:sz w:val="72"/>
          <w:szCs w:val="72"/>
        </w:rPr>
      </w:pPr>
    </w:p>
    <w:p w:rsidR="00B113A2" w:rsidRDefault="00B113A2">
      <w:pPr>
        <w:jc w:val="center"/>
        <w:rPr>
          <w:sz w:val="72"/>
          <w:szCs w:val="72"/>
        </w:rPr>
      </w:pPr>
    </w:p>
    <w:p w:rsidR="00B113A2" w:rsidRDefault="004E39AB">
      <w:pPr>
        <w:jc w:val="center"/>
        <w:rPr>
          <w:sz w:val="72"/>
          <w:szCs w:val="72"/>
        </w:rPr>
      </w:pPr>
      <w:r>
        <w:rPr>
          <w:rFonts w:hint="eastAsia"/>
          <w:sz w:val="72"/>
          <w:szCs w:val="72"/>
        </w:rPr>
        <w:t>第三部分</w:t>
      </w:r>
    </w:p>
    <w:p w:rsidR="00B113A2" w:rsidRDefault="00B113A2">
      <w:pPr>
        <w:jc w:val="center"/>
        <w:rPr>
          <w:sz w:val="72"/>
          <w:szCs w:val="72"/>
        </w:rPr>
      </w:pPr>
    </w:p>
    <w:p w:rsidR="00B113A2" w:rsidRDefault="004E39AB">
      <w:pPr>
        <w:jc w:val="center"/>
        <w:rPr>
          <w:sz w:val="72"/>
          <w:szCs w:val="72"/>
        </w:rPr>
      </w:pPr>
      <w:r>
        <w:rPr>
          <w:rFonts w:hint="eastAsia"/>
          <w:sz w:val="72"/>
          <w:szCs w:val="72"/>
        </w:rPr>
        <w:t>2020</w:t>
      </w:r>
      <w:r>
        <w:rPr>
          <w:rFonts w:hint="eastAsia"/>
          <w:sz w:val="72"/>
          <w:szCs w:val="72"/>
        </w:rPr>
        <w:t>年度部门决算情况说明</w:t>
      </w:r>
    </w:p>
    <w:p w:rsidR="00B113A2" w:rsidRDefault="004E39AB">
      <w:pPr>
        <w:widowControl/>
        <w:jc w:val="left"/>
        <w:rPr>
          <w:rFonts w:ascii="黑体" w:eastAsia="黑体" w:cs="黑体"/>
          <w:color w:val="000000"/>
          <w:kern w:val="0"/>
          <w:sz w:val="70"/>
          <w:szCs w:val="70"/>
        </w:rPr>
      </w:pPr>
      <w:r>
        <w:rPr>
          <w:sz w:val="70"/>
          <w:szCs w:val="70"/>
        </w:rPr>
        <w:br w:type="page"/>
      </w:r>
    </w:p>
    <w:p w:rsidR="00B113A2" w:rsidRDefault="00B113A2">
      <w:pPr>
        <w:pStyle w:val="Default"/>
        <w:rPr>
          <w:rFonts w:hAnsi="黑体"/>
          <w:b/>
          <w:sz w:val="32"/>
          <w:szCs w:val="32"/>
        </w:rPr>
      </w:pPr>
    </w:p>
    <w:p w:rsidR="00B113A2" w:rsidRDefault="004E39AB">
      <w:pPr>
        <w:pStyle w:val="Default"/>
        <w:rPr>
          <w:rFonts w:hAnsi="黑体"/>
          <w:b/>
          <w:sz w:val="32"/>
          <w:szCs w:val="32"/>
        </w:rPr>
      </w:pPr>
      <w:r>
        <w:rPr>
          <w:rFonts w:hAnsi="黑体" w:hint="eastAsia"/>
          <w:b/>
          <w:sz w:val="32"/>
          <w:szCs w:val="32"/>
        </w:rPr>
        <w:t>一、收入支出决算总体情况说明</w:t>
      </w:r>
    </w:p>
    <w:p w:rsidR="00B113A2" w:rsidRDefault="004E39AB">
      <w:pPr>
        <w:spacing w:line="520" w:lineRule="exact"/>
        <w:ind w:firstLine="640"/>
        <w:rPr>
          <w:rFonts w:asciiTheme="minorEastAsia" w:hAnsiTheme="minorEastAsia"/>
          <w:sz w:val="32"/>
          <w:szCs w:val="32"/>
        </w:rPr>
      </w:pPr>
      <w:r>
        <w:rPr>
          <w:rFonts w:asciiTheme="minorEastAsia" w:hAnsiTheme="minorEastAsia" w:hint="eastAsia"/>
          <w:sz w:val="32"/>
          <w:szCs w:val="32"/>
        </w:rPr>
        <w:t>2020年度收、支总计1482.59万元。与2019年相比，增加47.17万元，增加3.2</w:t>
      </w:r>
      <w:r>
        <w:rPr>
          <w:rFonts w:asciiTheme="minorEastAsia" w:hAnsiTheme="minorEastAsia" w:hint="eastAsia"/>
          <w:sz w:val="32"/>
          <w:szCs w:val="32"/>
          <w:lang w:val="zh-CN"/>
        </w:rPr>
        <w:t>%</w:t>
      </w:r>
      <w:r>
        <w:rPr>
          <w:rFonts w:asciiTheme="minorEastAsia" w:hAnsiTheme="minorEastAsia" w:hint="eastAsia"/>
          <w:sz w:val="32"/>
          <w:szCs w:val="32"/>
        </w:rPr>
        <w:t>，主要是因为：与2019年相比，一般公共服务支出减少205.81万元，公共安全支出减少2万元，社会保障和就业支出增加5.52元，卫生健康支出增加2.28万元，城乡社区支出增加138.6万元，农林水支出增加33.2万元，交通运输支出增加2万元，住房保障支出减少13.67万元，抗疫特别国债安排的支出增加78.94万元。</w:t>
      </w:r>
    </w:p>
    <w:p w:rsidR="00B113A2" w:rsidRDefault="004E39AB">
      <w:pPr>
        <w:pStyle w:val="Default"/>
        <w:rPr>
          <w:rFonts w:hAnsi="黑体"/>
          <w:b/>
          <w:sz w:val="32"/>
          <w:szCs w:val="32"/>
        </w:rPr>
      </w:pPr>
      <w:r>
        <w:rPr>
          <w:rFonts w:hAnsi="黑体" w:hint="eastAsia"/>
          <w:b/>
          <w:sz w:val="32"/>
          <w:szCs w:val="32"/>
        </w:rPr>
        <w:t>二、收入决算情况说明</w:t>
      </w:r>
    </w:p>
    <w:p w:rsidR="00B113A2" w:rsidRDefault="004E39AB">
      <w:pPr>
        <w:spacing w:line="520" w:lineRule="exact"/>
        <w:ind w:firstLine="640"/>
        <w:rPr>
          <w:rFonts w:asciiTheme="minorEastAsia" w:hAnsiTheme="minorEastAsia"/>
          <w:sz w:val="32"/>
          <w:szCs w:val="32"/>
        </w:rPr>
      </w:pPr>
      <w:r>
        <w:rPr>
          <w:rFonts w:asciiTheme="minorEastAsia" w:hAnsiTheme="minorEastAsia" w:hint="eastAsia"/>
          <w:sz w:val="32"/>
          <w:szCs w:val="32"/>
        </w:rPr>
        <w:t>本年收入合计1482.59万元，其中：财政拨款收入1265.05万元，占85.33%；政府性基金预算财政拨款收入217.54万元，占14.67%，上级补助收入0万元，占0%；事业收入0万元，占0%；经营收入0万元，占0%；附属单位上缴收入0万元，占0%；其他收入0万元，占0%。</w:t>
      </w:r>
    </w:p>
    <w:p w:rsidR="00B113A2" w:rsidRDefault="004E39AB">
      <w:pPr>
        <w:pStyle w:val="Default"/>
        <w:rPr>
          <w:rFonts w:hAnsi="黑体"/>
          <w:b/>
          <w:sz w:val="32"/>
          <w:szCs w:val="32"/>
        </w:rPr>
      </w:pPr>
      <w:r>
        <w:rPr>
          <w:rFonts w:hAnsi="黑体" w:hint="eastAsia"/>
          <w:b/>
          <w:sz w:val="32"/>
          <w:szCs w:val="32"/>
        </w:rPr>
        <w:t>三、支出决算情况说明</w:t>
      </w:r>
    </w:p>
    <w:p w:rsidR="00B113A2" w:rsidRDefault="004E39AB">
      <w:pPr>
        <w:pStyle w:val="Default"/>
        <w:ind w:firstLineChars="200" w:firstLine="640"/>
        <w:rPr>
          <w:rFonts w:asciiTheme="minorEastAsia" w:eastAsiaTheme="minorEastAsia" w:hAnsiTheme="minorEastAsia"/>
          <w:sz w:val="32"/>
          <w:szCs w:val="32"/>
        </w:rPr>
      </w:pPr>
      <w:r>
        <w:rPr>
          <w:rFonts w:asciiTheme="minorEastAsia" w:eastAsiaTheme="minorEastAsia" w:hAnsiTheme="minorEastAsia" w:hint="eastAsia"/>
          <w:color w:val="auto"/>
          <w:sz w:val="32"/>
          <w:szCs w:val="32"/>
        </w:rPr>
        <w:t>本年支出合计</w:t>
      </w:r>
      <w:r>
        <w:rPr>
          <w:rFonts w:asciiTheme="minorEastAsia" w:eastAsiaTheme="minorEastAsia" w:hAnsiTheme="minorEastAsia" w:cstheme="minorBidi" w:hint="eastAsia"/>
          <w:color w:val="auto"/>
          <w:kern w:val="2"/>
          <w:sz w:val="32"/>
          <w:szCs w:val="32"/>
        </w:rPr>
        <w:t>1482.59万</w:t>
      </w:r>
      <w:r>
        <w:rPr>
          <w:rFonts w:asciiTheme="minorEastAsia" w:eastAsiaTheme="minorEastAsia" w:hAnsiTheme="minorEastAsia" w:hint="eastAsia"/>
          <w:color w:val="auto"/>
          <w:sz w:val="32"/>
          <w:szCs w:val="32"/>
        </w:rPr>
        <w:t>元，其中：基本支出431.2万元，占29.08%；项目支出1051.39元，占70.92%；上缴上级支出0万元，占0%；经营支出0万元，占0%；对附属单位补助支出0万元，占0%。</w:t>
      </w:r>
    </w:p>
    <w:p w:rsidR="00B113A2" w:rsidRDefault="004E39AB">
      <w:pPr>
        <w:pStyle w:val="Default"/>
        <w:rPr>
          <w:rFonts w:hAnsi="黑体"/>
          <w:b/>
          <w:sz w:val="32"/>
          <w:szCs w:val="32"/>
        </w:rPr>
      </w:pPr>
      <w:r>
        <w:rPr>
          <w:rFonts w:hAnsi="黑体" w:hint="eastAsia"/>
          <w:b/>
          <w:sz w:val="32"/>
          <w:szCs w:val="32"/>
        </w:rPr>
        <w:t>四、财政拨款收入支出决算总体情况说明</w:t>
      </w:r>
    </w:p>
    <w:p w:rsidR="00B113A2" w:rsidRDefault="004E39AB">
      <w:pPr>
        <w:pStyle w:val="a9"/>
        <w:shd w:val="clear" w:color="auto" w:fill="FFFFFF"/>
        <w:spacing w:before="0" w:beforeAutospacing="0" w:after="0" w:afterAutospacing="0"/>
        <w:ind w:firstLineChars="200" w:firstLine="640"/>
        <w:rPr>
          <w:rFonts w:asciiTheme="minorEastAsia" w:eastAsiaTheme="minorEastAsia" w:hAnsiTheme="minorEastAsia" w:cs="黑体"/>
          <w:sz w:val="32"/>
          <w:szCs w:val="32"/>
        </w:rPr>
      </w:pPr>
      <w:r>
        <w:rPr>
          <w:rFonts w:asciiTheme="minorEastAsia" w:eastAsiaTheme="minorEastAsia" w:hAnsiTheme="minorEastAsia" w:hint="eastAsia"/>
          <w:sz w:val="32"/>
          <w:szCs w:val="32"/>
        </w:rPr>
        <w:t>2020年度收、支总计1482.59万元。与2019年相比，增加47.17万元，增加3.2%，主要是因为：</w:t>
      </w:r>
      <w:r>
        <w:rPr>
          <w:rFonts w:asciiTheme="minorEastAsia" w:eastAsiaTheme="minorEastAsia" w:hAnsiTheme="minorEastAsia" w:cs="黑体" w:hint="eastAsia"/>
          <w:sz w:val="32"/>
          <w:szCs w:val="32"/>
        </w:rPr>
        <w:t>一般公共服务支出减少205.81万元，公共安全支出减少2万元，社会保障和就业支出增加5.52元，卫生健康支出增加2.28万元，城乡社区支出增加138.6万元，农林水支出增加33.2万元，交通运输支出增加2万元，住房保障支出减少13.67万元，抗疫特别国债安排的支出增加78.94万元。</w:t>
      </w:r>
    </w:p>
    <w:p w:rsidR="00B113A2" w:rsidRDefault="004E39AB">
      <w:pPr>
        <w:pStyle w:val="Default"/>
        <w:rPr>
          <w:rFonts w:hAnsi="黑体"/>
          <w:b/>
          <w:sz w:val="32"/>
          <w:szCs w:val="32"/>
        </w:rPr>
      </w:pPr>
      <w:r>
        <w:rPr>
          <w:rFonts w:hAnsi="黑体" w:hint="eastAsia"/>
          <w:b/>
          <w:sz w:val="32"/>
          <w:szCs w:val="32"/>
        </w:rPr>
        <w:lastRenderedPageBreak/>
        <w:t>五、一般公共预算财政拨款支出决算情况说明</w:t>
      </w:r>
    </w:p>
    <w:p w:rsidR="00B113A2" w:rsidRDefault="004E39AB" w:rsidP="00B113A2">
      <w:pPr>
        <w:pStyle w:val="Default"/>
        <w:ind w:firstLineChars="200" w:firstLine="643"/>
        <w:rPr>
          <w:rFonts w:asciiTheme="minorEastAsia" w:eastAsiaTheme="minorEastAsia" w:hAnsiTheme="minorEastAsia"/>
          <w:b/>
          <w:sz w:val="32"/>
          <w:szCs w:val="32"/>
        </w:rPr>
      </w:pPr>
      <w:r>
        <w:rPr>
          <w:rFonts w:asciiTheme="minorEastAsia" w:eastAsiaTheme="minorEastAsia" w:hAnsiTheme="minorEastAsia" w:hint="eastAsia"/>
          <w:b/>
          <w:sz w:val="32"/>
          <w:szCs w:val="32"/>
        </w:rPr>
        <w:t>（一）财政拨款支出决算总体情况</w:t>
      </w:r>
    </w:p>
    <w:p w:rsidR="00B113A2" w:rsidRDefault="004E39AB">
      <w:pPr>
        <w:pStyle w:val="a9"/>
        <w:shd w:val="clear" w:color="auto" w:fill="FFFFFF"/>
        <w:spacing w:before="0" w:beforeAutospacing="0" w:after="0" w:afterAutospacing="0"/>
        <w:ind w:firstLineChars="200" w:firstLine="640"/>
        <w:rPr>
          <w:rFonts w:asciiTheme="minorEastAsia" w:eastAsiaTheme="minorEastAsia" w:hAnsiTheme="minorEastAsia" w:cs="黑体"/>
          <w:color w:val="000000"/>
          <w:sz w:val="32"/>
          <w:szCs w:val="32"/>
        </w:rPr>
      </w:pPr>
      <w:r>
        <w:rPr>
          <w:rFonts w:asciiTheme="minorEastAsia" w:eastAsiaTheme="minorEastAsia" w:hAnsiTheme="minorEastAsia" w:cs="黑体" w:hint="eastAsia"/>
          <w:color w:val="000000"/>
          <w:sz w:val="32"/>
          <w:szCs w:val="32"/>
        </w:rPr>
        <w:t>2020年度财政拨款支出1</w:t>
      </w:r>
      <w:r w:rsidR="00BB4077">
        <w:rPr>
          <w:rFonts w:asciiTheme="minorEastAsia" w:eastAsiaTheme="minorEastAsia" w:hAnsiTheme="minorEastAsia" w:cs="黑体" w:hint="eastAsia"/>
          <w:color w:val="000000"/>
          <w:sz w:val="32"/>
          <w:szCs w:val="32"/>
        </w:rPr>
        <w:t>265.05</w:t>
      </w:r>
      <w:r>
        <w:rPr>
          <w:rFonts w:asciiTheme="minorEastAsia" w:eastAsiaTheme="minorEastAsia" w:hAnsiTheme="minorEastAsia" w:cs="黑体" w:hint="eastAsia"/>
          <w:color w:val="000000"/>
          <w:sz w:val="32"/>
          <w:szCs w:val="32"/>
        </w:rPr>
        <w:t>万元，占本年支出合计的100%，与2019年相比，财政拨款支出增加47.17万元，增加3.2%，主要是因为一般公共服务支出减少，住房保障支出减少，城乡社区支出增加，抗击疫情支出。</w:t>
      </w:r>
    </w:p>
    <w:p w:rsidR="00B113A2" w:rsidRDefault="004E39AB" w:rsidP="00B113A2">
      <w:pPr>
        <w:pStyle w:val="Default"/>
        <w:ind w:firstLineChars="150" w:firstLine="482"/>
        <w:rPr>
          <w:rFonts w:asciiTheme="minorEastAsia" w:eastAsiaTheme="minorEastAsia" w:hAnsiTheme="minorEastAsia"/>
          <w:b/>
          <w:sz w:val="32"/>
          <w:szCs w:val="32"/>
        </w:rPr>
      </w:pPr>
      <w:r>
        <w:rPr>
          <w:rFonts w:asciiTheme="minorEastAsia" w:eastAsiaTheme="minorEastAsia" w:hAnsiTheme="minorEastAsia" w:hint="eastAsia"/>
          <w:b/>
          <w:sz w:val="32"/>
          <w:szCs w:val="32"/>
        </w:rPr>
        <w:t>（二）财政拨款支出决算结构情况</w:t>
      </w:r>
    </w:p>
    <w:p w:rsidR="00B113A2" w:rsidRDefault="004E39AB">
      <w:pPr>
        <w:pStyle w:val="Default"/>
        <w:ind w:firstLineChars="200" w:firstLine="640"/>
        <w:rPr>
          <w:rFonts w:asciiTheme="minorEastAsia" w:eastAsiaTheme="minorEastAsia" w:hAnsiTheme="minorEastAsia"/>
          <w:color w:val="auto"/>
          <w:sz w:val="32"/>
          <w:szCs w:val="32"/>
        </w:rPr>
      </w:pPr>
      <w:r>
        <w:rPr>
          <w:rFonts w:asciiTheme="minorEastAsia" w:eastAsiaTheme="minorEastAsia" w:hAnsiTheme="minorEastAsia" w:hint="eastAsia"/>
          <w:color w:val="auto"/>
          <w:sz w:val="32"/>
          <w:szCs w:val="32"/>
        </w:rPr>
        <w:t>2020年度财政拨款支出</w:t>
      </w:r>
      <w:r w:rsidR="00BB4077">
        <w:rPr>
          <w:rFonts w:asciiTheme="minorEastAsia" w:eastAsiaTheme="minorEastAsia" w:hAnsiTheme="minorEastAsia" w:hint="eastAsia"/>
          <w:color w:val="auto"/>
          <w:sz w:val="32"/>
          <w:szCs w:val="32"/>
        </w:rPr>
        <w:t>1265.05</w:t>
      </w:r>
      <w:r>
        <w:rPr>
          <w:rFonts w:asciiTheme="minorEastAsia" w:eastAsiaTheme="minorEastAsia" w:hAnsiTheme="minorEastAsia" w:hint="eastAsia"/>
          <w:color w:val="auto"/>
          <w:sz w:val="32"/>
          <w:szCs w:val="32"/>
        </w:rPr>
        <w:t>万元，主要用于以下方面：一般公共服务（类）支出716.08万元，占48.31%；社会保障和就业（类）支出58.47万元，占3.95%;卫生健康（类）支出18.13万元，占1.22%；城乡社区支出138.6万元，占9.34%；农林水（类）支出453.31万元，占30.58%；交通运输支出支出10万元，占0.67%；住房保障（类）支出9.05万元，占0.61%；抗疫特别国债安排支出78.94万元，占5.32%。</w:t>
      </w:r>
    </w:p>
    <w:p w:rsidR="00B113A2" w:rsidRDefault="004E39AB" w:rsidP="00B113A2">
      <w:pPr>
        <w:pStyle w:val="Default"/>
        <w:ind w:firstLineChars="250" w:firstLine="803"/>
        <w:rPr>
          <w:rFonts w:asciiTheme="minorEastAsia" w:eastAsiaTheme="minorEastAsia" w:hAnsiTheme="minorEastAsia"/>
          <w:b/>
          <w:sz w:val="32"/>
          <w:szCs w:val="32"/>
        </w:rPr>
      </w:pPr>
      <w:r>
        <w:rPr>
          <w:rFonts w:asciiTheme="minorEastAsia" w:eastAsiaTheme="minorEastAsia" w:hAnsiTheme="minorEastAsia" w:hint="eastAsia"/>
          <w:b/>
          <w:sz w:val="32"/>
          <w:szCs w:val="32"/>
        </w:rPr>
        <w:t>（三）财政拨款支出决算具体情况</w:t>
      </w:r>
    </w:p>
    <w:p w:rsidR="00B113A2" w:rsidRDefault="004E39AB">
      <w:pPr>
        <w:pStyle w:val="Default"/>
        <w:ind w:firstLineChars="250" w:firstLine="800"/>
        <w:rPr>
          <w:rFonts w:asciiTheme="minorEastAsia" w:eastAsiaTheme="minorEastAsia" w:hAnsiTheme="minorEastAsia"/>
          <w:color w:val="auto"/>
          <w:sz w:val="32"/>
          <w:szCs w:val="32"/>
        </w:rPr>
      </w:pPr>
      <w:r>
        <w:rPr>
          <w:rFonts w:asciiTheme="minorEastAsia" w:eastAsiaTheme="minorEastAsia" w:hAnsiTheme="minorEastAsia" w:hint="eastAsia"/>
          <w:color w:val="auto"/>
          <w:sz w:val="32"/>
          <w:szCs w:val="32"/>
        </w:rPr>
        <w:t>2020年度财政拨款支出年初预算数为774.21万元，支出决算数为</w:t>
      </w:r>
      <w:r w:rsidR="00BB4077">
        <w:rPr>
          <w:rFonts w:asciiTheme="minorEastAsia" w:eastAsiaTheme="minorEastAsia" w:hAnsiTheme="minorEastAsia" w:hint="eastAsia"/>
          <w:color w:val="auto"/>
          <w:sz w:val="32"/>
          <w:szCs w:val="32"/>
        </w:rPr>
        <w:t>1265.05</w:t>
      </w:r>
      <w:r>
        <w:rPr>
          <w:rFonts w:asciiTheme="minorEastAsia" w:eastAsiaTheme="minorEastAsia" w:hAnsiTheme="minorEastAsia" w:hint="eastAsia"/>
          <w:color w:val="auto"/>
          <w:sz w:val="32"/>
          <w:szCs w:val="32"/>
        </w:rPr>
        <w:t>万元，完成年初预算的191.5%，其中：</w:t>
      </w:r>
    </w:p>
    <w:p w:rsidR="00B113A2" w:rsidRDefault="004E39AB">
      <w:pPr>
        <w:pStyle w:val="Default"/>
        <w:ind w:firstLineChars="200" w:firstLine="640"/>
        <w:rPr>
          <w:rFonts w:asciiTheme="minorEastAsia" w:eastAsiaTheme="minorEastAsia" w:hAnsiTheme="minorEastAsia"/>
          <w:sz w:val="32"/>
          <w:szCs w:val="32"/>
        </w:rPr>
      </w:pPr>
      <w:r>
        <w:rPr>
          <w:rFonts w:asciiTheme="minorEastAsia" w:eastAsiaTheme="minorEastAsia" w:hAnsiTheme="minorEastAsia" w:hint="eastAsia"/>
          <w:sz w:val="32"/>
          <w:szCs w:val="32"/>
        </w:rPr>
        <w:t>1.一般公共服务</w:t>
      </w:r>
    </w:p>
    <w:p w:rsidR="00B113A2" w:rsidRDefault="004E39AB">
      <w:pPr>
        <w:pStyle w:val="Default"/>
        <w:ind w:firstLineChars="200" w:firstLine="640"/>
        <w:rPr>
          <w:rFonts w:asciiTheme="minorEastAsia" w:eastAsiaTheme="minorEastAsia" w:hAnsiTheme="minorEastAsia"/>
          <w:sz w:val="32"/>
          <w:szCs w:val="32"/>
        </w:rPr>
      </w:pPr>
      <w:r>
        <w:rPr>
          <w:rFonts w:asciiTheme="minorEastAsia" w:eastAsiaTheme="minorEastAsia" w:hAnsiTheme="minorEastAsia" w:hint="eastAsia"/>
          <w:sz w:val="32"/>
          <w:szCs w:val="32"/>
        </w:rPr>
        <w:t>年初预算为307.66万元，支出决算为</w:t>
      </w:r>
      <w:r>
        <w:rPr>
          <w:rFonts w:asciiTheme="minorEastAsia" w:eastAsiaTheme="minorEastAsia" w:hAnsiTheme="minorEastAsia" w:hint="eastAsia"/>
          <w:color w:val="auto"/>
          <w:sz w:val="32"/>
          <w:szCs w:val="32"/>
        </w:rPr>
        <w:t>716.08</w:t>
      </w:r>
      <w:r>
        <w:rPr>
          <w:rFonts w:asciiTheme="minorEastAsia" w:eastAsiaTheme="minorEastAsia" w:hAnsiTheme="minorEastAsia" w:hint="eastAsia"/>
          <w:sz w:val="32"/>
          <w:szCs w:val="32"/>
        </w:rPr>
        <w:t>万元，完成年初预算的232.75%，决算数大于年初预算数的主要原因是：人员异动及政策性调整。</w:t>
      </w:r>
    </w:p>
    <w:p w:rsidR="00B113A2" w:rsidRDefault="004E39AB">
      <w:pPr>
        <w:pStyle w:val="Default"/>
        <w:ind w:firstLineChars="200" w:firstLine="640"/>
        <w:rPr>
          <w:rFonts w:asciiTheme="minorEastAsia" w:eastAsiaTheme="minorEastAsia" w:hAnsiTheme="minorEastAsia"/>
          <w:sz w:val="32"/>
          <w:szCs w:val="32"/>
        </w:rPr>
      </w:pPr>
      <w:r>
        <w:rPr>
          <w:rFonts w:asciiTheme="minorEastAsia" w:eastAsiaTheme="minorEastAsia" w:hAnsiTheme="minorEastAsia" w:hint="eastAsia"/>
          <w:sz w:val="32"/>
          <w:szCs w:val="32"/>
        </w:rPr>
        <w:t>2.社会保障和就业支出</w:t>
      </w:r>
    </w:p>
    <w:p w:rsidR="00B113A2" w:rsidRDefault="004E39AB">
      <w:pPr>
        <w:pStyle w:val="Default"/>
        <w:ind w:firstLineChars="200" w:firstLine="640"/>
        <w:rPr>
          <w:rFonts w:asciiTheme="minorEastAsia" w:eastAsiaTheme="minorEastAsia" w:hAnsiTheme="minorEastAsia"/>
          <w:sz w:val="32"/>
          <w:szCs w:val="32"/>
        </w:rPr>
      </w:pPr>
      <w:r>
        <w:rPr>
          <w:rFonts w:asciiTheme="minorEastAsia" w:eastAsiaTheme="minorEastAsia" w:hAnsiTheme="minorEastAsia" w:hint="eastAsia"/>
          <w:sz w:val="32"/>
          <w:szCs w:val="32"/>
        </w:rPr>
        <w:t>年初预算为54.63万元，支出决算为58.47万元，完成年初预算的107.32%，决算数大于年初预算数的主要原因是：人员增加、补</w:t>
      </w:r>
      <w:r>
        <w:rPr>
          <w:rFonts w:asciiTheme="minorEastAsia" w:eastAsiaTheme="minorEastAsia" w:hAnsiTheme="minorEastAsia" w:hint="eastAsia"/>
          <w:sz w:val="32"/>
          <w:szCs w:val="32"/>
        </w:rPr>
        <w:lastRenderedPageBreak/>
        <w:t>缴社保费用。</w:t>
      </w:r>
    </w:p>
    <w:p w:rsidR="00B113A2" w:rsidRDefault="004E39AB">
      <w:pPr>
        <w:pStyle w:val="Default"/>
        <w:ind w:firstLineChars="200" w:firstLine="640"/>
        <w:rPr>
          <w:rFonts w:asciiTheme="minorEastAsia" w:eastAsiaTheme="minorEastAsia" w:hAnsiTheme="minorEastAsia"/>
          <w:sz w:val="32"/>
          <w:szCs w:val="32"/>
        </w:rPr>
      </w:pPr>
      <w:r>
        <w:rPr>
          <w:rFonts w:asciiTheme="minorEastAsia" w:eastAsiaTheme="minorEastAsia" w:hAnsiTheme="minorEastAsia" w:hint="eastAsia"/>
          <w:sz w:val="32"/>
          <w:szCs w:val="32"/>
        </w:rPr>
        <w:t>3.卫生健康支出</w:t>
      </w:r>
    </w:p>
    <w:p w:rsidR="00B113A2" w:rsidRDefault="004E39AB">
      <w:pPr>
        <w:pStyle w:val="Default"/>
        <w:ind w:firstLineChars="200" w:firstLine="640"/>
        <w:rPr>
          <w:rFonts w:asciiTheme="minorEastAsia" w:eastAsiaTheme="minorEastAsia" w:hAnsiTheme="minorEastAsia"/>
          <w:sz w:val="32"/>
          <w:szCs w:val="32"/>
        </w:rPr>
      </w:pPr>
      <w:r>
        <w:rPr>
          <w:rFonts w:asciiTheme="minorEastAsia" w:eastAsiaTheme="minorEastAsia" w:hAnsiTheme="minorEastAsia" w:hint="eastAsia"/>
          <w:sz w:val="32"/>
          <w:szCs w:val="32"/>
        </w:rPr>
        <w:t>年初预算为10.89万元，支出决算为18.13万元，完成年初预算的166.48%，决算数大于年初预算数的主要原因是：追加村级改厕项目资金。</w:t>
      </w:r>
    </w:p>
    <w:p w:rsidR="00B113A2" w:rsidRDefault="004E39AB">
      <w:pPr>
        <w:pStyle w:val="Default"/>
        <w:ind w:firstLineChars="200" w:firstLine="640"/>
        <w:rPr>
          <w:rFonts w:asciiTheme="minorEastAsia" w:eastAsiaTheme="minorEastAsia" w:hAnsiTheme="minorEastAsia"/>
          <w:sz w:val="32"/>
          <w:szCs w:val="32"/>
        </w:rPr>
      </w:pPr>
      <w:r>
        <w:rPr>
          <w:rFonts w:asciiTheme="minorEastAsia" w:eastAsiaTheme="minorEastAsia" w:hAnsiTheme="minorEastAsia" w:hint="eastAsia"/>
          <w:sz w:val="32"/>
          <w:szCs w:val="32"/>
        </w:rPr>
        <w:t>4.农林水支出</w:t>
      </w:r>
    </w:p>
    <w:p w:rsidR="00B113A2" w:rsidRDefault="004E39AB">
      <w:pPr>
        <w:pStyle w:val="Default"/>
        <w:ind w:firstLineChars="250" w:firstLine="800"/>
        <w:rPr>
          <w:rFonts w:asciiTheme="minorEastAsia" w:eastAsiaTheme="minorEastAsia" w:hAnsiTheme="minorEastAsia"/>
          <w:sz w:val="32"/>
          <w:szCs w:val="32"/>
        </w:rPr>
      </w:pPr>
      <w:r>
        <w:rPr>
          <w:rFonts w:asciiTheme="minorEastAsia" w:eastAsiaTheme="minorEastAsia" w:hAnsiTheme="minorEastAsia" w:hint="eastAsia"/>
          <w:sz w:val="32"/>
          <w:szCs w:val="32"/>
        </w:rPr>
        <w:t>年初预算为391.98万元，支出决算为453.31万元，完成年初预算的,115.64%，决算数大于年初预算数的主要原因是：追加村级集体经济引导项目经费。</w:t>
      </w:r>
    </w:p>
    <w:p w:rsidR="00B113A2" w:rsidRDefault="004E39AB">
      <w:pPr>
        <w:pStyle w:val="Default"/>
        <w:ind w:firstLineChars="250" w:firstLine="800"/>
        <w:rPr>
          <w:rFonts w:asciiTheme="minorEastAsia" w:eastAsiaTheme="minorEastAsia" w:hAnsiTheme="minorEastAsia"/>
          <w:sz w:val="32"/>
          <w:szCs w:val="32"/>
        </w:rPr>
      </w:pPr>
      <w:r>
        <w:rPr>
          <w:rFonts w:asciiTheme="minorEastAsia" w:eastAsiaTheme="minorEastAsia" w:hAnsiTheme="minorEastAsia" w:hint="eastAsia"/>
          <w:sz w:val="32"/>
          <w:szCs w:val="32"/>
        </w:rPr>
        <w:t>5.住房保障支出</w:t>
      </w:r>
    </w:p>
    <w:p w:rsidR="00B113A2" w:rsidRDefault="004E39AB">
      <w:pPr>
        <w:pStyle w:val="Default"/>
        <w:ind w:firstLineChars="250" w:firstLine="800"/>
        <w:rPr>
          <w:rFonts w:asciiTheme="minorEastAsia" w:eastAsiaTheme="minorEastAsia" w:hAnsiTheme="minorEastAsia"/>
          <w:sz w:val="32"/>
          <w:szCs w:val="32"/>
        </w:rPr>
      </w:pPr>
      <w:r>
        <w:rPr>
          <w:rFonts w:asciiTheme="minorEastAsia" w:eastAsiaTheme="minorEastAsia" w:hAnsiTheme="minorEastAsia" w:hint="eastAsia"/>
          <w:sz w:val="32"/>
          <w:szCs w:val="32"/>
        </w:rPr>
        <w:t>年初预算为9.05万元，支出决算为9.05万元，完成年初预算的100%。</w:t>
      </w:r>
    </w:p>
    <w:p w:rsidR="00B113A2" w:rsidRDefault="004E39AB">
      <w:pPr>
        <w:pStyle w:val="Default"/>
        <w:ind w:firstLineChars="250" w:firstLine="800"/>
        <w:rPr>
          <w:rFonts w:asciiTheme="minorEastAsia" w:eastAsiaTheme="minorEastAsia" w:hAnsiTheme="minorEastAsia"/>
          <w:sz w:val="32"/>
          <w:szCs w:val="32"/>
        </w:rPr>
      </w:pPr>
      <w:r>
        <w:rPr>
          <w:rFonts w:asciiTheme="minorEastAsia" w:eastAsiaTheme="minorEastAsia" w:hAnsiTheme="minorEastAsia" w:hint="eastAsia"/>
          <w:sz w:val="32"/>
          <w:szCs w:val="32"/>
        </w:rPr>
        <w:t>6.城乡社区支出</w:t>
      </w:r>
    </w:p>
    <w:p w:rsidR="00B113A2" w:rsidRDefault="004E39AB">
      <w:pPr>
        <w:pStyle w:val="Default"/>
        <w:ind w:firstLineChars="250" w:firstLine="800"/>
        <w:rPr>
          <w:rFonts w:asciiTheme="minorEastAsia" w:eastAsiaTheme="minorEastAsia" w:hAnsiTheme="minorEastAsia"/>
          <w:sz w:val="32"/>
          <w:szCs w:val="32"/>
        </w:rPr>
      </w:pPr>
      <w:r>
        <w:rPr>
          <w:rFonts w:asciiTheme="minorEastAsia" w:eastAsiaTheme="minorEastAsia" w:hAnsiTheme="minorEastAsia" w:hint="eastAsia"/>
          <w:sz w:val="32"/>
          <w:szCs w:val="32"/>
        </w:rPr>
        <w:t>年初预算为0万元，支出决算为138.6万元，完成年初预算的138.6%，决算数大于年初预算数的主要原因是：城乡卫生、社区经费支出。</w:t>
      </w:r>
    </w:p>
    <w:p w:rsidR="00B113A2" w:rsidRDefault="004E39AB">
      <w:pPr>
        <w:pStyle w:val="Default"/>
        <w:ind w:firstLineChars="250" w:firstLine="800"/>
        <w:rPr>
          <w:rFonts w:asciiTheme="minorEastAsia" w:eastAsiaTheme="minorEastAsia" w:hAnsiTheme="minorEastAsia"/>
          <w:sz w:val="32"/>
          <w:szCs w:val="32"/>
        </w:rPr>
      </w:pPr>
      <w:r>
        <w:rPr>
          <w:rFonts w:asciiTheme="minorEastAsia" w:eastAsiaTheme="minorEastAsia" w:hAnsiTheme="minorEastAsia" w:hint="eastAsia"/>
          <w:sz w:val="32"/>
          <w:szCs w:val="32"/>
        </w:rPr>
        <w:t>7.抗疫特别国债安排的支出</w:t>
      </w:r>
    </w:p>
    <w:p w:rsidR="00B113A2" w:rsidRDefault="004E39AB">
      <w:pPr>
        <w:pStyle w:val="Default"/>
        <w:ind w:firstLineChars="250" w:firstLine="800"/>
        <w:rPr>
          <w:rFonts w:asciiTheme="minorEastAsia" w:eastAsiaTheme="minorEastAsia" w:hAnsiTheme="minorEastAsia"/>
          <w:sz w:val="32"/>
          <w:szCs w:val="32"/>
        </w:rPr>
      </w:pPr>
      <w:r>
        <w:rPr>
          <w:rFonts w:asciiTheme="minorEastAsia" w:eastAsiaTheme="minorEastAsia" w:hAnsiTheme="minorEastAsia" w:hint="eastAsia"/>
          <w:sz w:val="32"/>
          <w:szCs w:val="32"/>
        </w:rPr>
        <w:t>年初预算为0万元，支出决算为78.94万元，决算数大于年初预算数的主要原因是：抗击疫情支出。</w:t>
      </w:r>
    </w:p>
    <w:p w:rsidR="00B113A2" w:rsidRDefault="004E39AB">
      <w:pPr>
        <w:pStyle w:val="Default"/>
        <w:rPr>
          <w:rFonts w:hAnsi="黑体"/>
          <w:b/>
          <w:sz w:val="32"/>
          <w:szCs w:val="32"/>
        </w:rPr>
      </w:pPr>
      <w:r>
        <w:rPr>
          <w:rFonts w:hAnsi="黑体" w:hint="eastAsia"/>
          <w:b/>
          <w:sz w:val="32"/>
          <w:szCs w:val="32"/>
        </w:rPr>
        <w:t>六、一般公共预算财政拨款基本支出决算情况说明</w:t>
      </w:r>
    </w:p>
    <w:p w:rsidR="00B113A2" w:rsidRDefault="004E39AB">
      <w:pPr>
        <w:pStyle w:val="Default"/>
        <w:ind w:firstLineChars="200" w:firstLine="640"/>
        <w:rPr>
          <w:rFonts w:asciiTheme="minorEastAsia" w:eastAsiaTheme="minorEastAsia" w:hAnsiTheme="minorEastAsia"/>
          <w:sz w:val="32"/>
          <w:szCs w:val="32"/>
        </w:rPr>
      </w:pPr>
      <w:r>
        <w:rPr>
          <w:rFonts w:asciiTheme="minorEastAsia" w:eastAsiaTheme="minorEastAsia" w:hAnsiTheme="minorEastAsia" w:hint="eastAsia"/>
          <w:sz w:val="32"/>
          <w:szCs w:val="32"/>
        </w:rPr>
        <w:t>2020年度财政拨款基本支出431.2万元，其中：人员经费313.54万元，占基本支出的72.71%,主要包括基本工资、津贴补贴、奖金、绩效工资、机关事业单位基本养老保险缴费、职业年金缴费、职工基本医疗保险缴费、公务员医疗补助缴费、其他社会保障缴费、住</w:t>
      </w:r>
      <w:r>
        <w:rPr>
          <w:rFonts w:asciiTheme="minorEastAsia" w:eastAsiaTheme="minorEastAsia" w:hAnsiTheme="minorEastAsia" w:hint="eastAsia"/>
          <w:sz w:val="32"/>
          <w:szCs w:val="32"/>
        </w:rPr>
        <w:lastRenderedPageBreak/>
        <w:t>房公积金、医疗费、其他工资福利支出、抚恤金、生活补助、其他对个人家庭补助支出；公用经费117.66万元，占基本支出的27.29%，主要包括办公费、水费、电费、邮电费、差旅费、维修（护）费、会议费、培训费、公务接待费、劳务费、工会经费、公务用车运行维护费、其他交通费用、其他商品和服务支出。</w:t>
      </w:r>
    </w:p>
    <w:p w:rsidR="00B113A2" w:rsidRDefault="004E39AB">
      <w:pPr>
        <w:pStyle w:val="Default"/>
        <w:rPr>
          <w:rFonts w:hAnsi="黑体"/>
          <w:b/>
          <w:sz w:val="32"/>
          <w:szCs w:val="32"/>
        </w:rPr>
      </w:pPr>
      <w:r>
        <w:rPr>
          <w:rFonts w:hAnsi="黑体" w:hint="eastAsia"/>
          <w:b/>
          <w:sz w:val="32"/>
          <w:szCs w:val="32"/>
        </w:rPr>
        <w:t>七、一般公共预算财政拨款三公经费支出决算情况说明</w:t>
      </w:r>
    </w:p>
    <w:p w:rsidR="00B113A2" w:rsidRDefault="004E39AB">
      <w:pPr>
        <w:pStyle w:val="Default"/>
        <w:rPr>
          <w:rFonts w:asciiTheme="minorEastAsia" w:eastAsiaTheme="minorEastAsia" w:hAnsiTheme="minorEastAsia"/>
          <w:b/>
          <w:sz w:val="32"/>
          <w:szCs w:val="32"/>
        </w:rPr>
      </w:pPr>
      <w:r>
        <w:rPr>
          <w:rFonts w:asciiTheme="minorEastAsia" w:eastAsiaTheme="minorEastAsia" w:hAnsiTheme="minorEastAsia" w:hint="eastAsia"/>
          <w:b/>
          <w:sz w:val="32"/>
          <w:szCs w:val="32"/>
        </w:rPr>
        <w:t>（一）“三公”经费财政拨款支出决算总体情况说明</w:t>
      </w:r>
    </w:p>
    <w:p w:rsidR="00B113A2" w:rsidRDefault="004E39AB">
      <w:pPr>
        <w:pStyle w:val="Default"/>
        <w:ind w:firstLineChars="250" w:firstLine="800"/>
        <w:rPr>
          <w:rFonts w:asciiTheme="minorEastAsia" w:eastAsiaTheme="minorEastAsia" w:hAnsiTheme="minorEastAsia"/>
          <w:color w:val="auto"/>
          <w:sz w:val="32"/>
          <w:szCs w:val="32"/>
        </w:rPr>
      </w:pPr>
      <w:r>
        <w:rPr>
          <w:rFonts w:asciiTheme="minorEastAsia" w:eastAsiaTheme="minorEastAsia" w:hAnsiTheme="minorEastAsia" w:hint="eastAsia"/>
          <w:sz w:val="32"/>
          <w:szCs w:val="32"/>
        </w:rPr>
        <w:t>“三公”经费财政拨款支出预算为27万元，</w:t>
      </w:r>
      <w:r>
        <w:rPr>
          <w:rFonts w:asciiTheme="minorEastAsia" w:eastAsiaTheme="minorEastAsia" w:hAnsiTheme="minorEastAsia" w:hint="eastAsia"/>
          <w:color w:val="auto"/>
          <w:sz w:val="32"/>
          <w:szCs w:val="32"/>
        </w:rPr>
        <w:t>支出决算为25.9万元，完成预算的95.93%，其中：</w:t>
      </w:r>
    </w:p>
    <w:p w:rsidR="00B113A2" w:rsidRDefault="004E39AB">
      <w:pPr>
        <w:pStyle w:val="Default"/>
        <w:ind w:firstLineChars="250" w:firstLine="800"/>
        <w:rPr>
          <w:rFonts w:asciiTheme="minorEastAsia" w:eastAsiaTheme="minorEastAsia" w:hAnsiTheme="minorEastAsia"/>
          <w:sz w:val="32"/>
          <w:szCs w:val="32"/>
        </w:rPr>
      </w:pPr>
      <w:r>
        <w:rPr>
          <w:rFonts w:asciiTheme="minorEastAsia" w:eastAsiaTheme="minorEastAsia" w:hAnsiTheme="minorEastAsia" w:hint="eastAsia"/>
          <w:sz w:val="32"/>
          <w:szCs w:val="32"/>
        </w:rPr>
        <w:t>因公出国（境）费支出预算为0万元，支出决算为0万元，完成预算的0%，决算数与年初预算数持平。与上年一致。</w:t>
      </w:r>
    </w:p>
    <w:p w:rsidR="00B113A2" w:rsidRDefault="004E39AB">
      <w:pPr>
        <w:pStyle w:val="Default"/>
        <w:ind w:firstLineChars="250" w:firstLine="800"/>
        <w:rPr>
          <w:rFonts w:asciiTheme="minorEastAsia" w:eastAsiaTheme="minorEastAsia" w:hAnsiTheme="minorEastAsia"/>
          <w:color w:val="auto"/>
          <w:sz w:val="32"/>
          <w:szCs w:val="32"/>
        </w:rPr>
      </w:pPr>
      <w:r>
        <w:rPr>
          <w:rFonts w:asciiTheme="minorEastAsia" w:eastAsiaTheme="minorEastAsia" w:hAnsiTheme="minorEastAsia" w:hint="eastAsia"/>
          <w:sz w:val="32"/>
          <w:szCs w:val="32"/>
        </w:rPr>
        <w:t>公务接待本年年初预算17万元，</w:t>
      </w:r>
      <w:r>
        <w:rPr>
          <w:rFonts w:asciiTheme="minorEastAsia" w:eastAsiaTheme="minorEastAsia" w:hAnsiTheme="minorEastAsia" w:hint="eastAsia"/>
          <w:color w:val="auto"/>
          <w:sz w:val="32"/>
          <w:szCs w:val="32"/>
        </w:rPr>
        <w:t>支出决算为15.94万元，完成预算的93.94%，与上年相比减少1.06万元，决算数小于年初预算数的主要原因是不断规范公务接待管理，严格控制陪餐人数，有效控制了公务接待费开支。</w:t>
      </w:r>
    </w:p>
    <w:p w:rsidR="00B113A2" w:rsidRDefault="004E39AB">
      <w:pPr>
        <w:pStyle w:val="Default"/>
        <w:ind w:firstLineChars="200" w:firstLine="640"/>
        <w:rPr>
          <w:rFonts w:asciiTheme="minorEastAsia" w:eastAsiaTheme="minorEastAsia" w:hAnsiTheme="minorEastAsia"/>
          <w:b/>
          <w:sz w:val="32"/>
          <w:szCs w:val="32"/>
        </w:rPr>
      </w:pPr>
      <w:r>
        <w:rPr>
          <w:rFonts w:asciiTheme="minorEastAsia" w:eastAsiaTheme="minorEastAsia" w:hAnsiTheme="minorEastAsia" w:hint="eastAsia"/>
          <w:sz w:val="32"/>
          <w:szCs w:val="32"/>
        </w:rPr>
        <w:t>公务用车购置费及运行维护费支出预算为10万元，支出决算为9.96万元，完成预算的约99.6%，与上年相比减少400元，减少0.4%,减少的主要原因是坚持厉行节约，进一步规范公务用车使用管理。</w:t>
      </w:r>
      <w:r>
        <w:rPr>
          <w:rFonts w:asciiTheme="minorEastAsia" w:eastAsiaTheme="minorEastAsia" w:hAnsiTheme="minorEastAsia" w:hint="eastAsia"/>
          <w:b/>
          <w:sz w:val="32"/>
          <w:szCs w:val="32"/>
        </w:rPr>
        <w:t>（二）“三公”经费财政拨款支出决算具体情况说明</w:t>
      </w:r>
    </w:p>
    <w:p w:rsidR="00B113A2" w:rsidRDefault="004E39AB">
      <w:pPr>
        <w:pStyle w:val="Default"/>
        <w:ind w:firstLineChars="200" w:firstLine="640"/>
        <w:rPr>
          <w:rFonts w:asciiTheme="minorEastAsia" w:eastAsiaTheme="minorEastAsia" w:hAnsiTheme="minorEastAsia"/>
          <w:sz w:val="32"/>
          <w:szCs w:val="32"/>
        </w:rPr>
      </w:pPr>
      <w:r>
        <w:rPr>
          <w:rFonts w:asciiTheme="minorEastAsia" w:eastAsiaTheme="minorEastAsia" w:hAnsiTheme="minorEastAsia" w:hint="eastAsia"/>
          <w:sz w:val="32"/>
          <w:szCs w:val="32"/>
        </w:rPr>
        <w:t>2020年度“三公”经费财政拨款支出决算中，公务接待费支出决算15.94万元，占61.54%,因公出国（境）费支出决算0万元，占0%,公务用车购置费及运行维护费支出决算9.96万元，占38.46%。其中：</w:t>
      </w:r>
    </w:p>
    <w:p w:rsidR="00B113A2" w:rsidRDefault="004E39AB">
      <w:pPr>
        <w:pStyle w:val="Default"/>
        <w:ind w:firstLineChars="200" w:firstLine="640"/>
        <w:rPr>
          <w:rFonts w:asciiTheme="minorEastAsia" w:eastAsiaTheme="minorEastAsia" w:hAnsiTheme="minorEastAsia"/>
          <w:b/>
          <w:sz w:val="32"/>
          <w:szCs w:val="32"/>
        </w:rPr>
      </w:pPr>
      <w:r>
        <w:rPr>
          <w:rFonts w:asciiTheme="minorEastAsia" w:eastAsiaTheme="minorEastAsia" w:hAnsiTheme="minorEastAsia" w:hint="eastAsia"/>
          <w:sz w:val="32"/>
          <w:szCs w:val="32"/>
        </w:rPr>
        <w:t>1、因公出国（境）费支出决算为0万元，全年安排因公出国（境）</w:t>
      </w:r>
      <w:r>
        <w:rPr>
          <w:rFonts w:asciiTheme="minorEastAsia" w:eastAsiaTheme="minorEastAsia" w:hAnsiTheme="minorEastAsia" w:hint="eastAsia"/>
          <w:sz w:val="32"/>
          <w:szCs w:val="32"/>
        </w:rPr>
        <w:lastRenderedPageBreak/>
        <w:t>团组0个，累计0人次。</w:t>
      </w:r>
    </w:p>
    <w:p w:rsidR="00B113A2" w:rsidRDefault="004E39AB">
      <w:pPr>
        <w:pStyle w:val="Default"/>
        <w:ind w:firstLineChars="250" w:firstLine="800"/>
        <w:rPr>
          <w:rFonts w:asciiTheme="minorEastAsia" w:eastAsiaTheme="minorEastAsia" w:hAnsiTheme="minorEastAsia"/>
          <w:sz w:val="32"/>
          <w:szCs w:val="32"/>
        </w:rPr>
      </w:pPr>
      <w:r>
        <w:rPr>
          <w:rFonts w:asciiTheme="minorEastAsia" w:eastAsiaTheme="minorEastAsia" w:hAnsiTheme="minorEastAsia" w:hint="eastAsia"/>
          <w:sz w:val="32"/>
          <w:szCs w:val="32"/>
        </w:rPr>
        <w:t>2、公务接待费支出决算为15.94万元，全年共接待上级来访团组245批次、来宾1450人次，主要是用于上级组织和主管部门来镇检查、指导、督导、调研等其他公务活动的接待支出。</w:t>
      </w:r>
    </w:p>
    <w:p w:rsidR="00B113A2" w:rsidRDefault="004E39AB">
      <w:pPr>
        <w:ind w:firstLineChars="250" w:firstLine="800"/>
        <w:rPr>
          <w:rFonts w:asciiTheme="minorEastAsia" w:hAnsiTheme="minorEastAsia" w:cs="黑体"/>
          <w:color w:val="000000"/>
          <w:kern w:val="0"/>
          <w:sz w:val="32"/>
          <w:szCs w:val="32"/>
        </w:rPr>
      </w:pPr>
      <w:r>
        <w:rPr>
          <w:rFonts w:asciiTheme="minorEastAsia" w:hAnsiTheme="minorEastAsia" w:hint="eastAsia"/>
          <w:sz w:val="32"/>
          <w:szCs w:val="32"/>
        </w:rPr>
        <w:t>3、公务用车购置费及运行维护费支出决算为9.96万元，其中：公务用车购置费0万元</w:t>
      </w:r>
      <w:r>
        <w:rPr>
          <w:rFonts w:asciiTheme="minorEastAsia" w:hAnsiTheme="minorEastAsia" w:hint="eastAsia"/>
          <w:color w:val="000000" w:themeColor="text1"/>
          <w:sz w:val="32"/>
          <w:szCs w:val="32"/>
        </w:rPr>
        <w:t>。</w:t>
      </w:r>
      <w:r>
        <w:rPr>
          <w:rFonts w:asciiTheme="minorEastAsia" w:hAnsiTheme="minorEastAsia" w:hint="eastAsia"/>
          <w:sz w:val="32"/>
          <w:szCs w:val="32"/>
        </w:rPr>
        <w:t>公务用车运行维护费9.96万元，主要是公务车用油、保养、维修支出，截止2020年12月31日，我单位开支财政拨款的公务用车保有量为1辆。</w:t>
      </w:r>
    </w:p>
    <w:p w:rsidR="00B113A2" w:rsidRDefault="004E39AB">
      <w:pPr>
        <w:pStyle w:val="Default"/>
        <w:rPr>
          <w:rFonts w:hAnsi="黑体"/>
          <w:b/>
          <w:sz w:val="32"/>
          <w:szCs w:val="32"/>
        </w:rPr>
      </w:pPr>
      <w:r>
        <w:rPr>
          <w:rFonts w:hAnsi="黑体" w:hint="eastAsia"/>
          <w:b/>
          <w:sz w:val="32"/>
          <w:szCs w:val="32"/>
        </w:rPr>
        <w:t>八、政府性基金预算收入支出决算情况</w:t>
      </w:r>
    </w:p>
    <w:p w:rsidR="00B113A2" w:rsidRDefault="004E39AB" w:rsidP="004E39AB">
      <w:pPr>
        <w:pStyle w:val="Default"/>
        <w:ind w:firstLineChars="150" w:firstLine="480"/>
        <w:rPr>
          <w:rFonts w:asciiTheme="minorEastAsia" w:eastAsiaTheme="minorEastAsia" w:hAnsiTheme="minorEastAsia" w:cstheme="minorBidi"/>
          <w:color w:val="auto"/>
          <w:kern w:val="2"/>
          <w:sz w:val="32"/>
          <w:szCs w:val="32"/>
        </w:rPr>
      </w:pPr>
      <w:r>
        <w:rPr>
          <w:rFonts w:asciiTheme="minorEastAsia" w:eastAsiaTheme="minorEastAsia" w:hAnsiTheme="minorEastAsia" w:hint="eastAsia"/>
          <w:sz w:val="32"/>
          <w:szCs w:val="32"/>
        </w:rPr>
        <w:t>2020年度本单位有政府性基金收支。</w:t>
      </w:r>
      <w:r>
        <w:rPr>
          <w:rFonts w:asciiTheme="minorEastAsia" w:eastAsiaTheme="minorEastAsia" w:hAnsiTheme="minorEastAsia" w:cstheme="minorBidi" w:hint="eastAsia"/>
          <w:color w:val="auto"/>
          <w:kern w:val="2"/>
          <w:sz w:val="32"/>
          <w:szCs w:val="32"/>
        </w:rPr>
        <w:t>2020年，收到衡南县财政局预算股拨付中央直达抗疫国债资金78.94万元，支付疫情资料宣传打印费3.41万元、支付防控用品9.3万元、支付疫情宣传租车费3.4万元、食堂疫情防控生活费7.61万元、站所疫情防控支出13.38万元、支付村、社区、单位、卫生组织疫情防控经费41.84万元。</w:t>
      </w:r>
    </w:p>
    <w:p w:rsidR="004E39AB" w:rsidRPr="00777C36" w:rsidRDefault="004E39AB" w:rsidP="004E39AB">
      <w:pPr>
        <w:pStyle w:val="Default"/>
        <w:rPr>
          <w:rFonts w:hAnsi="黑体"/>
          <w:b/>
          <w:sz w:val="32"/>
          <w:szCs w:val="32"/>
        </w:rPr>
      </w:pPr>
      <w:r w:rsidRPr="00777C36">
        <w:rPr>
          <w:rFonts w:hAnsi="黑体" w:hint="eastAsia"/>
          <w:b/>
          <w:sz w:val="32"/>
          <w:szCs w:val="32"/>
        </w:rPr>
        <w:t>九、国有资本经营预算财政拨款支出决算情况</w:t>
      </w:r>
    </w:p>
    <w:p w:rsidR="004E39AB" w:rsidRPr="004E39AB" w:rsidRDefault="004E39AB" w:rsidP="004E39AB">
      <w:pPr>
        <w:pStyle w:val="Default"/>
        <w:ind w:firstLineChars="200" w:firstLine="640"/>
        <w:rPr>
          <w:rFonts w:asciiTheme="minorEastAsia" w:eastAsiaTheme="minorEastAsia" w:hAnsiTheme="minorEastAsia" w:cstheme="minorBidi"/>
          <w:color w:val="auto"/>
          <w:kern w:val="2"/>
          <w:sz w:val="32"/>
          <w:szCs w:val="32"/>
        </w:rPr>
      </w:pPr>
      <w:r w:rsidRPr="004E39AB">
        <w:rPr>
          <w:rFonts w:asciiTheme="minorEastAsia" w:eastAsiaTheme="minorEastAsia" w:hAnsiTheme="minorEastAsia" w:cstheme="minorBidi" w:hint="eastAsia"/>
          <w:color w:val="auto"/>
          <w:kern w:val="2"/>
          <w:sz w:val="32"/>
          <w:szCs w:val="32"/>
        </w:rPr>
        <w:t>本单位2020年没有国有资本经营预算财政拨款支出。</w:t>
      </w:r>
    </w:p>
    <w:p w:rsidR="00B113A2" w:rsidRDefault="004E39AB">
      <w:pPr>
        <w:pStyle w:val="Default"/>
        <w:rPr>
          <w:rFonts w:hAnsi="黑体"/>
          <w:b/>
          <w:sz w:val="32"/>
          <w:szCs w:val="32"/>
        </w:rPr>
      </w:pPr>
      <w:r>
        <w:rPr>
          <w:rFonts w:hAnsi="黑体" w:hint="eastAsia"/>
          <w:b/>
          <w:sz w:val="32"/>
          <w:szCs w:val="32"/>
        </w:rPr>
        <w:t>十、机关运行经费支出说明</w:t>
      </w:r>
    </w:p>
    <w:p w:rsidR="00B113A2" w:rsidRDefault="004E39AB">
      <w:pPr>
        <w:pStyle w:val="Default"/>
        <w:ind w:firstLineChars="200" w:firstLine="640"/>
        <w:rPr>
          <w:rFonts w:asciiTheme="minorEastAsia" w:eastAsiaTheme="minorEastAsia" w:hAnsiTheme="minorEastAsia" w:cstheme="minorBidi"/>
          <w:color w:val="auto"/>
          <w:kern w:val="2"/>
          <w:sz w:val="32"/>
          <w:szCs w:val="32"/>
        </w:rPr>
      </w:pPr>
      <w:r>
        <w:rPr>
          <w:rFonts w:asciiTheme="minorEastAsia" w:eastAsiaTheme="minorEastAsia" w:hAnsiTheme="minorEastAsia" w:cstheme="minorBidi" w:hint="eastAsia"/>
          <w:color w:val="auto"/>
          <w:kern w:val="2"/>
          <w:sz w:val="32"/>
          <w:szCs w:val="32"/>
        </w:rPr>
        <w:t>机关运行经费本年支出117.66万元，与上年的129.12万元相比，递减8.88%。变动原因为本年度支出口径与上年度有差异，划分了专项业务支出，譬如信访维稳，安全生产，党建专项，扶贫专项，城乡环境同治，本年度全列入项目支出。</w:t>
      </w:r>
    </w:p>
    <w:p w:rsidR="00B113A2" w:rsidRDefault="004E39AB">
      <w:pPr>
        <w:pStyle w:val="Default"/>
        <w:rPr>
          <w:rFonts w:hAnsi="黑体"/>
          <w:b/>
          <w:sz w:val="32"/>
          <w:szCs w:val="32"/>
        </w:rPr>
      </w:pPr>
      <w:r>
        <w:rPr>
          <w:rFonts w:hAnsi="黑体" w:hint="eastAsia"/>
          <w:b/>
          <w:sz w:val="32"/>
          <w:szCs w:val="32"/>
        </w:rPr>
        <w:t>十一、一般性支出情况</w:t>
      </w:r>
    </w:p>
    <w:p w:rsidR="00B113A2" w:rsidRDefault="004E39AB">
      <w:pPr>
        <w:pStyle w:val="Default"/>
        <w:ind w:firstLineChars="200" w:firstLine="640"/>
        <w:rPr>
          <w:rFonts w:asciiTheme="minorEastAsia" w:eastAsiaTheme="minorEastAsia" w:hAnsiTheme="minorEastAsia" w:cstheme="minorBidi"/>
          <w:color w:val="auto"/>
          <w:kern w:val="2"/>
          <w:sz w:val="32"/>
          <w:szCs w:val="32"/>
          <w:lang w:val="zh-CN"/>
        </w:rPr>
      </w:pPr>
      <w:r>
        <w:rPr>
          <w:rFonts w:asciiTheme="minorEastAsia" w:eastAsiaTheme="minorEastAsia" w:hAnsiTheme="minorEastAsia" w:cstheme="minorBidi" w:hint="eastAsia"/>
          <w:color w:val="auto"/>
          <w:kern w:val="2"/>
          <w:sz w:val="32"/>
          <w:szCs w:val="32"/>
        </w:rPr>
        <w:t>会议费支出情况：2020年本部门开支会议费58279元，用于镇级召开村干会、党代会、人大代表会、七一表彰、年终总结会等，</w:t>
      </w:r>
      <w:r>
        <w:rPr>
          <w:rFonts w:asciiTheme="minorEastAsia" w:eastAsiaTheme="minorEastAsia" w:hAnsiTheme="minorEastAsia" w:cstheme="minorBidi" w:hint="eastAsia"/>
          <w:color w:val="auto"/>
          <w:kern w:val="2"/>
          <w:sz w:val="32"/>
          <w:szCs w:val="32"/>
        </w:rPr>
        <w:lastRenderedPageBreak/>
        <w:t>村级召开村组干部、户主代表会议；开支培训4900元，用于村干参加县级党建信息操作、乡村振兴暨村级集体经济发展专题培训</w:t>
      </w:r>
      <w:r>
        <w:rPr>
          <w:rFonts w:asciiTheme="minorEastAsia" w:eastAsiaTheme="minorEastAsia" w:hAnsiTheme="minorEastAsia" w:cstheme="minorBidi" w:hint="eastAsia"/>
          <w:color w:val="auto"/>
          <w:kern w:val="2"/>
          <w:sz w:val="32"/>
          <w:szCs w:val="32"/>
          <w:lang w:val="zh-CN"/>
        </w:rPr>
        <w:t>。</w:t>
      </w:r>
    </w:p>
    <w:p w:rsidR="00B113A2" w:rsidRDefault="004E39AB">
      <w:pPr>
        <w:pStyle w:val="Default"/>
        <w:rPr>
          <w:rFonts w:hAnsi="黑体"/>
          <w:b/>
          <w:sz w:val="32"/>
          <w:szCs w:val="32"/>
        </w:rPr>
      </w:pPr>
      <w:r>
        <w:rPr>
          <w:rFonts w:hAnsi="黑体" w:hint="eastAsia"/>
          <w:b/>
          <w:sz w:val="32"/>
          <w:szCs w:val="32"/>
        </w:rPr>
        <w:t>十二、关于政府采购支出说明</w:t>
      </w:r>
    </w:p>
    <w:p w:rsidR="00B113A2" w:rsidRDefault="004E39AB">
      <w:pPr>
        <w:pStyle w:val="Default"/>
        <w:ind w:firstLineChars="200" w:firstLine="640"/>
        <w:rPr>
          <w:rFonts w:hAnsi="黑体"/>
          <w:b/>
          <w:sz w:val="32"/>
          <w:szCs w:val="32"/>
        </w:rPr>
      </w:pPr>
      <w:r>
        <w:rPr>
          <w:rFonts w:asciiTheme="minorEastAsia" w:eastAsiaTheme="minorEastAsia" w:hAnsiTheme="minorEastAsia" w:cstheme="minorBidi" w:hint="eastAsia"/>
          <w:color w:val="auto"/>
          <w:kern w:val="2"/>
          <w:sz w:val="32"/>
          <w:szCs w:val="32"/>
        </w:rPr>
        <w:t>本年度本单位政府采购支出9万元，均为财政拨款支出。全部为货物采购支出。包括办公桌椅，办公用电脑，打印机，街道垃圾桶。</w:t>
      </w:r>
    </w:p>
    <w:p w:rsidR="00B113A2" w:rsidRDefault="004E39AB">
      <w:pPr>
        <w:autoSpaceDE w:val="0"/>
        <w:autoSpaceDN w:val="0"/>
        <w:adjustRightInd w:val="0"/>
        <w:spacing w:line="520" w:lineRule="exact"/>
        <w:jc w:val="left"/>
        <w:rPr>
          <w:rFonts w:ascii="黑体" w:eastAsia="黑体" w:hAnsi="黑体" w:cs="黑体"/>
          <w:b/>
          <w:color w:val="000000"/>
          <w:kern w:val="0"/>
          <w:sz w:val="32"/>
          <w:szCs w:val="32"/>
        </w:rPr>
      </w:pPr>
      <w:r>
        <w:rPr>
          <w:rFonts w:ascii="黑体" w:eastAsia="黑体" w:hAnsi="黑体" w:cs="黑体" w:hint="eastAsia"/>
          <w:b/>
          <w:color w:val="000000"/>
          <w:kern w:val="0"/>
          <w:sz w:val="32"/>
          <w:szCs w:val="32"/>
        </w:rPr>
        <w:t>十三、关于国有资产占用情况说明</w:t>
      </w:r>
    </w:p>
    <w:p w:rsidR="00B113A2" w:rsidRDefault="004E39AB">
      <w:pPr>
        <w:pStyle w:val="Default"/>
        <w:ind w:firstLineChars="200" w:firstLine="640"/>
        <w:rPr>
          <w:rFonts w:asciiTheme="minorEastAsia" w:eastAsiaTheme="minorEastAsia" w:hAnsiTheme="minorEastAsia" w:cstheme="minorBidi"/>
          <w:color w:val="auto"/>
          <w:kern w:val="2"/>
          <w:sz w:val="32"/>
          <w:szCs w:val="32"/>
        </w:rPr>
      </w:pPr>
      <w:r>
        <w:rPr>
          <w:rFonts w:asciiTheme="minorEastAsia" w:eastAsiaTheme="minorEastAsia" w:hAnsiTheme="minorEastAsia" w:cstheme="minorBidi" w:hint="eastAsia"/>
          <w:color w:val="auto"/>
          <w:kern w:val="2"/>
          <w:sz w:val="32"/>
          <w:szCs w:val="32"/>
        </w:rPr>
        <w:t>截至2020年12月31日，本单位共有车辆1辆，其中，其他用车1辆，其他用车主要是干部下村公务用车；单位价值50万元以上通用设备0台（套）；单位价值100万元以上专用设备0台（套）。</w:t>
      </w:r>
    </w:p>
    <w:p w:rsidR="00B113A2" w:rsidRDefault="004E39AB">
      <w:pPr>
        <w:pStyle w:val="Default"/>
        <w:rPr>
          <w:rFonts w:hAnsi="黑体"/>
          <w:b/>
          <w:sz w:val="32"/>
          <w:szCs w:val="32"/>
        </w:rPr>
      </w:pPr>
      <w:r>
        <w:rPr>
          <w:rFonts w:hAnsi="黑体" w:hint="eastAsia"/>
          <w:b/>
          <w:sz w:val="32"/>
          <w:szCs w:val="32"/>
        </w:rPr>
        <w:t>十四、关于2020年度预算绩效情况说明</w:t>
      </w:r>
    </w:p>
    <w:p w:rsidR="00B113A2" w:rsidRDefault="004E39AB">
      <w:pPr>
        <w:widowControl/>
        <w:jc w:val="left"/>
        <w:rPr>
          <w:rFonts w:asciiTheme="minorEastAsia" w:hAnsiTheme="minorEastAsia"/>
          <w:sz w:val="32"/>
          <w:szCs w:val="32"/>
        </w:rPr>
      </w:pPr>
      <w:r>
        <w:rPr>
          <w:rFonts w:asciiTheme="minorEastAsia" w:hAnsiTheme="minorEastAsia" w:hint="eastAsia"/>
          <w:sz w:val="32"/>
          <w:szCs w:val="32"/>
        </w:rPr>
        <w:t>（一）预算绩效管理工作开展情况</w:t>
      </w:r>
    </w:p>
    <w:p w:rsidR="00B113A2" w:rsidRDefault="004E39AB">
      <w:pPr>
        <w:pStyle w:val="Default"/>
        <w:ind w:firstLineChars="200" w:firstLine="640"/>
        <w:rPr>
          <w:rFonts w:asciiTheme="minorEastAsia" w:eastAsiaTheme="minorEastAsia" w:hAnsiTheme="minorEastAsia" w:cstheme="minorBidi"/>
          <w:color w:val="auto"/>
          <w:kern w:val="2"/>
          <w:sz w:val="32"/>
          <w:szCs w:val="32"/>
        </w:rPr>
      </w:pPr>
      <w:r>
        <w:rPr>
          <w:rFonts w:asciiTheme="minorEastAsia" w:eastAsiaTheme="minorEastAsia" w:hAnsiTheme="minorEastAsia" w:cstheme="minorBidi" w:hint="eastAsia"/>
          <w:color w:val="auto"/>
          <w:kern w:val="2"/>
          <w:sz w:val="32"/>
          <w:szCs w:val="32"/>
        </w:rPr>
        <w:t>我镇对部门整体支出绩效开展了自评。绩效评价结果显示，我镇2020年度绩效目标完成较好，在预算配置、预算执行、预算管理等方面较好的支持了财政中心工作发展。2020年，我镇深入学习贯彻习近平总书记系列重要讲话精神，紧紧围绕县委、县政府决策部署，有效发挥财政职能作用，统筹做好稳增长、促改革、调结构、惠民生、防风险各项工作。全镇财政实力稳步提升，服务发展成效明显，支农力度持续加大，民生保障更加有力，财税改革扎实推进，财政管理日趋规范，党建工作全面加强，较好地服务了全镇经济社会发展大局。</w:t>
      </w:r>
    </w:p>
    <w:p w:rsidR="00B113A2" w:rsidRDefault="004E39AB">
      <w:pPr>
        <w:widowControl/>
        <w:jc w:val="left"/>
        <w:rPr>
          <w:rFonts w:asciiTheme="minorEastAsia" w:hAnsiTheme="minorEastAsia"/>
          <w:sz w:val="32"/>
          <w:szCs w:val="32"/>
        </w:rPr>
      </w:pPr>
      <w:r>
        <w:rPr>
          <w:rFonts w:asciiTheme="minorEastAsia" w:hAnsiTheme="minorEastAsia" w:hint="eastAsia"/>
          <w:sz w:val="32"/>
          <w:szCs w:val="32"/>
        </w:rPr>
        <w:t xml:space="preserve">（二）部门整体支出绩效自评结果 </w:t>
      </w:r>
    </w:p>
    <w:p w:rsidR="00B113A2" w:rsidRDefault="004E39AB">
      <w:pPr>
        <w:widowControl/>
        <w:ind w:firstLineChars="200" w:firstLine="640"/>
        <w:jc w:val="left"/>
        <w:rPr>
          <w:rFonts w:asciiTheme="minorEastAsia" w:hAnsiTheme="minorEastAsia"/>
          <w:sz w:val="32"/>
          <w:szCs w:val="32"/>
        </w:rPr>
      </w:pPr>
      <w:r>
        <w:rPr>
          <w:rFonts w:asciiTheme="minorEastAsia" w:hAnsiTheme="minorEastAsia"/>
          <w:sz w:val="32"/>
          <w:szCs w:val="32"/>
        </w:rPr>
        <w:t xml:space="preserve">2020 </w:t>
      </w:r>
      <w:r>
        <w:rPr>
          <w:rFonts w:asciiTheme="minorEastAsia" w:hAnsiTheme="minorEastAsia" w:hint="eastAsia"/>
          <w:sz w:val="32"/>
          <w:szCs w:val="32"/>
        </w:rPr>
        <w:t>年，在县委、县政府的坚强领导下，我镇坚持以习近平新时代中国特色社会主义思想为指导，认真落实中央和省委、省政府重大决策部署，以强化执行力、提升创新力、增强凝聚力为抓手，</w:t>
      </w:r>
      <w:r>
        <w:rPr>
          <w:rFonts w:asciiTheme="minorEastAsia" w:hAnsiTheme="minorEastAsia" w:hint="eastAsia"/>
          <w:sz w:val="32"/>
          <w:szCs w:val="32"/>
        </w:rPr>
        <w:lastRenderedPageBreak/>
        <w:t>圆满完成了各项工作任务，在服务省政府统筹推进全省常态化疫情防控和经济社会发展等方面作出了积极贡献，根据部门整体支出绩效评价指标，部门整体支出绩效得分</w:t>
      </w:r>
      <w:r>
        <w:rPr>
          <w:rFonts w:hint="eastAsia"/>
          <w:sz w:val="28"/>
          <w:szCs w:val="28"/>
        </w:rPr>
        <w:t>96</w:t>
      </w:r>
      <w:r>
        <w:rPr>
          <w:rFonts w:asciiTheme="minorEastAsia" w:hAnsiTheme="minorEastAsia" w:hint="eastAsia"/>
          <w:sz w:val="32"/>
          <w:szCs w:val="32"/>
        </w:rPr>
        <w:t>分。从评价情况来看，预算执行有效，完成情况较好，基本达到预算绩效目标</w:t>
      </w:r>
    </w:p>
    <w:p w:rsidR="00B113A2" w:rsidRDefault="00B113A2">
      <w:pPr>
        <w:pStyle w:val="Default"/>
        <w:ind w:firstLineChars="200" w:firstLine="640"/>
        <w:rPr>
          <w:rFonts w:asciiTheme="minorEastAsia" w:eastAsiaTheme="minorEastAsia" w:hAnsiTheme="minorEastAsia" w:cstheme="minorBidi"/>
          <w:color w:val="auto"/>
          <w:kern w:val="2"/>
          <w:sz w:val="32"/>
          <w:szCs w:val="32"/>
        </w:rPr>
      </w:pPr>
    </w:p>
    <w:p w:rsidR="00B113A2" w:rsidRDefault="004E39AB">
      <w:pPr>
        <w:widowControl/>
        <w:jc w:val="left"/>
        <w:rPr>
          <w:rFonts w:asciiTheme="minorEastAsia" w:hAnsiTheme="minorEastAsia" w:cs="黑体"/>
          <w:color w:val="000000"/>
          <w:kern w:val="0"/>
          <w:sz w:val="32"/>
          <w:szCs w:val="32"/>
        </w:rPr>
      </w:pPr>
      <w:r>
        <w:rPr>
          <w:rFonts w:asciiTheme="minorEastAsia" w:hAnsiTheme="minorEastAsia" w:cs="黑体"/>
          <w:color w:val="000000"/>
          <w:kern w:val="0"/>
          <w:sz w:val="32"/>
          <w:szCs w:val="32"/>
        </w:rPr>
        <w:br w:type="page"/>
      </w:r>
    </w:p>
    <w:p w:rsidR="00B113A2" w:rsidRDefault="00B113A2">
      <w:pPr>
        <w:pStyle w:val="Default"/>
        <w:jc w:val="center"/>
        <w:rPr>
          <w:sz w:val="72"/>
          <w:szCs w:val="72"/>
        </w:rPr>
      </w:pPr>
    </w:p>
    <w:p w:rsidR="00B113A2" w:rsidRDefault="00B113A2">
      <w:pPr>
        <w:pStyle w:val="Default"/>
        <w:jc w:val="center"/>
        <w:rPr>
          <w:sz w:val="72"/>
          <w:szCs w:val="72"/>
        </w:rPr>
      </w:pPr>
    </w:p>
    <w:p w:rsidR="00B113A2" w:rsidRDefault="00B113A2">
      <w:pPr>
        <w:pStyle w:val="Default"/>
        <w:jc w:val="center"/>
        <w:rPr>
          <w:sz w:val="72"/>
          <w:szCs w:val="72"/>
        </w:rPr>
      </w:pPr>
    </w:p>
    <w:p w:rsidR="00B113A2" w:rsidRDefault="00B113A2">
      <w:pPr>
        <w:pStyle w:val="Default"/>
        <w:jc w:val="center"/>
        <w:rPr>
          <w:sz w:val="72"/>
          <w:szCs w:val="72"/>
        </w:rPr>
      </w:pPr>
    </w:p>
    <w:p w:rsidR="00B113A2" w:rsidRDefault="00B113A2">
      <w:pPr>
        <w:pStyle w:val="Default"/>
        <w:jc w:val="center"/>
        <w:rPr>
          <w:sz w:val="72"/>
          <w:szCs w:val="72"/>
        </w:rPr>
      </w:pPr>
    </w:p>
    <w:p w:rsidR="00B113A2" w:rsidRDefault="004E39AB">
      <w:pPr>
        <w:pStyle w:val="Default"/>
        <w:jc w:val="center"/>
        <w:rPr>
          <w:rFonts w:asciiTheme="minorHAnsi" w:eastAsiaTheme="minorEastAsia" w:cstheme="minorBidi"/>
          <w:color w:val="auto"/>
          <w:kern w:val="2"/>
          <w:sz w:val="72"/>
          <w:szCs w:val="72"/>
        </w:rPr>
      </w:pPr>
      <w:r>
        <w:rPr>
          <w:rFonts w:asciiTheme="minorHAnsi" w:eastAsiaTheme="minorEastAsia" w:cstheme="minorBidi" w:hint="eastAsia"/>
          <w:color w:val="auto"/>
          <w:kern w:val="2"/>
          <w:sz w:val="72"/>
          <w:szCs w:val="72"/>
        </w:rPr>
        <w:t>第四部分</w:t>
      </w:r>
    </w:p>
    <w:p w:rsidR="00B113A2" w:rsidRDefault="00B113A2">
      <w:pPr>
        <w:jc w:val="center"/>
        <w:rPr>
          <w:sz w:val="72"/>
          <w:szCs w:val="72"/>
        </w:rPr>
      </w:pPr>
    </w:p>
    <w:p w:rsidR="00B113A2" w:rsidRDefault="004E39AB">
      <w:pPr>
        <w:jc w:val="center"/>
        <w:rPr>
          <w:sz w:val="72"/>
          <w:szCs w:val="72"/>
        </w:rPr>
      </w:pPr>
      <w:r>
        <w:rPr>
          <w:rFonts w:hint="eastAsia"/>
          <w:sz w:val="72"/>
          <w:szCs w:val="72"/>
        </w:rPr>
        <w:t>名词解释</w:t>
      </w:r>
    </w:p>
    <w:p w:rsidR="00B113A2" w:rsidRDefault="00B113A2">
      <w:pPr>
        <w:jc w:val="center"/>
        <w:rPr>
          <w:rFonts w:ascii="黑体" w:eastAsia="黑体" w:cs="黑体"/>
          <w:color w:val="000000"/>
          <w:kern w:val="0"/>
          <w:sz w:val="70"/>
          <w:szCs w:val="70"/>
        </w:rPr>
      </w:pPr>
    </w:p>
    <w:p w:rsidR="00B113A2" w:rsidRDefault="00B113A2">
      <w:pPr>
        <w:jc w:val="center"/>
        <w:rPr>
          <w:rFonts w:ascii="黑体" w:eastAsia="黑体" w:cs="黑体"/>
          <w:color w:val="000000"/>
          <w:kern w:val="0"/>
          <w:sz w:val="70"/>
          <w:szCs w:val="70"/>
        </w:rPr>
      </w:pPr>
    </w:p>
    <w:p w:rsidR="00B113A2" w:rsidRDefault="00B113A2">
      <w:pPr>
        <w:jc w:val="center"/>
        <w:rPr>
          <w:rFonts w:ascii="黑体" w:eastAsia="黑体" w:cs="黑体"/>
          <w:color w:val="000000"/>
          <w:kern w:val="0"/>
          <w:sz w:val="70"/>
          <w:szCs w:val="70"/>
        </w:rPr>
      </w:pPr>
    </w:p>
    <w:p w:rsidR="00B113A2" w:rsidRDefault="00B113A2">
      <w:pPr>
        <w:jc w:val="center"/>
        <w:rPr>
          <w:rFonts w:ascii="黑体" w:eastAsia="黑体" w:cs="黑体"/>
          <w:color w:val="000000"/>
          <w:kern w:val="0"/>
          <w:sz w:val="70"/>
          <w:szCs w:val="70"/>
        </w:rPr>
      </w:pPr>
    </w:p>
    <w:p w:rsidR="00B113A2" w:rsidRDefault="00B113A2">
      <w:pPr>
        <w:jc w:val="center"/>
        <w:rPr>
          <w:rFonts w:ascii="黑体" w:eastAsia="黑体" w:cs="黑体"/>
          <w:color w:val="000000"/>
          <w:kern w:val="0"/>
          <w:sz w:val="70"/>
          <w:szCs w:val="70"/>
        </w:rPr>
      </w:pPr>
    </w:p>
    <w:p w:rsidR="00B113A2" w:rsidRDefault="00B113A2">
      <w:pPr>
        <w:jc w:val="center"/>
        <w:rPr>
          <w:rFonts w:ascii="黑体" w:eastAsia="黑体" w:cs="黑体"/>
          <w:color w:val="000000"/>
          <w:kern w:val="0"/>
          <w:sz w:val="70"/>
          <w:szCs w:val="70"/>
        </w:rPr>
      </w:pPr>
    </w:p>
    <w:p w:rsidR="00B113A2" w:rsidRDefault="00B113A2">
      <w:pPr>
        <w:jc w:val="center"/>
        <w:rPr>
          <w:rFonts w:ascii="黑体" w:eastAsia="黑体" w:cs="黑体"/>
          <w:color w:val="000000"/>
          <w:kern w:val="0"/>
          <w:sz w:val="70"/>
          <w:szCs w:val="70"/>
        </w:rPr>
      </w:pPr>
    </w:p>
    <w:p w:rsidR="00B113A2" w:rsidRDefault="00B113A2">
      <w:pPr>
        <w:widowControl/>
        <w:jc w:val="left"/>
        <w:rPr>
          <w:color w:val="333333"/>
          <w:sz w:val="28"/>
          <w:szCs w:val="28"/>
        </w:rPr>
      </w:pPr>
    </w:p>
    <w:p w:rsidR="00B113A2" w:rsidRDefault="00B113A2">
      <w:pPr>
        <w:pStyle w:val="a0"/>
        <w:rPr>
          <w:color w:val="333333"/>
          <w:sz w:val="28"/>
          <w:szCs w:val="28"/>
        </w:rPr>
      </w:pPr>
    </w:p>
    <w:p w:rsidR="00B113A2" w:rsidRDefault="00B113A2">
      <w:pPr>
        <w:pStyle w:val="a0"/>
        <w:rPr>
          <w:color w:val="333333"/>
          <w:sz w:val="28"/>
          <w:szCs w:val="28"/>
        </w:rPr>
      </w:pPr>
    </w:p>
    <w:p w:rsidR="00B113A2" w:rsidRDefault="004E39AB">
      <w:pPr>
        <w:widowControl/>
        <w:ind w:firstLineChars="200" w:firstLine="560"/>
        <w:jc w:val="left"/>
        <w:rPr>
          <w:color w:val="333333"/>
          <w:sz w:val="28"/>
          <w:szCs w:val="28"/>
        </w:rPr>
      </w:pPr>
      <w:r>
        <w:rPr>
          <w:rFonts w:hint="eastAsia"/>
          <w:color w:val="333333"/>
          <w:sz w:val="28"/>
          <w:szCs w:val="28"/>
        </w:rPr>
        <w:lastRenderedPageBreak/>
        <w:t>一、财政拨款收入：指财政部门核拨给单位的财政预算资金。</w:t>
      </w:r>
    </w:p>
    <w:p w:rsidR="00B113A2" w:rsidRDefault="004E39AB">
      <w:pPr>
        <w:widowControl/>
        <w:jc w:val="left"/>
        <w:rPr>
          <w:rFonts w:ascii="黑体" w:eastAsia="黑体" w:cs="黑体"/>
          <w:color w:val="000000"/>
          <w:kern w:val="0"/>
          <w:sz w:val="70"/>
          <w:szCs w:val="70"/>
        </w:rPr>
      </w:pPr>
      <w:r>
        <w:rPr>
          <w:rFonts w:hint="eastAsia"/>
          <w:color w:val="333333"/>
          <w:sz w:val="28"/>
          <w:szCs w:val="28"/>
        </w:rPr>
        <w:t xml:space="preserve">    </w:t>
      </w:r>
      <w:r>
        <w:rPr>
          <w:rFonts w:hint="eastAsia"/>
          <w:color w:val="333333"/>
          <w:sz w:val="28"/>
          <w:szCs w:val="28"/>
        </w:rPr>
        <w:t>二、事业收入：指事业单位开展专业业务活动及辅助活动所取得的收入。</w:t>
      </w:r>
      <w:r>
        <w:rPr>
          <w:rFonts w:hint="eastAsia"/>
          <w:color w:val="333333"/>
          <w:sz w:val="28"/>
          <w:szCs w:val="28"/>
        </w:rPr>
        <w:t> </w:t>
      </w:r>
    </w:p>
    <w:p w:rsidR="00B113A2" w:rsidRDefault="004E39AB">
      <w:pPr>
        <w:pStyle w:val="a9"/>
        <w:shd w:val="clear" w:color="auto" w:fill="FFFFFF"/>
        <w:spacing w:before="0" w:beforeAutospacing="0" w:after="0" w:afterAutospacing="0"/>
        <w:rPr>
          <w:color w:val="333333"/>
          <w:sz w:val="28"/>
          <w:szCs w:val="28"/>
        </w:rPr>
      </w:pPr>
      <w:r>
        <w:rPr>
          <w:rFonts w:hint="eastAsia"/>
          <w:color w:val="333333"/>
          <w:sz w:val="28"/>
          <w:szCs w:val="28"/>
        </w:rPr>
        <w:t xml:space="preserve">    三、附属单位上缴收入：指事业单位附属独立核算单位按有关规定上缴的收入。 </w:t>
      </w:r>
    </w:p>
    <w:p w:rsidR="00B113A2" w:rsidRDefault="004E39AB">
      <w:pPr>
        <w:pStyle w:val="a9"/>
        <w:shd w:val="clear" w:color="auto" w:fill="FFFFFF"/>
        <w:spacing w:before="0" w:beforeAutospacing="0" w:after="0" w:afterAutospacing="0"/>
        <w:rPr>
          <w:color w:val="333333"/>
          <w:sz w:val="28"/>
          <w:szCs w:val="28"/>
        </w:rPr>
      </w:pPr>
      <w:r>
        <w:rPr>
          <w:rFonts w:hint="eastAsia"/>
          <w:color w:val="333333"/>
          <w:sz w:val="28"/>
          <w:szCs w:val="28"/>
        </w:rPr>
        <w:t xml:space="preserve">    四、其他收入：指单位取得的除上述“财政拨款收入”、“事业收入”、“附属单位上缴收入”等以外的收入。 </w:t>
      </w:r>
    </w:p>
    <w:p w:rsidR="00B113A2" w:rsidRDefault="004E39AB">
      <w:pPr>
        <w:pStyle w:val="a9"/>
        <w:shd w:val="clear" w:color="auto" w:fill="FFFFFF"/>
        <w:spacing w:before="0" w:beforeAutospacing="0" w:after="0" w:afterAutospacing="0"/>
        <w:rPr>
          <w:color w:val="333333"/>
          <w:sz w:val="28"/>
          <w:szCs w:val="28"/>
        </w:rPr>
      </w:pPr>
      <w:r>
        <w:rPr>
          <w:rFonts w:hint="eastAsia"/>
          <w:color w:val="333333"/>
          <w:sz w:val="28"/>
          <w:szCs w:val="28"/>
        </w:rPr>
        <w:t xml:space="preserve">    五、年初结转和结余：指以前年度尚未完成、结转到本年仍按有关规定继续使用的资金。 </w:t>
      </w:r>
    </w:p>
    <w:p w:rsidR="00B113A2" w:rsidRDefault="004E39AB">
      <w:pPr>
        <w:pStyle w:val="a9"/>
        <w:shd w:val="clear" w:color="auto" w:fill="FFFFFF"/>
        <w:spacing w:before="0" w:beforeAutospacing="0" w:after="0" w:afterAutospacing="0"/>
        <w:rPr>
          <w:color w:val="333333"/>
          <w:sz w:val="28"/>
          <w:szCs w:val="28"/>
        </w:rPr>
      </w:pPr>
      <w:r>
        <w:rPr>
          <w:rFonts w:hint="eastAsia"/>
          <w:color w:val="333333"/>
          <w:sz w:val="28"/>
          <w:szCs w:val="28"/>
        </w:rPr>
        <w:t xml:space="preserve">    六、用事业基金弥补收支差额：指事业单位在当年的“财政拨款收入”、“事业收入”、“经营收入”和“其他收入”不足以安排当年支出的情况下，使用以前年度积累的事业基金（即事业单位以前各年度收支相抵后，按国家规定提取、用于弥补以后年度收支差额的基金）弥补本年收支缺口的资金。 </w:t>
      </w:r>
    </w:p>
    <w:p w:rsidR="00B113A2" w:rsidRDefault="004E39AB">
      <w:pPr>
        <w:pStyle w:val="a9"/>
        <w:shd w:val="clear" w:color="auto" w:fill="FFFFFF"/>
        <w:spacing w:before="0" w:beforeAutospacing="0" w:after="0" w:afterAutospacing="0"/>
        <w:rPr>
          <w:color w:val="333333"/>
          <w:sz w:val="28"/>
          <w:szCs w:val="28"/>
        </w:rPr>
      </w:pPr>
      <w:r>
        <w:rPr>
          <w:rFonts w:hint="eastAsia"/>
          <w:color w:val="333333"/>
          <w:sz w:val="28"/>
          <w:szCs w:val="28"/>
        </w:rPr>
        <w:t xml:space="preserve">    七、结余分配：指事业单位按规定提取的职工福利基金、事业基金和缴纳的所得税，以及建设单位按规定应交回的基本建设竣工项目结余资金。 </w:t>
      </w:r>
    </w:p>
    <w:p w:rsidR="00B113A2" w:rsidRDefault="004E39AB">
      <w:pPr>
        <w:pStyle w:val="a9"/>
        <w:shd w:val="clear" w:color="auto" w:fill="FFFFFF"/>
        <w:spacing w:before="0" w:beforeAutospacing="0" w:after="0" w:afterAutospacing="0"/>
        <w:rPr>
          <w:color w:val="333333"/>
          <w:sz w:val="28"/>
          <w:szCs w:val="28"/>
        </w:rPr>
      </w:pPr>
      <w:r>
        <w:rPr>
          <w:rFonts w:hint="eastAsia"/>
          <w:color w:val="333333"/>
          <w:sz w:val="28"/>
          <w:szCs w:val="28"/>
        </w:rPr>
        <w:t xml:space="preserve">    八、年末结转和结余：指本年度或以前年度预算安排、因客观条件发生变化无法按原计划实施，需延迟到以后年度按有关规定继续使用的资金。 </w:t>
      </w:r>
    </w:p>
    <w:p w:rsidR="00B113A2" w:rsidRDefault="004E39AB">
      <w:pPr>
        <w:pStyle w:val="a9"/>
        <w:shd w:val="clear" w:color="auto" w:fill="FFFFFF"/>
        <w:spacing w:before="0" w:beforeAutospacing="0" w:after="0" w:afterAutospacing="0"/>
        <w:rPr>
          <w:color w:val="333333"/>
          <w:sz w:val="28"/>
          <w:szCs w:val="28"/>
        </w:rPr>
      </w:pPr>
      <w:r>
        <w:rPr>
          <w:rFonts w:hint="eastAsia"/>
          <w:color w:val="333333"/>
          <w:sz w:val="28"/>
          <w:szCs w:val="28"/>
        </w:rPr>
        <w:t xml:space="preserve">    九、基本支出：指为保障机构正常运转、完成日常工作任务而发生的人员支出和公用支出。 </w:t>
      </w:r>
    </w:p>
    <w:p w:rsidR="00B113A2" w:rsidRDefault="004E39AB">
      <w:pPr>
        <w:pStyle w:val="a9"/>
        <w:shd w:val="clear" w:color="auto" w:fill="FFFFFF"/>
        <w:spacing w:before="0" w:beforeAutospacing="0" w:after="0" w:afterAutospacing="0"/>
        <w:rPr>
          <w:color w:val="333333"/>
          <w:sz w:val="28"/>
          <w:szCs w:val="28"/>
        </w:rPr>
      </w:pPr>
      <w:r>
        <w:rPr>
          <w:rFonts w:hint="eastAsia"/>
          <w:color w:val="333333"/>
          <w:sz w:val="28"/>
          <w:szCs w:val="28"/>
        </w:rPr>
        <w:t xml:space="preserve">    十、项目支出：指在基本支出之外，为完成特定行政任务和事业发展目标所发生的支出。 </w:t>
      </w:r>
    </w:p>
    <w:p w:rsidR="00B113A2" w:rsidRDefault="004E39AB">
      <w:pPr>
        <w:pStyle w:val="a9"/>
        <w:shd w:val="clear" w:color="auto" w:fill="FFFFFF"/>
        <w:spacing w:before="0" w:beforeAutospacing="0" w:after="0" w:afterAutospacing="0"/>
        <w:rPr>
          <w:color w:val="333333"/>
          <w:sz w:val="28"/>
          <w:szCs w:val="28"/>
        </w:rPr>
      </w:pPr>
      <w:r>
        <w:rPr>
          <w:rFonts w:hint="eastAsia"/>
          <w:color w:val="333333"/>
          <w:sz w:val="28"/>
          <w:szCs w:val="28"/>
        </w:rPr>
        <w:t xml:space="preserve">    十一、“三公”经费：指省财政拨款安排的因公出国（境）费、公务用车购置及运行费和公务接待费。其中，因公出国（境）费反映单位公务出国（境）的国际旅费、国外城市间交通费、住宿费、伙食费、培训费、公杂费等支出；公务用车购置及运行费反映单位公务用车车辆购置支出（含车辆购</w:t>
      </w:r>
      <w:r>
        <w:rPr>
          <w:rFonts w:hint="eastAsia"/>
          <w:color w:val="333333"/>
          <w:sz w:val="28"/>
          <w:szCs w:val="28"/>
        </w:rPr>
        <w:lastRenderedPageBreak/>
        <w:t>置税）及租用费、燃料费、维修费、过路过桥费、保险费、安全奖励费用等支出；公务接待费反映单位按规定开支的各类公务接待（含外宾接待）支出。  </w:t>
      </w:r>
    </w:p>
    <w:p w:rsidR="00B113A2" w:rsidRDefault="004E39AB">
      <w:pPr>
        <w:widowControl/>
        <w:jc w:val="left"/>
        <w:rPr>
          <w:rFonts w:asciiTheme="minorEastAsia" w:hAnsiTheme="minorEastAsia"/>
          <w:i/>
          <w:color w:val="FF0000"/>
          <w:sz w:val="32"/>
          <w:szCs w:val="32"/>
        </w:rPr>
      </w:pPr>
      <w:r>
        <w:rPr>
          <w:rFonts w:hint="eastAsia"/>
          <w:color w:val="333333"/>
          <w:sz w:val="28"/>
          <w:szCs w:val="28"/>
        </w:rPr>
        <w:t xml:space="preserve">    </w:t>
      </w:r>
      <w:r>
        <w:rPr>
          <w:rFonts w:hint="eastAsia"/>
          <w:color w:val="333333"/>
          <w:sz w:val="28"/>
          <w:szCs w:val="28"/>
        </w:rPr>
        <w:t>十二、机关运行经费：指为保障行政单位（含参照公务员法管理的事业单位）运行用于购买货物和服务的各项资金，包括办公及印刷费、邮电费、差旅费、会议费、福利费、日常维修费、专用材料及一般设备购置费、办公用房水电费、办公用房取暖费、办公用房物业管理费、公务用车运行维护费以及其他费用。</w:t>
      </w:r>
      <w:r>
        <w:rPr>
          <w:rFonts w:hint="eastAsia"/>
          <w:color w:val="333333"/>
          <w:sz w:val="28"/>
          <w:szCs w:val="28"/>
        </w:rPr>
        <w:t> </w:t>
      </w:r>
      <w:r>
        <w:rPr>
          <w:rFonts w:asciiTheme="minorEastAsia" w:hAnsiTheme="minorEastAsia"/>
          <w:i/>
          <w:color w:val="FF0000"/>
          <w:sz w:val="32"/>
          <w:szCs w:val="32"/>
        </w:rPr>
        <w:br w:type="page"/>
      </w:r>
    </w:p>
    <w:p w:rsidR="00B113A2" w:rsidRDefault="00B113A2">
      <w:pPr>
        <w:pStyle w:val="Default"/>
        <w:jc w:val="center"/>
        <w:rPr>
          <w:sz w:val="72"/>
          <w:szCs w:val="72"/>
        </w:rPr>
      </w:pPr>
    </w:p>
    <w:p w:rsidR="00B113A2" w:rsidRDefault="00B113A2">
      <w:pPr>
        <w:pStyle w:val="Default"/>
        <w:jc w:val="center"/>
        <w:rPr>
          <w:sz w:val="72"/>
          <w:szCs w:val="72"/>
        </w:rPr>
      </w:pPr>
    </w:p>
    <w:p w:rsidR="00B113A2" w:rsidRDefault="00B113A2">
      <w:pPr>
        <w:pStyle w:val="Default"/>
        <w:jc w:val="center"/>
        <w:rPr>
          <w:sz w:val="72"/>
          <w:szCs w:val="72"/>
        </w:rPr>
      </w:pPr>
    </w:p>
    <w:p w:rsidR="00B113A2" w:rsidRDefault="00B113A2">
      <w:pPr>
        <w:pStyle w:val="Default"/>
        <w:jc w:val="center"/>
        <w:rPr>
          <w:sz w:val="72"/>
          <w:szCs w:val="72"/>
        </w:rPr>
      </w:pPr>
    </w:p>
    <w:p w:rsidR="00B113A2" w:rsidRDefault="00B113A2">
      <w:pPr>
        <w:pStyle w:val="Default"/>
        <w:jc w:val="center"/>
        <w:rPr>
          <w:sz w:val="72"/>
          <w:szCs w:val="72"/>
        </w:rPr>
      </w:pPr>
    </w:p>
    <w:p w:rsidR="00B113A2" w:rsidRDefault="00B113A2">
      <w:pPr>
        <w:pStyle w:val="Default"/>
        <w:jc w:val="center"/>
        <w:rPr>
          <w:sz w:val="72"/>
          <w:szCs w:val="72"/>
        </w:rPr>
      </w:pPr>
    </w:p>
    <w:p w:rsidR="00B113A2" w:rsidRDefault="004E39AB">
      <w:pPr>
        <w:pStyle w:val="Default"/>
        <w:jc w:val="center"/>
        <w:rPr>
          <w:rFonts w:asciiTheme="minorHAnsi" w:eastAsiaTheme="minorEastAsia" w:cstheme="minorBidi"/>
          <w:color w:val="auto"/>
          <w:kern w:val="2"/>
          <w:sz w:val="72"/>
          <w:szCs w:val="72"/>
        </w:rPr>
      </w:pPr>
      <w:r>
        <w:rPr>
          <w:rFonts w:asciiTheme="minorHAnsi" w:eastAsiaTheme="minorEastAsia" w:cstheme="minorBidi" w:hint="eastAsia"/>
          <w:color w:val="auto"/>
          <w:kern w:val="2"/>
          <w:sz w:val="72"/>
          <w:szCs w:val="72"/>
        </w:rPr>
        <w:t>第五部分</w:t>
      </w:r>
    </w:p>
    <w:p w:rsidR="00B113A2" w:rsidRDefault="00B113A2">
      <w:pPr>
        <w:pStyle w:val="Default"/>
        <w:jc w:val="center"/>
        <w:rPr>
          <w:rFonts w:asciiTheme="minorHAnsi" w:eastAsiaTheme="minorEastAsia" w:cstheme="minorBidi"/>
          <w:color w:val="auto"/>
          <w:kern w:val="2"/>
          <w:sz w:val="72"/>
          <w:szCs w:val="72"/>
        </w:rPr>
      </w:pPr>
    </w:p>
    <w:p w:rsidR="00B113A2" w:rsidRDefault="004E39AB">
      <w:pPr>
        <w:pStyle w:val="Default"/>
        <w:jc w:val="center"/>
        <w:rPr>
          <w:rFonts w:asciiTheme="minorHAnsi" w:eastAsiaTheme="minorEastAsia" w:cstheme="minorBidi"/>
          <w:color w:val="auto"/>
          <w:kern w:val="2"/>
          <w:sz w:val="72"/>
          <w:szCs w:val="72"/>
        </w:rPr>
      </w:pPr>
      <w:r>
        <w:rPr>
          <w:rFonts w:asciiTheme="minorHAnsi" w:eastAsiaTheme="minorEastAsia" w:cstheme="minorBidi" w:hint="eastAsia"/>
          <w:color w:val="auto"/>
          <w:kern w:val="2"/>
          <w:sz w:val="72"/>
          <w:szCs w:val="72"/>
        </w:rPr>
        <w:t>附件</w:t>
      </w:r>
    </w:p>
    <w:p w:rsidR="00B113A2" w:rsidRDefault="00B113A2">
      <w:pPr>
        <w:widowControl/>
        <w:jc w:val="center"/>
        <w:rPr>
          <w:rFonts w:asciiTheme="minorEastAsia" w:hAnsiTheme="minorEastAsia" w:cs="黑体"/>
          <w:b/>
          <w:color w:val="000000"/>
          <w:kern w:val="0"/>
          <w:sz w:val="32"/>
          <w:szCs w:val="32"/>
        </w:rPr>
      </w:pPr>
    </w:p>
    <w:p w:rsidR="00B113A2" w:rsidRDefault="00B113A2">
      <w:pPr>
        <w:widowControl/>
        <w:jc w:val="center"/>
        <w:rPr>
          <w:rFonts w:asciiTheme="minorEastAsia" w:hAnsiTheme="minorEastAsia" w:cs="黑体"/>
          <w:b/>
          <w:color w:val="000000"/>
          <w:kern w:val="0"/>
          <w:sz w:val="32"/>
          <w:szCs w:val="32"/>
        </w:rPr>
      </w:pPr>
    </w:p>
    <w:p w:rsidR="00B113A2" w:rsidRDefault="00B113A2">
      <w:pPr>
        <w:widowControl/>
        <w:jc w:val="center"/>
        <w:rPr>
          <w:rFonts w:asciiTheme="minorEastAsia" w:hAnsiTheme="minorEastAsia" w:cs="黑体"/>
          <w:b/>
          <w:color w:val="000000"/>
          <w:kern w:val="0"/>
          <w:sz w:val="32"/>
          <w:szCs w:val="32"/>
        </w:rPr>
      </w:pPr>
    </w:p>
    <w:p w:rsidR="00B113A2" w:rsidRDefault="00B113A2">
      <w:pPr>
        <w:widowControl/>
        <w:jc w:val="center"/>
        <w:rPr>
          <w:rFonts w:asciiTheme="minorEastAsia" w:hAnsiTheme="minorEastAsia" w:cs="黑体"/>
          <w:b/>
          <w:color w:val="000000"/>
          <w:kern w:val="0"/>
          <w:sz w:val="32"/>
          <w:szCs w:val="32"/>
        </w:rPr>
      </w:pPr>
    </w:p>
    <w:p w:rsidR="00B113A2" w:rsidRDefault="00B113A2">
      <w:pPr>
        <w:widowControl/>
        <w:jc w:val="center"/>
        <w:rPr>
          <w:rFonts w:asciiTheme="minorEastAsia" w:hAnsiTheme="minorEastAsia" w:cs="黑体"/>
          <w:b/>
          <w:color w:val="000000"/>
          <w:kern w:val="0"/>
          <w:sz w:val="32"/>
          <w:szCs w:val="32"/>
        </w:rPr>
      </w:pPr>
    </w:p>
    <w:p w:rsidR="00B113A2" w:rsidRDefault="00B113A2">
      <w:pPr>
        <w:widowControl/>
        <w:jc w:val="center"/>
        <w:rPr>
          <w:rFonts w:asciiTheme="minorEastAsia" w:hAnsiTheme="minorEastAsia" w:cs="黑体"/>
          <w:b/>
          <w:color w:val="000000"/>
          <w:kern w:val="0"/>
          <w:sz w:val="32"/>
          <w:szCs w:val="32"/>
        </w:rPr>
      </w:pPr>
    </w:p>
    <w:p w:rsidR="00B113A2" w:rsidRDefault="00B113A2">
      <w:pPr>
        <w:widowControl/>
        <w:jc w:val="center"/>
        <w:rPr>
          <w:rFonts w:asciiTheme="minorEastAsia" w:hAnsiTheme="minorEastAsia" w:cs="黑体"/>
          <w:b/>
          <w:color w:val="000000"/>
          <w:kern w:val="0"/>
          <w:sz w:val="32"/>
          <w:szCs w:val="32"/>
        </w:rPr>
      </w:pPr>
    </w:p>
    <w:p w:rsidR="00B113A2" w:rsidRDefault="00B113A2">
      <w:pPr>
        <w:widowControl/>
        <w:jc w:val="center"/>
        <w:rPr>
          <w:rFonts w:asciiTheme="minorEastAsia" w:hAnsiTheme="minorEastAsia" w:cs="黑体"/>
          <w:b/>
          <w:color w:val="000000"/>
          <w:kern w:val="0"/>
          <w:sz w:val="32"/>
          <w:szCs w:val="32"/>
        </w:rPr>
      </w:pPr>
    </w:p>
    <w:p w:rsidR="00B113A2" w:rsidRDefault="00B113A2">
      <w:pPr>
        <w:widowControl/>
        <w:jc w:val="center"/>
        <w:rPr>
          <w:rFonts w:asciiTheme="minorEastAsia" w:hAnsiTheme="minorEastAsia" w:cs="黑体"/>
          <w:b/>
          <w:color w:val="000000"/>
          <w:kern w:val="0"/>
          <w:sz w:val="32"/>
          <w:szCs w:val="32"/>
        </w:rPr>
      </w:pPr>
    </w:p>
    <w:p w:rsidR="00B113A2" w:rsidRDefault="00B113A2">
      <w:pPr>
        <w:widowControl/>
        <w:jc w:val="center"/>
        <w:rPr>
          <w:rFonts w:asciiTheme="minorEastAsia" w:hAnsiTheme="minorEastAsia" w:cs="黑体"/>
          <w:b/>
          <w:color w:val="000000"/>
          <w:kern w:val="0"/>
          <w:sz w:val="32"/>
          <w:szCs w:val="32"/>
        </w:rPr>
      </w:pPr>
    </w:p>
    <w:p w:rsidR="00B113A2" w:rsidRDefault="00B113A2">
      <w:pPr>
        <w:widowControl/>
        <w:jc w:val="center"/>
        <w:rPr>
          <w:rFonts w:asciiTheme="minorEastAsia" w:hAnsiTheme="minorEastAsia" w:cs="黑体"/>
          <w:b/>
          <w:color w:val="000000"/>
          <w:kern w:val="0"/>
          <w:sz w:val="32"/>
          <w:szCs w:val="32"/>
        </w:rPr>
      </w:pPr>
    </w:p>
    <w:p w:rsidR="00B113A2" w:rsidRDefault="00B113A2">
      <w:pPr>
        <w:widowControl/>
        <w:jc w:val="center"/>
        <w:rPr>
          <w:rFonts w:asciiTheme="minorEastAsia" w:hAnsiTheme="minorEastAsia" w:cs="黑体"/>
          <w:b/>
          <w:color w:val="000000"/>
          <w:kern w:val="0"/>
          <w:sz w:val="32"/>
          <w:szCs w:val="32"/>
        </w:rPr>
      </w:pPr>
    </w:p>
    <w:p w:rsidR="00B113A2" w:rsidRDefault="00B113A2">
      <w:pPr>
        <w:widowControl/>
        <w:jc w:val="center"/>
        <w:rPr>
          <w:rFonts w:asciiTheme="minorEastAsia" w:hAnsiTheme="minorEastAsia" w:cs="黑体"/>
          <w:b/>
          <w:color w:val="000000"/>
          <w:kern w:val="0"/>
          <w:sz w:val="32"/>
          <w:szCs w:val="32"/>
        </w:rPr>
      </w:pPr>
    </w:p>
    <w:p w:rsidR="00B113A2" w:rsidRDefault="004E39AB">
      <w:pPr>
        <w:widowControl/>
        <w:spacing w:line="540" w:lineRule="atLeast"/>
        <w:jc w:val="center"/>
        <w:rPr>
          <w:rFonts w:ascii="仿宋" w:eastAsia="仿宋" w:hAnsi="仿宋" w:cs="仿宋"/>
          <w:b/>
          <w:bCs/>
          <w:sz w:val="36"/>
          <w:szCs w:val="36"/>
        </w:rPr>
      </w:pPr>
      <w:r>
        <w:rPr>
          <w:rFonts w:ascii="仿宋" w:eastAsia="仿宋" w:hAnsi="仿宋" w:cs="仿宋" w:hint="eastAsia"/>
          <w:b/>
          <w:bCs/>
          <w:color w:val="000000"/>
          <w:kern w:val="0"/>
          <w:sz w:val="36"/>
          <w:szCs w:val="36"/>
        </w:rPr>
        <w:t>洪山镇2020年部门整体支出绩效自评报告</w:t>
      </w:r>
    </w:p>
    <w:p w:rsidR="00B113A2" w:rsidRDefault="004E39AB">
      <w:pPr>
        <w:ind w:firstLineChars="200" w:firstLine="560"/>
        <w:jc w:val="left"/>
        <w:rPr>
          <w:rFonts w:ascii="仿宋" w:eastAsia="仿宋" w:hAnsi="仿宋" w:cs="仿宋"/>
          <w:color w:val="333333"/>
          <w:spacing w:val="-2"/>
          <w:sz w:val="28"/>
          <w:szCs w:val="28"/>
        </w:rPr>
      </w:pPr>
      <w:r>
        <w:rPr>
          <w:rFonts w:ascii="仿宋" w:eastAsia="仿宋" w:hAnsi="仿宋" w:cs="仿宋" w:hint="eastAsia"/>
          <w:color w:val="000000"/>
          <w:kern w:val="0"/>
          <w:sz w:val="28"/>
          <w:szCs w:val="28"/>
        </w:rPr>
        <w:t> </w:t>
      </w:r>
      <w:r>
        <w:rPr>
          <w:rFonts w:ascii="仿宋" w:eastAsia="仿宋" w:hAnsi="仿宋" w:cs="仿宋" w:hint="eastAsia"/>
          <w:color w:val="333333"/>
          <w:spacing w:val="-2"/>
          <w:sz w:val="28"/>
          <w:szCs w:val="28"/>
        </w:rPr>
        <w:t>为加强财政预算资金管理，进一步规范预算资金使用，提高财政资金使用效益，根据《衡南县财政局关于开展2020年度财政资金绩效自评工作的通知》（</w:t>
      </w:r>
      <w:r>
        <w:rPr>
          <w:rFonts w:ascii="仿宋_GB2312" w:eastAsia="仿宋_GB2312" w:hAnsi="黑体" w:cs="仿宋_GB2312" w:hint="eastAsia"/>
          <w:bCs/>
          <w:sz w:val="32"/>
          <w:szCs w:val="32"/>
        </w:rPr>
        <w:t>清财绩[2021]66号）</w:t>
      </w:r>
      <w:r>
        <w:rPr>
          <w:rFonts w:ascii="仿宋" w:eastAsia="仿宋" w:hAnsi="仿宋" w:cs="仿宋" w:hint="eastAsia"/>
          <w:color w:val="333333"/>
          <w:spacing w:val="-2"/>
          <w:sz w:val="28"/>
          <w:szCs w:val="28"/>
        </w:rPr>
        <w:t>要求，我镇对2020年度本单位财政性资金整体使用情况进行了绩效自评，现将具体绩效评价情况报告如下：</w:t>
      </w:r>
    </w:p>
    <w:p w:rsidR="00B113A2" w:rsidRDefault="004E39AB">
      <w:pPr>
        <w:numPr>
          <w:ilvl w:val="0"/>
          <w:numId w:val="2"/>
        </w:numPr>
        <w:spacing w:line="600" w:lineRule="exact"/>
        <w:rPr>
          <w:rFonts w:ascii="黑体" w:eastAsia="黑体"/>
          <w:sz w:val="32"/>
          <w:szCs w:val="32"/>
        </w:rPr>
      </w:pPr>
      <w:r>
        <w:rPr>
          <w:rFonts w:ascii="黑体" w:eastAsia="黑体" w:hint="eastAsia"/>
          <w:sz w:val="32"/>
          <w:szCs w:val="32"/>
        </w:rPr>
        <w:t>单位基本情况</w:t>
      </w:r>
    </w:p>
    <w:p w:rsidR="00B113A2" w:rsidRDefault="004E39AB">
      <w:pPr>
        <w:shd w:val="solid" w:color="FFFFFF" w:fill="auto"/>
        <w:autoSpaceDN w:val="0"/>
        <w:ind w:firstLineChars="200" w:firstLine="640"/>
        <w:rPr>
          <w:rFonts w:ascii="仿宋" w:eastAsia="仿宋" w:hAnsi="仿宋"/>
          <w:bCs/>
          <w:color w:val="383838"/>
          <w:sz w:val="32"/>
          <w:shd w:val="clear" w:color="auto" w:fill="FFFFFF"/>
        </w:rPr>
      </w:pPr>
      <w:r>
        <w:rPr>
          <w:rFonts w:ascii="仿宋" w:eastAsia="仿宋" w:hAnsi="仿宋" w:hint="eastAsia"/>
          <w:bCs/>
          <w:color w:val="383838"/>
          <w:sz w:val="32"/>
          <w:shd w:val="clear" w:color="auto" w:fill="FFFFFF"/>
        </w:rPr>
        <w:t>洪山镇人民政府为全额财政拨款单位，纳入财政会计集中核算和国库集中支付体系，财务制度执行《预算法》、《行政单位会计制度》。</w:t>
      </w:r>
    </w:p>
    <w:p w:rsidR="00B113A2" w:rsidRDefault="004E39AB">
      <w:pPr>
        <w:numPr>
          <w:ilvl w:val="0"/>
          <w:numId w:val="3"/>
        </w:numPr>
        <w:spacing w:line="600" w:lineRule="exact"/>
        <w:ind w:leftChars="304" w:left="638"/>
        <w:rPr>
          <w:rFonts w:ascii="仿宋" w:eastAsia="仿宋" w:hAnsi="仿宋"/>
          <w:b/>
          <w:color w:val="383838"/>
          <w:sz w:val="32"/>
          <w:shd w:val="clear" w:color="auto" w:fill="FFFFFF"/>
        </w:rPr>
      </w:pPr>
      <w:r>
        <w:rPr>
          <w:rFonts w:ascii="仿宋" w:eastAsia="仿宋" w:hAnsi="仿宋" w:hint="eastAsia"/>
          <w:b/>
          <w:color w:val="383838"/>
          <w:sz w:val="32"/>
          <w:shd w:val="clear" w:color="auto" w:fill="FFFFFF"/>
        </w:rPr>
        <w:t>、机构设置情况</w:t>
      </w:r>
    </w:p>
    <w:p w:rsidR="00B113A2" w:rsidRDefault="004E39AB">
      <w:pPr>
        <w:spacing w:line="600" w:lineRule="exact"/>
        <w:rPr>
          <w:rFonts w:ascii="仿宋" w:eastAsia="仿宋" w:hAnsi="仿宋"/>
          <w:b/>
          <w:color w:val="383838"/>
          <w:sz w:val="32"/>
          <w:shd w:val="clear" w:color="auto" w:fill="FFFFFF"/>
        </w:rPr>
      </w:pPr>
      <w:r>
        <w:rPr>
          <w:rFonts w:ascii="仿宋" w:eastAsia="仿宋" w:hAnsi="仿宋" w:hint="eastAsia"/>
          <w:bCs/>
          <w:sz w:val="32"/>
          <w:shd w:val="clear" w:color="auto" w:fill="FFFFFF"/>
        </w:rPr>
        <w:t>截止2020年底全部实有人员共计32人，其中政府在职行政编25人，全额事业编7人。</w:t>
      </w:r>
    </w:p>
    <w:p w:rsidR="00B113A2" w:rsidRDefault="004E39AB" w:rsidP="00B113A2">
      <w:pPr>
        <w:spacing w:line="600" w:lineRule="exact"/>
        <w:ind w:leftChars="304" w:left="638"/>
        <w:rPr>
          <w:rFonts w:ascii="仿宋" w:eastAsia="仿宋" w:hAnsi="仿宋"/>
          <w:b/>
          <w:color w:val="383838"/>
          <w:sz w:val="32"/>
          <w:shd w:val="clear" w:color="auto" w:fill="FFFFFF"/>
        </w:rPr>
      </w:pPr>
      <w:r>
        <w:rPr>
          <w:rFonts w:ascii="仿宋" w:eastAsia="仿宋" w:hAnsi="仿宋" w:hint="eastAsia"/>
          <w:b/>
          <w:color w:val="383838"/>
          <w:sz w:val="32"/>
          <w:shd w:val="clear" w:color="auto" w:fill="FFFFFF"/>
        </w:rPr>
        <w:t>（二）主要工作职责</w:t>
      </w:r>
    </w:p>
    <w:p w:rsidR="00B113A2" w:rsidRDefault="004E39AB">
      <w:pPr>
        <w:spacing w:line="600" w:lineRule="exact"/>
        <w:rPr>
          <w:rFonts w:ascii="仿宋" w:eastAsia="仿宋" w:hAnsi="仿宋"/>
          <w:b/>
          <w:color w:val="383838"/>
          <w:sz w:val="32"/>
          <w:shd w:val="clear" w:color="auto" w:fill="FFFFFF"/>
        </w:rPr>
      </w:pPr>
      <w:r>
        <w:rPr>
          <w:rFonts w:ascii="仿宋" w:eastAsia="仿宋" w:hAnsi="仿宋" w:hint="eastAsia"/>
          <w:bCs/>
          <w:color w:val="383838"/>
          <w:sz w:val="32"/>
          <w:shd w:val="clear" w:color="auto" w:fill="FFFFFF"/>
        </w:rPr>
        <w:t>（1）制定和组织实施经济、科技和社会发展计划，制定资源开发技术改造和产业结构调整方案，组织指导好各业生产，搞好商品流通，协调好本乡与外地区的经济交流与合作，抓好招商引资，人才引进项目开发，不断培育市场体系，组织经济运行，促进经济发展。</w:t>
      </w:r>
      <w:r>
        <w:rPr>
          <w:rFonts w:ascii="仿宋" w:eastAsia="仿宋" w:hAnsi="仿宋" w:hint="eastAsia"/>
          <w:bCs/>
          <w:color w:val="383838"/>
          <w:sz w:val="32"/>
          <w:shd w:val="clear" w:color="auto" w:fill="FFFFFF"/>
        </w:rPr>
        <w:br/>
        <w:t>（2）制定并组织实施村镇建设规划，部署重点工程建设，地方道路建设及公共设施，水利设施的管理，负责土地、林木、水等自然资源和生态环境的保护，做好护林防火工作。</w:t>
      </w:r>
      <w:r>
        <w:rPr>
          <w:rFonts w:ascii="仿宋" w:eastAsia="仿宋" w:hAnsi="仿宋" w:hint="eastAsia"/>
          <w:bCs/>
          <w:color w:val="383838"/>
          <w:sz w:val="32"/>
          <w:shd w:val="clear" w:color="auto" w:fill="FFFFFF"/>
        </w:rPr>
        <w:br/>
        <w:t>（3）负责本行政区域内的党建、扶贫、民政、安全生产、教育、卫生、计划生育、文体等社会公益事业的综合性工作，维护一切经济单位和个人的正当经济权益，取缔非法经济活动，调解和处理民</w:t>
      </w:r>
      <w:r>
        <w:rPr>
          <w:rFonts w:ascii="仿宋" w:eastAsia="仿宋" w:hAnsi="仿宋" w:hint="eastAsia"/>
          <w:bCs/>
          <w:color w:val="383838"/>
          <w:sz w:val="32"/>
          <w:shd w:val="clear" w:color="auto" w:fill="FFFFFF"/>
        </w:rPr>
        <w:lastRenderedPageBreak/>
        <w:t>事纠纷，打击刑事犯罪，维护社会稳定。</w:t>
      </w:r>
      <w:r>
        <w:rPr>
          <w:rFonts w:ascii="仿宋" w:eastAsia="仿宋" w:hAnsi="仿宋" w:hint="eastAsia"/>
          <w:bCs/>
          <w:color w:val="383838"/>
          <w:sz w:val="32"/>
          <w:shd w:val="clear" w:color="auto" w:fill="FFFFFF"/>
        </w:rPr>
        <w:br/>
        <w:t>（4）按计划组织本级财政收入和地方税的征收，完成国家财政计划，不断培植税源，管好财政资金，增强财政实力。</w:t>
      </w:r>
      <w:r>
        <w:rPr>
          <w:rFonts w:ascii="仿宋" w:eastAsia="仿宋" w:hAnsi="仿宋" w:hint="eastAsia"/>
          <w:bCs/>
          <w:color w:val="383838"/>
          <w:sz w:val="32"/>
          <w:shd w:val="clear" w:color="auto" w:fill="FFFFFF"/>
        </w:rPr>
        <w:br/>
        <w:t>（5）抓好精神文明建设，丰富群众文化生活，提倡移风易俗，反对封建迷信，破除陈规陋习，树立社会主义新风尚。</w:t>
      </w:r>
      <w:r>
        <w:rPr>
          <w:rFonts w:ascii="仿宋" w:eastAsia="仿宋" w:hAnsi="仿宋" w:hint="eastAsia"/>
          <w:bCs/>
          <w:color w:val="383838"/>
          <w:sz w:val="32"/>
          <w:shd w:val="clear" w:color="auto" w:fill="FFFFFF"/>
        </w:rPr>
        <w:br/>
        <w:t>（6）完成上级政府交办的其它事项。</w:t>
      </w:r>
    </w:p>
    <w:p w:rsidR="00B113A2" w:rsidRDefault="00B113A2" w:rsidP="00B113A2">
      <w:pPr>
        <w:spacing w:line="600" w:lineRule="exact"/>
        <w:ind w:leftChars="304" w:left="638"/>
        <w:rPr>
          <w:rFonts w:ascii="仿宋" w:eastAsia="仿宋" w:hAnsi="仿宋"/>
          <w:b/>
          <w:color w:val="383838"/>
          <w:sz w:val="32"/>
          <w:shd w:val="clear" w:color="auto" w:fill="FFFFFF"/>
        </w:rPr>
      </w:pPr>
    </w:p>
    <w:p w:rsidR="00B113A2" w:rsidRDefault="004E39AB">
      <w:pPr>
        <w:spacing w:line="600" w:lineRule="exact"/>
        <w:ind w:firstLineChars="200" w:firstLine="640"/>
        <w:rPr>
          <w:rFonts w:ascii="黑体" w:eastAsia="黑体"/>
          <w:sz w:val="32"/>
          <w:szCs w:val="32"/>
        </w:rPr>
      </w:pPr>
      <w:r>
        <w:rPr>
          <w:rFonts w:ascii="黑体" w:eastAsia="黑体" w:hint="eastAsia"/>
          <w:sz w:val="32"/>
          <w:szCs w:val="32"/>
        </w:rPr>
        <w:t>二、部门整体支出管理及使用情况</w:t>
      </w:r>
    </w:p>
    <w:p w:rsidR="00B113A2" w:rsidRDefault="004E39AB" w:rsidP="00B113A2">
      <w:pPr>
        <w:shd w:val="solid" w:color="FFFFFF" w:fill="auto"/>
        <w:autoSpaceDN w:val="0"/>
        <w:ind w:firstLineChars="200" w:firstLine="643"/>
        <w:rPr>
          <w:rFonts w:ascii="仿宋" w:eastAsia="仿宋" w:hAnsi="仿宋" w:cs="Times New Roman"/>
          <w:b/>
          <w:color w:val="383838"/>
          <w:sz w:val="32"/>
          <w:shd w:val="clear" w:color="auto" w:fill="FFFFFF"/>
        </w:rPr>
      </w:pPr>
      <w:r>
        <w:rPr>
          <w:rFonts w:ascii="仿宋" w:eastAsia="仿宋" w:hAnsi="仿宋" w:cs="Times New Roman" w:hint="eastAsia"/>
          <w:b/>
          <w:color w:val="383838"/>
          <w:sz w:val="32"/>
          <w:shd w:val="clear" w:color="auto" w:fill="FFFFFF"/>
        </w:rPr>
        <w:t>（一）部门预算决算收支情况</w:t>
      </w:r>
    </w:p>
    <w:p w:rsidR="00B113A2" w:rsidRDefault="004E39AB">
      <w:pPr>
        <w:spacing w:line="600" w:lineRule="exact"/>
        <w:ind w:firstLineChars="200" w:firstLine="640"/>
        <w:rPr>
          <w:rFonts w:ascii="仿宋" w:eastAsia="仿宋" w:hAnsi="仿宋" w:cs="仿宋"/>
          <w:color w:val="FF0000"/>
          <w:sz w:val="32"/>
          <w:szCs w:val="32"/>
        </w:rPr>
      </w:pPr>
      <w:r>
        <w:rPr>
          <w:rFonts w:ascii="仿宋" w:eastAsia="仿宋" w:hAnsi="仿宋" w:cs="Times New Roman" w:hint="eastAsia"/>
          <w:bCs/>
          <w:sz w:val="32"/>
          <w:shd w:val="clear" w:color="auto" w:fill="FFFFFF"/>
        </w:rPr>
        <w:t>20</w:t>
      </w:r>
      <w:r>
        <w:rPr>
          <w:rFonts w:ascii="仿宋" w:eastAsia="仿宋" w:hAnsi="仿宋" w:cs="仿宋" w:hint="eastAsia"/>
          <w:spacing w:val="-2"/>
          <w:sz w:val="28"/>
          <w:szCs w:val="28"/>
        </w:rPr>
        <w:t>20</w:t>
      </w:r>
      <w:r>
        <w:rPr>
          <w:rFonts w:ascii="仿宋" w:eastAsia="仿宋" w:hAnsi="仿宋" w:cs="Times New Roman" w:hint="eastAsia"/>
          <w:bCs/>
          <w:sz w:val="32"/>
          <w:shd w:val="clear" w:color="auto" w:fill="FFFFFF"/>
        </w:rPr>
        <w:t>年年初预算收入</w:t>
      </w:r>
      <w:r>
        <w:rPr>
          <w:rFonts w:ascii="仿宋" w:eastAsia="仿宋" w:hAnsi="仿宋" w:cs="仿宋" w:hint="eastAsia"/>
          <w:sz w:val="32"/>
          <w:szCs w:val="32"/>
        </w:rPr>
        <w:t>774.21</w:t>
      </w:r>
      <w:r>
        <w:rPr>
          <w:rFonts w:ascii="仿宋" w:eastAsia="仿宋" w:hAnsi="仿宋" w:cs="Times New Roman" w:hint="eastAsia"/>
          <w:bCs/>
          <w:sz w:val="32"/>
          <w:shd w:val="clear" w:color="auto" w:fill="FFFFFF"/>
        </w:rPr>
        <w:t>万元，</w:t>
      </w:r>
      <w:r>
        <w:rPr>
          <w:rFonts w:ascii="仿宋" w:eastAsia="仿宋" w:hAnsi="仿宋" w:cs="仿宋" w:hint="eastAsia"/>
          <w:sz w:val="32"/>
          <w:szCs w:val="32"/>
        </w:rPr>
        <w:t>其中：工资福利支出233.61万元，一般商品和服务支出113.6万元，对个人和家庭的补助3万元，项目支出424万元。</w:t>
      </w:r>
    </w:p>
    <w:p w:rsidR="00B113A2" w:rsidRDefault="004E39AB">
      <w:pPr>
        <w:shd w:val="solid" w:color="FFFFFF" w:fill="auto"/>
        <w:autoSpaceDN w:val="0"/>
        <w:ind w:firstLineChars="200" w:firstLine="640"/>
        <w:rPr>
          <w:rFonts w:ascii="仿宋" w:eastAsia="仿宋" w:hAnsi="仿宋" w:cs="Times New Roman"/>
          <w:bCs/>
          <w:color w:val="383838"/>
          <w:sz w:val="32"/>
          <w:shd w:val="clear" w:color="auto" w:fill="FFFFFF"/>
        </w:rPr>
      </w:pPr>
      <w:r>
        <w:rPr>
          <w:rFonts w:ascii="仿宋" w:eastAsia="仿宋" w:hAnsi="仿宋" w:cs="Times New Roman" w:hint="eastAsia"/>
          <w:bCs/>
          <w:color w:val="383838"/>
          <w:sz w:val="32"/>
          <w:shd w:val="clear" w:color="auto" w:fill="FFFFFF"/>
        </w:rPr>
        <w:t>20</w:t>
      </w:r>
      <w:r>
        <w:rPr>
          <w:rFonts w:ascii="仿宋" w:eastAsia="仿宋" w:hAnsi="仿宋" w:cs="仿宋" w:hint="eastAsia"/>
          <w:color w:val="333333"/>
          <w:spacing w:val="-2"/>
          <w:sz w:val="28"/>
          <w:szCs w:val="28"/>
        </w:rPr>
        <w:t>20</w:t>
      </w:r>
      <w:r>
        <w:rPr>
          <w:rFonts w:ascii="仿宋" w:eastAsia="仿宋" w:hAnsi="仿宋" w:cs="Times New Roman" w:hint="eastAsia"/>
          <w:bCs/>
          <w:color w:val="383838"/>
          <w:sz w:val="32"/>
          <w:shd w:val="clear" w:color="auto" w:fill="FFFFFF"/>
        </w:rPr>
        <w:t>年决算收入1482.59万元。本年度总支出1482.59万元，其中：</w:t>
      </w:r>
      <w:r>
        <w:rPr>
          <w:rFonts w:ascii="仿宋" w:eastAsia="仿宋" w:hAnsi="仿宋" w:cs="仿宋" w:hint="eastAsia"/>
          <w:color w:val="333333"/>
          <w:sz w:val="32"/>
          <w:szCs w:val="32"/>
        </w:rPr>
        <w:t>工资福利支出296.44万元，一般商品和服务支出116.22万元，对个人和家庭的补助17.1万元，资本性支出1.44万元；项目支出1051.39万元</w:t>
      </w:r>
      <w:r>
        <w:rPr>
          <w:rFonts w:ascii="仿宋" w:eastAsia="仿宋" w:hAnsi="仿宋" w:cs="Times New Roman" w:hint="eastAsia"/>
          <w:bCs/>
          <w:color w:val="383838"/>
          <w:sz w:val="32"/>
          <w:shd w:val="clear" w:color="auto" w:fill="FFFFFF"/>
        </w:rPr>
        <w:t>。</w:t>
      </w:r>
    </w:p>
    <w:p w:rsidR="00B113A2" w:rsidRDefault="004E39AB" w:rsidP="00B113A2">
      <w:pPr>
        <w:shd w:val="solid" w:color="FFFFFF" w:fill="auto"/>
        <w:autoSpaceDN w:val="0"/>
        <w:ind w:firstLineChars="200" w:firstLine="643"/>
        <w:rPr>
          <w:rFonts w:ascii="仿宋" w:eastAsia="仿宋" w:hAnsi="仿宋" w:cs="Times New Roman"/>
          <w:b/>
          <w:color w:val="383838"/>
          <w:sz w:val="32"/>
          <w:shd w:val="clear" w:color="auto" w:fill="FFFFFF"/>
        </w:rPr>
      </w:pPr>
      <w:r>
        <w:rPr>
          <w:rFonts w:ascii="仿宋" w:eastAsia="仿宋" w:hAnsi="仿宋" w:cs="Times New Roman" w:hint="eastAsia"/>
          <w:b/>
          <w:color w:val="383838"/>
          <w:sz w:val="32"/>
          <w:shd w:val="clear" w:color="auto" w:fill="FFFFFF"/>
        </w:rPr>
        <w:t>（二）支出分类情况。</w:t>
      </w:r>
    </w:p>
    <w:p w:rsidR="00B113A2" w:rsidRDefault="004E39AB" w:rsidP="00B113A2">
      <w:pPr>
        <w:shd w:val="solid" w:color="FFFFFF" w:fill="auto"/>
        <w:autoSpaceDN w:val="0"/>
        <w:ind w:firstLineChars="200" w:firstLine="643"/>
        <w:rPr>
          <w:rFonts w:ascii="仿宋" w:eastAsia="仿宋" w:hAnsi="仿宋" w:cs="Times New Roman"/>
          <w:b/>
          <w:color w:val="383838"/>
          <w:sz w:val="32"/>
          <w:shd w:val="clear" w:color="auto" w:fill="FFFFFF"/>
        </w:rPr>
      </w:pPr>
      <w:r>
        <w:rPr>
          <w:rFonts w:ascii="仿宋" w:eastAsia="仿宋" w:hAnsi="仿宋" w:cs="Times New Roman" w:hint="eastAsia"/>
          <w:b/>
          <w:color w:val="383838"/>
          <w:sz w:val="32"/>
          <w:shd w:val="clear" w:color="auto" w:fill="FFFFFF"/>
        </w:rPr>
        <w:t>1.基本支出</w:t>
      </w:r>
    </w:p>
    <w:p w:rsidR="00B113A2" w:rsidRDefault="004E39AB">
      <w:pPr>
        <w:shd w:val="solid" w:color="FFFFFF" w:fill="auto"/>
        <w:autoSpaceDN w:val="0"/>
        <w:ind w:firstLineChars="200" w:firstLine="640"/>
        <w:rPr>
          <w:rFonts w:ascii="仿宋" w:eastAsia="仿宋" w:hAnsi="仿宋" w:cs="Times New Roman"/>
          <w:bCs/>
          <w:color w:val="383838"/>
          <w:sz w:val="32"/>
          <w:shd w:val="clear" w:color="auto" w:fill="FFFFFF"/>
        </w:rPr>
      </w:pPr>
      <w:r>
        <w:rPr>
          <w:rFonts w:ascii="仿宋" w:eastAsia="仿宋" w:hAnsi="仿宋" w:cs="Times New Roman" w:hint="eastAsia"/>
          <w:bCs/>
          <w:color w:val="383838"/>
          <w:sz w:val="32"/>
          <w:shd w:val="clear" w:color="auto" w:fill="FFFFFF"/>
        </w:rPr>
        <w:t>基本支出为保障单位机构正常运转、完成日常工作任务而发生的各项支出，包括用于基本工资、津贴补贴等人员经费以及办公费、印刷费、水电费等日常公用经费。</w:t>
      </w:r>
    </w:p>
    <w:p w:rsidR="00B113A2" w:rsidRDefault="004E39AB">
      <w:pPr>
        <w:shd w:val="solid" w:color="FFFFFF" w:fill="auto"/>
        <w:autoSpaceDN w:val="0"/>
        <w:ind w:firstLineChars="200" w:firstLine="640"/>
        <w:rPr>
          <w:rFonts w:ascii="仿宋" w:eastAsia="仿宋" w:hAnsi="仿宋" w:cs="Times New Roman"/>
          <w:bCs/>
          <w:color w:val="383838"/>
          <w:sz w:val="32"/>
          <w:shd w:val="clear" w:color="auto" w:fill="FFFFFF"/>
        </w:rPr>
      </w:pPr>
      <w:r>
        <w:rPr>
          <w:rFonts w:ascii="仿宋" w:eastAsia="仿宋" w:hAnsi="仿宋" w:cs="Times New Roman" w:hint="eastAsia"/>
          <w:bCs/>
          <w:sz w:val="32"/>
          <w:shd w:val="clear" w:color="auto" w:fill="FFFFFF"/>
        </w:rPr>
        <w:t>2020年年初预算批复的基本支出为350.21万元</w:t>
      </w:r>
      <w:r>
        <w:rPr>
          <w:rFonts w:ascii="仿宋" w:eastAsia="仿宋" w:hAnsi="仿宋" w:cs="Times New Roman" w:hint="eastAsia"/>
          <w:bCs/>
          <w:color w:val="383838"/>
          <w:sz w:val="32"/>
          <w:shd w:val="clear" w:color="auto" w:fill="FFFFFF"/>
        </w:rPr>
        <w:t>，2020年决算基本支出431.2万元，其中：</w:t>
      </w:r>
      <w:r>
        <w:rPr>
          <w:rFonts w:ascii="仿宋" w:eastAsia="仿宋" w:hAnsi="仿宋" w:cs="仿宋" w:hint="eastAsia"/>
          <w:color w:val="333333"/>
          <w:sz w:val="32"/>
          <w:szCs w:val="32"/>
        </w:rPr>
        <w:t>工资福利支出296.44万元，一般商品和服务支出116.22万元，对个人和家庭的补助17.1万元，资本性支出1.44万元</w:t>
      </w:r>
      <w:r>
        <w:rPr>
          <w:rFonts w:ascii="仿宋" w:eastAsia="仿宋" w:hAnsi="仿宋" w:cs="Times New Roman" w:hint="eastAsia"/>
          <w:bCs/>
          <w:color w:val="383838"/>
          <w:sz w:val="32"/>
          <w:shd w:val="clear" w:color="auto" w:fill="FFFFFF"/>
        </w:rPr>
        <w:t>。</w:t>
      </w:r>
    </w:p>
    <w:p w:rsidR="00B113A2" w:rsidRDefault="004E39AB" w:rsidP="00B113A2">
      <w:pPr>
        <w:shd w:val="solid" w:color="FFFFFF" w:fill="auto"/>
        <w:autoSpaceDN w:val="0"/>
        <w:ind w:firstLineChars="200" w:firstLine="643"/>
        <w:rPr>
          <w:rFonts w:ascii="仿宋" w:eastAsia="仿宋" w:hAnsi="仿宋" w:cs="Times New Roman"/>
          <w:b/>
          <w:color w:val="383838"/>
          <w:sz w:val="32"/>
          <w:shd w:val="clear" w:color="auto" w:fill="FFFFFF"/>
        </w:rPr>
      </w:pPr>
      <w:r>
        <w:rPr>
          <w:rFonts w:ascii="仿宋" w:eastAsia="仿宋" w:hAnsi="仿宋" w:cs="Times New Roman" w:hint="eastAsia"/>
          <w:b/>
          <w:color w:val="383838"/>
          <w:sz w:val="32"/>
          <w:shd w:val="clear" w:color="auto" w:fill="FFFFFF"/>
        </w:rPr>
        <w:lastRenderedPageBreak/>
        <w:t>2.“三公”经费情况</w:t>
      </w:r>
    </w:p>
    <w:p w:rsidR="00B113A2" w:rsidRDefault="004E39AB">
      <w:pPr>
        <w:shd w:val="solid" w:color="FFFFFF" w:fill="auto"/>
        <w:autoSpaceDN w:val="0"/>
        <w:ind w:firstLineChars="200" w:firstLine="640"/>
        <w:rPr>
          <w:rFonts w:ascii="仿宋" w:eastAsia="仿宋" w:hAnsi="仿宋" w:cs="Times New Roman"/>
          <w:bCs/>
          <w:color w:val="383838"/>
          <w:sz w:val="32"/>
          <w:shd w:val="clear" w:color="auto" w:fill="FFFFFF"/>
        </w:rPr>
      </w:pPr>
      <w:r>
        <w:rPr>
          <w:rFonts w:ascii="仿宋" w:eastAsia="仿宋" w:hAnsi="仿宋" w:cs="Times New Roman" w:hint="eastAsia"/>
          <w:bCs/>
          <w:color w:val="383838"/>
          <w:sz w:val="32"/>
          <w:shd w:val="clear" w:color="auto" w:fill="FFFFFF"/>
        </w:rPr>
        <w:t>20</w:t>
      </w:r>
      <w:r>
        <w:rPr>
          <w:rFonts w:ascii="仿宋" w:eastAsia="仿宋" w:hAnsi="仿宋" w:cs="仿宋" w:hint="eastAsia"/>
          <w:color w:val="333333"/>
          <w:spacing w:val="-2"/>
          <w:sz w:val="28"/>
          <w:szCs w:val="28"/>
        </w:rPr>
        <w:t>20</w:t>
      </w:r>
      <w:r>
        <w:rPr>
          <w:rFonts w:ascii="仿宋" w:eastAsia="仿宋" w:hAnsi="仿宋" w:cs="Times New Roman" w:hint="eastAsia"/>
          <w:bCs/>
          <w:color w:val="383838"/>
          <w:sz w:val="32"/>
          <w:shd w:val="clear" w:color="auto" w:fill="FFFFFF"/>
        </w:rPr>
        <w:t>年“三公”经费实际支出25.9万元，其中公务接待15.9万元，公务用车10万元，2020年“三公”经费比上年减少1.1万元。</w:t>
      </w:r>
    </w:p>
    <w:p w:rsidR="00B113A2" w:rsidRDefault="004E39AB">
      <w:pPr>
        <w:shd w:val="solid" w:color="FFFFFF" w:fill="auto"/>
        <w:autoSpaceDN w:val="0"/>
        <w:ind w:firstLineChars="200" w:firstLine="640"/>
        <w:rPr>
          <w:rFonts w:ascii="仿宋" w:eastAsia="仿宋" w:hAnsi="仿宋" w:cs="Times New Roman"/>
          <w:bCs/>
          <w:color w:val="383838"/>
          <w:sz w:val="32"/>
          <w:shd w:val="clear" w:color="auto" w:fill="FFFFFF"/>
        </w:rPr>
      </w:pPr>
      <w:r>
        <w:rPr>
          <w:rFonts w:ascii="仿宋" w:eastAsia="仿宋" w:hAnsi="仿宋" w:cs="Times New Roman" w:hint="eastAsia"/>
          <w:bCs/>
          <w:color w:val="383838"/>
          <w:sz w:val="32"/>
          <w:shd w:val="clear" w:color="auto" w:fill="FFFFFF"/>
        </w:rPr>
        <w:t xml:space="preserve">我镇三公经费严格按照年初预算以及各级部门相关要求，严把支出关，强化制度执行。切实做好厉行节约工作，全面落实各项管理制度要求，努力降低行政成本。严格公务接待费、差旅费、会议费和培训费审核审批程序，加强对公务用车的管理，实行限额把关、一支笔审批制度，做到一事一公函、一事一审批、一事一结账，会议费和培训费严格按年初计划和制度规定的标准执行。各项费用报账支出严格履行报账单“一单五签”程序，重大事项严格遵守：“三重一大”制度，“三公”经费较好地控制在预算范围之内。                                                                                                                                                                                                                                                                                                                                                                                                                                                                                                                                                                    </w:t>
      </w:r>
    </w:p>
    <w:p w:rsidR="00B113A2" w:rsidRDefault="00B113A2">
      <w:pPr>
        <w:spacing w:line="600" w:lineRule="exact"/>
        <w:ind w:firstLineChars="200" w:firstLine="640"/>
        <w:rPr>
          <w:rFonts w:ascii="仿宋_GB2312" w:eastAsia="仿宋_GB2312" w:hAnsi="仿宋_GB2312" w:cs="仿宋_GB2312"/>
          <w:sz w:val="32"/>
          <w:szCs w:val="32"/>
        </w:rPr>
      </w:pPr>
    </w:p>
    <w:p w:rsidR="00B113A2" w:rsidRDefault="004E39AB">
      <w:pPr>
        <w:spacing w:line="600" w:lineRule="exact"/>
        <w:ind w:firstLineChars="200" w:firstLine="640"/>
        <w:rPr>
          <w:rFonts w:ascii="黑体" w:eastAsia="黑体"/>
          <w:sz w:val="32"/>
          <w:szCs w:val="32"/>
        </w:rPr>
      </w:pPr>
      <w:r>
        <w:rPr>
          <w:rFonts w:ascii="黑体" w:eastAsia="黑体" w:hint="eastAsia"/>
          <w:sz w:val="32"/>
          <w:szCs w:val="32"/>
        </w:rPr>
        <w:t>三、绩效评价工作情况</w:t>
      </w:r>
    </w:p>
    <w:p w:rsidR="00B113A2" w:rsidRDefault="004E39AB">
      <w:pPr>
        <w:spacing w:line="600" w:lineRule="exact"/>
        <w:ind w:firstLineChars="200" w:firstLine="640"/>
        <w:rPr>
          <w:rFonts w:ascii="仿宋" w:eastAsia="仿宋" w:hAnsi="仿宋" w:cs="Times New Roman"/>
          <w:bCs/>
          <w:color w:val="383838"/>
          <w:sz w:val="32"/>
          <w:szCs w:val="24"/>
          <w:shd w:val="clear" w:color="auto" w:fill="FFFFFF"/>
        </w:rPr>
      </w:pPr>
      <w:r>
        <w:rPr>
          <w:rFonts w:ascii="仿宋" w:eastAsia="仿宋" w:hAnsi="仿宋" w:cs="Times New Roman" w:hint="eastAsia"/>
          <w:bCs/>
          <w:color w:val="383838"/>
          <w:sz w:val="32"/>
          <w:szCs w:val="24"/>
          <w:shd w:val="clear" w:color="auto" w:fill="FFFFFF"/>
        </w:rPr>
        <w:t>（一）评价目的</w:t>
      </w:r>
    </w:p>
    <w:p w:rsidR="00B113A2" w:rsidRDefault="004E39AB">
      <w:pPr>
        <w:spacing w:line="600" w:lineRule="exact"/>
        <w:ind w:firstLineChars="200" w:firstLine="640"/>
        <w:rPr>
          <w:rFonts w:ascii="仿宋" w:eastAsia="仿宋" w:hAnsi="仿宋" w:cs="Times New Roman"/>
          <w:bCs/>
          <w:color w:val="383838"/>
          <w:sz w:val="32"/>
          <w:szCs w:val="24"/>
          <w:shd w:val="clear" w:color="auto" w:fill="FFFFFF"/>
        </w:rPr>
      </w:pPr>
      <w:r>
        <w:rPr>
          <w:rFonts w:ascii="仿宋" w:eastAsia="仿宋" w:hAnsi="仿宋" w:cs="Times New Roman" w:hint="eastAsia"/>
          <w:bCs/>
          <w:color w:val="383838"/>
          <w:sz w:val="32"/>
          <w:szCs w:val="24"/>
          <w:shd w:val="clear" w:color="auto" w:fill="FFFFFF"/>
        </w:rPr>
        <w:t>通过全面开展财政支出绩效评价，强化财政支出绩效理念，科学合理编制年度预算，切实发挥财政资金资源配置作用，逐步建立以科学理财为基础，以精细化管理为手段，以评价结果为导向，以实施过程为监管对象的预算管理体系。同时可以使我镇的各项指标数据更加清晰明了，有利于我镇2021年各项工作的开展。</w:t>
      </w:r>
    </w:p>
    <w:p w:rsidR="00B113A2" w:rsidRDefault="004E39AB">
      <w:pPr>
        <w:spacing w:line="600" w:lineRule="exact"/>
        <w:ind w:firstLineChars="200" w:firstLine="640"/>
        <w:rPr>
          <w:rFonts w:ascii="仿宋" w:eastAsia="仿宋" w:hAnsi="仿宋" w:cs="Times New Roman"/>
          <w:bCs/>
          <w:color w:val="383838"/>
          <w:sz w:val="32"/>
          <w:szCs w:val="24"/>
          <w:shd w:val="clear" w:color="auto" w:fill="FFFFFF"/>
        </w:rPr>
      </w:pPr>
      <w:r>
        <w:rPr>
          <w:rFonts w:ascii="仿宋" w:eastAsia="仿宋" w:hAnsi="仿宋" w:cs="Times New Roman" w:hint="eastAsia"/>
          <w:bCs/>
          <w:color w:val="383838"/>
          <w:sz w:val="32"/>
          <w:szCs w:val="24"/>
          <w:shd w:val="clear" w:color="auto" w:fill="FFFFFF"/>
        </w:rPr>
        <w:t>（二）评价方法</w:t>
      </w:r>
    </w:p>
    <w:p w:rsidR="00B113A2" w:rsidRDefault="004E39AB">
      <w:pPr>
        <w:spacing w:line="600" w:lineRule="exact"/>
        <w:ind w:firstLineChars="200" w:firstLine="640"/>
        <w:rPr>
          <w:rFonts w:ascii="仿宋" w:eastAsia="仿宋" w:hAnsi="仿宋" w:cs="Times New Roman"/>
          <w:bCs/>
          <w:color w:val="383838"/>
          <w:sz w:val="32"/>
          <w:szCs w:val="24"/>
          <w:shd w:val="clear" w:color="auto" w:fill="FFFFFF"/>
        </w:rPr>
      </w:pPr>
      <w:r>
        <w:rPr>
          <w:rFonts w:ascii="仿宋" w:eastAsia="仿宋" w:hAnsi="仿宋" w:cs="Times New Roman" w:hint="eastAsia"/>
          <w:bCs/>
          <w:color w:val="383838"/>
          <w:sz w:val="32"/>
          <w:szCs w:val="24"/>
          <w:shd w:val="clear" w:color="auto" w:fill="FFFFFF"/>
        </w:rPr>
        <w:t>根据衡南县财政局《衡南县预算绩效管理工作考核办法》（南财预[2015]174号）及县财政局会议精神，我镇成立了绩效评价工作组，于2021年10月中旬起开展了部门整体支出绩效评价工作，具体工作方法包括：</w:t>
      </w:r>
    </w:p>
    <w:p w:rsidR="00B113A2" w:rsidRDefault="004E39AB">
      <w:pPr>
        <w:spacing w:line="600" w:lineRule="exact"/>
        <w:ind w:firstLineChars="200" w:firstLine="640"/>
        <w:rPr>
          <w:rFonts w:ascii="仿宋" w:eastAsia="仿宋" w:hAnsi="仿宋" w:cs="Times New Roman"/>
          <w:bCs/>
          <w:color w:val="383838"/>
          <w:sz w:val="32"/>
          <w:szCs w:val="24"/>
          <w:shd w:val="clear" w:color="auto" w:fill="FFFFFF"/>
        </w:rPr>
      </w:pPr>
      <w:r>
        <w:rPr>
          <w:rFonts w:ascii="仿宋" w:eastAsia="仿宋" w:hAnsi="仿宋" w:cs="Times New Roman" w:hint="eastAsia"/>
          <w:bCs/>
          <w:color w:val="383838"/>
          <w:sz w:val="32"/>
          <w:szCs w:val="24"/>
          <w:shd w:val="clear" w:color="auto" w:fill="FFFFFF"/>
        </w:rPr>
        <w:t>1、查阅资料。查阅2020年度预算安排、预算追加、经费支出、</w:t>
      </w:r>
      <w:r>
        <w:rPr>
          <w:rFonts w:ascii="仿宋" w:eastAsia="仿宋" w:hAnsi="仿宋" w:cs="Times New Roman" w:hint="eastAsia"/>
          <w:bCs/>
          <w:color w:val="383838"/>
          <w:sz w:val="32"/>
          <w:szCs w:val="24"/>
          <w:shd w:val="clear" w:color="auto" w:fill="FFFFFF"/>
        </w:rPr>
        <w:lastRenderedPageBreak/>
        <w:t>资金管理、资产管理等相关文件资料和财务凭证。</w:t>
      </w:r>
    </w:p>
    <w:p w:rsidR="00B113A2" w:rsidRDefault="004E39AB">
      <w:pPr>
        <w:spacing w:line="600" w:lineRule="exact"/>
        <w:ind w:firstLineChars="200" w:firstLine="640"/>
        <w:rPr>
          <w:rFonts w:ascii="仿宋" w:eastAsia="仿宋" w:hAnsi="仿宋" w:cs="Times New Roman"/>
          <w:bCs/>
          <w:color w:val="383838"/>
          <w:sz w:val="32"/>
          <w:szCs w:val="24"/>
          <w:shd w:val="clear" w:color="auto" w:fill="FFFFFF"/>
        </w:rPr>
      </w:pPr>
      <w:r>
        <w:rPr>
          <w:rFonts w:ascii="仿宋" w:eastAsia="仿宋" w:hAnsi="仿宋" w:cs="Times New Roman" w:hint="eastAsia"/>
          <w:bCs/>
          <w:color w:val="383838"/>
          <w:sz w:val="32"/>
          <w:szCs w:val="24"/>
          <w:shd w:val="clear" w:color="auto" w:fill="FFFFFF"/>
        </w:rPr>
        <w:t>2、核实数据。对2020年度部门整体支出数据的准确性、真实性进行核实，将2020年度部门整体支出情况与2020年度预算情况、2020年度部门整体支出情况进行比较分析。</w:t>
      </w:r>
    </w:p>
    <w:p w:rsidR="00B113A2" w:rsidRDefault="004E39AB">
      <w:pPr>
        <w:spacing w:line="600" w:lineRule="exact"/>
        <w:ind w:firstLineChars="200" w:firstLine="640"/>
        <w:rPr>
          <w:rFonts w:ascii="仿宋" w:eastAsia="仿宋" w:hAnsi="仿宋" w:cs="Times New Roman"/>
          <w:bCs/>
          <w:color w:val="383838"/>
          <w:sz w:val="32"/>
          <w:szCs w:val="24"/>
          <w:shd w:val="clear" w:color="auto" w:fill="FFFFFF"/>
        </w:rPr>
      </w:pPr>
      <w:r>
        <w:rPr>
          <w:rFonts w:ascii="仿宋" w:eastAsia="仿宋" w:hAnsi="仿宋" w:cs="Times New Roman" w:hint="eastAsia"/>
          <w:bCs/>
          <w:color w:val="383838"/>
          <w:sz w:val="32"/>
          <w:szCs w:val="24"/>
          <w:shd w:val="clear" w:color="auto" w:fill="FFFFFF"/>
        </w:rPr>
        <w:t>3、实地查看。现场查看各类实物资产。</w:t>
      </w:r>
    </w:p>
    <w:p w:rsidR="00B113A2" w:rsidRDefault="004E39AB">
      <w:pPr>
        <w:spacing w:line="600" w:lineRule="exact"/>
        <w:ind w:firstLineChars="200" w:firstLine="640"/>
        <w:rPr>
          <w:rFonts w:ascii="仿宋" w:eastAsia="仿宋" w:hAnsi="仿宋" w:cs="Times New Roman"/>
          <w:bCs/>
          <w:color w:val="383838"/>
          <w:sz w:val="32"/>
          <w:szCs w:val="24"/>
          <w:shd w:val="clear" w:color="auto" w:fill="FFFFFF"/>
        </w:rPr>
      </w:pPr>
      <w:r>
        <w:rPr>
          <w:rFonts w:ascii="仿宋" w:eastAsia="仿宋" w:hAnsi="仿宋" w:cs="Times New Roman" w:hint="eastAsia"/>
          <w:bCs/>
          <w:color w:val="383838"/>
          <w:sz w:val="32"/>
          <w:szCs w:val="24"/>
          <w:shd w:val="clear" w:color="auto" w:fill="FFFFFF"/>
        </w:rPr>
        <w:t>4、汇总归纳。根据取得的各项数据及文件资料，结合现场评价情况进行综合分析、归纳汇总，填写基础数据表、评价指标评分表。</w:t>
      </w:r>
    </w:p>
    <w:p w:rsidR="00B113A2" w:rsidRDefault="004E39AB">
      <w:pPr>
        <w:spacing w:line="600" w:lineRule="exact"/>
        <w:ind w:firstLineChars="200" w:firstLine="640"/>
        <w:rPr>
          <w:rFonts w:ascii="仿宋" w:eastAsia="仿宋" w:hAnsi="仿宋" w:cs="Times New Roman"/>
          <w:bCs/>
          <w:color w:val="383838"/>
          <w:sz w:val="32"/>
          <w:szCs w:val="24"/>
          <w:shd w:val="clear" w:color="auto" w:fill="FFFFFF"/>
        </w:rPr>
      </w:pPr>
      <w:r>
        <w:rPr>
          <w:rFonts w:ascii="仿宋" w:eastAsia="仿宋" w:hAnsi="仿宋" w:cs="Times New Roman" w:hint="eastAsia"/>
          <w:bCs/>
          <w:color w:val="383838"/>
          <w:sz w:val="32"/>
          <w:szCs w:val="24"/>
          <w:shd w:val="clear" w:color="auto" w:fill="FFFFFF"/>
        </w:rPr>
        <w:t>5、形成绩效评价报告。</w:t>
      </w:r>
    </w:p>
    <w:p w:rsidR="00B113A2" w:rsidRDefault="004E39AB">
      <w:pPr>
        <w:spacing w:line="600" w:lineRule="exact"/>
        <w:ind w:firstLineChars="200" w:firstLine="640"/>
        <w:rPr>
          <w:rFonts w:ascii="仿宋" w:eastAsia="仿宋" w:hAnsi="仿宋" w:cs="Times New Roman"/>
          <w:bCs/>
          <w:color w:val="383838"/>
          <w:sz w:val="32"/>
          <w:shd w:val="clear" w:color="auto" w:fill="FFFFFF"/>
        </w:rPr>
      </w:pPr>
      <w:r>
        <w:rPr>
          <w:rFonts w:ascii="黑体" w:eastAsia="黑体" w:hint="eastAsia"/>
          <w:sz w:val="32"/>
          <w:szCs w:val="32"/>
        </w:rPr>
        <w:t>四、部门总体支出绩效评价</w:t>
      </w:r>
    </w:p>
    <w:p w:rsidR="00B113A2" w:rsidRDefault="004E39AB">
      <w:pPr>
        <w:spacing w:line="600" w:lineRule="exact"/>
        <w:ind w:firstLineChars="200" w:firstLine="640"/>
        <w:rPr>
          <w:rFonts w:ascii="仿宋" w:eastAsia="仿宋" w:hAnsi="仿宋" w:cs="Times New Roman"/>
          <w:bCs/>
          <w:color w:val="383838"/>
          <w:sz w:val="32"/>
          <w:shd w:val="clear" w:color="auto" w:fill="FFFFFF"/>
        </w:rPr>
      </w:pPr>
      <w:r>
        <w:rPr>
          <w:rFonts w:ascii="仿宋" w:eastAsia="仿宋" w:hAnsi="仿宋" w:cs="Times New Roman" w:hint="eastAsia"/>
          <w:bCs/>
          <w:color w:val="383838"/>
          <w:sz w:val="32"/>
          <w:shd w:val="clear" w:color="auto" w:fill="FFFFFF"/>
        </w:rPr>
        <w:t>2020年我镇根据年初工作规划及财政预算计划，积极履职、强化管理，较好的完成了年度工作目标。通过加强预算收支管理、不断建立健全内部管理制度、梳理内部管理流程，部门整体支出管理情况得到提升。我镇2020年度部门整体支出绩效评价自评得分为</w:t>
      </w:r>
      <w:r>
        <w:rPr>
          <w:rFonts w:ascii="仿宋" w:eastAsia="仿宋" w:hAnsi="仿宋" w:cs="Times New Roman" w:hint="eastAsia"/>
          <w:bCs/>
          <w:sz w:val="32"/>
          <w:shd w:val="clear" w:color="auto" w:fill="FFFFFF"/>
        </w:rPr>
        <w:t>96</w:t>
      </w:r>
      <w:r>
        <w:rPr>
          <w:rFonts w:ascii="仿宋" w:eastAsia="仿宋" w:hAnsi="仿宋" w:cs="Times New Roman" w:hint="eastAsia"/>
          <w:bCs/>
          <w:color w:val="383838"/>
          <w:sz w:val="32"/>
          <w:shd w:val="clear" w:color="auto" w:fill="FFFFFF"/>
        </w:rPr>
        <w:t>分。具体工作主要体现在以下几个方面：</w:t>
      </w:r>
    </w:p>
    <w:p w:rsidR="00B113A2" w:rsidRDefault="004E39AB">
      <w:pPr>
        <w:spacing w:line="600" w:lineRule="exact"/>
        <w:ind w:firstLineChars="200" w:firstLine="640"/>
        <w:rPr>
          <w:rFonts w:ascii="仿宋" w:eastAsia="仿宋" w:hAnsi="仿宋" w:cs="Times New Roman"/>
          <w:bCs/>
          <w:color w:val="383838"/>
          <w:sz w:val="32"/>
          <w:shd w:val="clear" w:color="auto" w:fill="FFFFFF"/>
        </w:rPr>
      </w:pPr>
      <w:r>
        <w:rPr>
          <w:rFonts w:ascii="仿宋" w:eastAsia="仿宋" w:hAnsi="仿宋" w:cs="Times New Roman" w:hint="eastAsia"/>
          <w:bCs/>
          <w:color w:val="383838"/>
          <w:sz w:val="32"/>
          <w:shd w:val="clear" w:color="auto" w:fill="FFFFFF"/>
        </w:rPr>
        <w:t>一是依法依规公开部门预决算。根据全县部门预决算公开工作统一安排部署，我部公开了2020年部门预算和“三公”经费预算，社会反响良好，圆满完成了“三公”经费预算公开工作。</w:t>
      </w:r>
    </w:p>
    <w:p w:rsidR="00B113A2" w:rsidRDefault="004E39AB">
      <w:pPr>
        <w:spacing w:line="600" w:lineRule="exact"/>
        <w:ind w:firstLineChars="200" w:firstLine="640"/>
        <w:rPr>
          <w:rFonts w:ascii="仿宋" w:eastAsia="仿宋" w:hAnsi="仿宋" w:cs="Times New Roman"/>
          <w:bCs/>
          <w:color w:val="383838"/>
          <w:sz w:val="32"/>
          <w:shd w:val="clear" w:color="auto" w:fill="FFFFFF"/>
        </w:rPr>
      </w:pPr>
      <w:r>
        <w:rPr>
          <w:rFonts w:ascii="仿宋" w:eastAsia="仿宋" w:hAnsi="仿宋" w:cs="Times New Roman" w:hint="eastAsia"/>
          <w:bCs/>
          <w:color w:val="383838"/>
          <w:sz w:val="32"/>
          <w:shd w:val="clear" w:color="auto" w:fill="FFFFFF"/>
        </w:rPr>
        <w:t>二是进一步规范财务管理，加强预算管理。根据中央八项规定精神以及财务管理方面的法律、法规和审计等部门的意见，我镇对机关财务管理制度进一步进行了完善。同时，在财务开支把关方面认真执行相关文件并严格财务开支审批程序，加强对差旅费、会议费、接待费、公务用车运行经费等各项开支的管理。重点保障机关运转及重点工作的需要，大力压缩一般性支出，提高财政资金使用效益。编制内在职人员控制率小于100%，支出总额控制在预算总额</w:t>
      </w:r>
      <w:r>
        <w:rPr>
          <w:rFonts w:ascii="仿宋" w:eastAsia="仿宋" w:hAnsi="仿宋" w:cs="Times New Roman" w:hint="eastAsia"/>
          <w:bCs/>
          <w:color w:val="383838"/>
          <w:sz w:val="32"/>
          <w:shd w:val="clear" w:color="auto" w:fill="FFFFFF"/>
        </w:rPr>
        <w:lastRenderedPageBreak/>
        <w:t>以内。</w:t>
      </w:r>
    </w:p>
    <w:p w:rsidR="00B113A2" w:rsidRDefault="004E39AB">
      <w:pPr>
        <w:spacing w:line="600" w:lineRule="exact"/>
        <w:ind w:firstLineChars="200" w:firstLine="640"/>
        <w:rPr>
          <w:rFonts w:ascii="仿宋" w:eastAsia="仿宋" w:hAnsi="仿宋" w:cs="Times New Roman"/>
          <w:bCs/>
          <w:color w:val="383838"/>
          <w:sz w:val="32"/>
          <w:shd w:val="clear" w:color="auto" w:fill="FFFFFF"/>
        </w:rPr>
      </w:pPr>
      <w:r>
        <w:rPr>
          <w:rFonts w:ascii="仿宋" w:eastAsia="仿宋" w:hAnsi="仿宋" w:cs="Times New Roman" w:hint="eastAsia"/>
          <w:bCs/>
          <w:color w:val="383838"/>
          <w:sz w:val="32"/>
          <w:shd w:val="clear" w:color="auto" w:fill="FFFFFF"/>
        </w:rPr>
        <w:t>三是加强资产管理。建立了资产管理制度，固定资产利用率高于90%，定期进行了资产盘点和资产清理，总体执行情况良好。</w:t>
      </w:r>
    </w:p>
    <w:p w:rsidR="00B113A2" w:rsidRDefault="004E39AB">
      <w:pPr>
        <w:spacing w:line="600" w:lineRule="exact"/>
        <w:ind w:firstLineChars="200" w:firstLine="640"/>
        <w:rPr>
          <w:rFonts w:ascii="仿宋" w:eastAsia="仿宋" w:hAnsi="仿宋" w:cs="Times New Roman"/>
          <w:bCs/>
          <w:color w:val="383838"/>
          <w:sz w:val="32"/>
          <w:shd w:val="clear" w:color="auto" w:fill="FFFFFF"/>
        </w:rPr>
      </w:pPr>
      <w:r>
        <w:rPr>
          <w:rFonts w:ascii="仿宋" w:eastAsia="仿宋" w:hAnsi="仿宋" w:cs="Times New Roman" w:hint="eastAsia"/>
          <w:bCs/>
          <w:color w:val="383838"/>
          <w:sz w:val="32"/>
          <w:shd w:val="clear" w:color="auto" w:fill="FFFFFF"/>
        </w:rPr>
        <w:t>四是资金效益方面。在资金监管同时对各年龄层次的村民群众进行公众满意度进行调查，就水污染改善、河道清理、农村清洁工程、生活压力、居住条件、街道绿化、乡村及镇区风貌、出行便捷与否、村民活动场所建设、文化设施建设、治安情况、基础设施建设等多面方面的内容调查，通过调查分析获取了人民群众对生态环境的健康度、居住生活的舒适度、工作出行的便捷度、居住生活的安全度各方面的评价，，满意度程度达到百分之九十八分。</w:t>
      </w:r>
    </w:p>
    <w:p w:rsidR="00B113A2" w:rsidRDefault="004E39AB">
      <w:pPr>
        <w:spacing w:line="600" w:lineRule="exact"/>
        <w:ind w:firstLineChars="200" w:firstLine="640"/>
        <w:rPr>
          <w:rFonts w:ascii="仿宋" w:eastAsia="仿宋" w:hAnsi="仿宋" w:cs="Times New Roman"/>
          <w:bCs/>
          <w:color w:val="383838"/>
          <w:sz w:val="32"/>
          <w:shd w:val="clear" w:color="auto" w:fill="FFFFFF"/>
        </w:rPr>
      </w:pPr>
      <w:r>
        <w:rPr>
          <w:rFonts w:ascii="仿宋" w:eastAsia="仿宋" w:hAnsi="仿宋" w:cs="Times New Roman" w:hint="eastAsia"/>
          <w:bCs/>
          <w:color w:val="383838"/>
          <w:sz w:val="32"/>
          <w:shd w:val="clear" w:color="auto" w:fill="FFFFFF"/>
        </w:rPr>
        <w:t>五是项目支出方面，主要是村级转移支付和新农村建设。村级转移性支付项目主要用于村级工作运转，包含村干部工资、妇女及小组长工资、村级办公运转经费、离任村干生活补助、会议误工、交通补助以及其他支出，其他支出包含农村清洁工程资金等。2020年村级转移支付项目支付到达村账村均金额超过县级下达拨付的最低标准，及时、达标的完成了支付，充分保障了村干办公、村委的正常合理支出，得到村干部及民众的好评。新农村建设资金主要用于村组道路修建、维修、硬化，塘坝扩容、硬化、河道清淤、硬化等农村基础设施建设，方便群众出行，改善饮水、加强灌溉，得到了民众的高度认可 。</w:t>
      </w:r>
    </w:p>
    <w:p w:rsidR="00B113A2" w:rsidRDefault="004E39AB">
      <w:pPr>
        <w:spacing w:line="600" w:lineRule="exact"/>
        <w:ind w:firstLineChars="200" w:firstLine="640"/>
        <w:rPr>
          <w:rFonts w:ascii="黑体" w:eastAsia="黑体"/>
          <w:sz w:val="32"/>
          <w:szCs w:val="32"/>
        </w:rPr>
      </w:pPr>
      <w:r>
        <w:rPr>
          <w:rFonts w:ascii="黑体" w:eastAsia="黑体" w:hint="eastAsia"/>
          <w:sz w:val="32"/>
          <w:szCs w:val="32"/>
        </w:rPr>
        <w:t>五、存在的主要问题</w:t>
      </w:r>
    </w:p>
    <w:p w:rsidR="00B113A2" w:rsidRDefault="004E39AB">
      <w:pPr>
        <w:spacing w:line="600" w:lineRule="exact"/>
        <w:ind w:firstLineChars="200" w:firstLine="640"/>
        <w:rPr>
          <w:rFonts w:ascii="仿宋" w:eastAsia="仿宋" w:hAnsi="仿宋" w:cs="Times New Roman"/>
          <w:bCs/>
          <w:color w:val="383838"/>
          <w:sz w:val="32"/>
          <w:szCs w:val="24"/>
          <w:shd w:val="clear" w:color="auto" w:fill="FFFFFF"/>
        </w:rPr>
      </w:pPr>
      <w:r>
        <w:rPr>
          <w:rFonts w:ascii="仿宋" w:eastAsia="仿宋" w:hAnsi="仿宋" w:cs="Times New Roman" w:hint="eastAsia"/>
          <w:bCs/>
          <w:color w:val="383838"/>
          <w:sz w:val="32"/>
          <w:szCs w:val="24"/>
          <w:shd w:val="clear" w:color="auto" w:fill="FFFFFF"/>
        </w:rPr>
        <w:t>年初编制的预算只能在县级已出台的政策框架之内，不能预测，编制也就无法精确，导致年内预算追加较大，预算控制率较低；编制年初预算时较为精细，按照费用支出的使用范围和内容，进行了基本支出、项目支出的严格区分，并按照预算的最末级明细进行预</w:t>
      </w:r>
      <w:r>
        <w:rPr>
          <w:rFonts w:ascii="仿宋" w:eastAsia="仿宋" w:hAnsi="仿宋" w:cs="Times New Roman" w:hint="eastAsia"/>
          <w:bCs/>
          <w:color w:val="383838"/>
          <w:sz w:val="32"/>
          <w:szCs w:val="24"/>
          <w:shd w:val="clear" w:color="auto" w:fill="FFFFFF"/>
        </w:rPr>
        <w:lastRenderedPageBreak/>
        <w:t>算支出管理，专款专用。但对于追加的资金，就没有进行明细分解，造成基本与项目支出混用。</w:t>
      </w:r>
    </w:p>
    <w:p w:rsidR="00B113A2" w:rsidRDefault="004E39AB">
      <w:pPr>
        <w:spacing w:line="600" w:lineRule="exact"/>
        <w:ind w:firstLineChars="200" w:firstLine="640"/>
        <w:rPr>
          <w:rFonts w:ascii="黑体" w:eastAsia="黑体"/>
          <w:sz w:val="32"/>
          <w:szCs w:val="32"/>
        </w:rPr>
      </w:pPr>
      <w:r>
        <w:rPr>
          <w:rFonts w:ascii="黑体" w:eastAsia="黑体" w:hint="eastAsia"/>
          <w:sz w:val="32"/>
          <w:szCs w:val="32"/>
        </w:rPr>
        <w:t>六、改进措施及建议</w:t>
      </w:r>
    </w:p>
    <w:p w:rsidR="00B113A2" w:rsidRDefault="004E39AB">
      <w:pPr>
        <w:pStyle w:val="a9"/>
        <w:spacing w:before="0" w:beforeAutospacing="0" w:after="0" w:afterAutospacing="0" w:line="33" w:lineRule="atLeast"/>
        <w:ind w:firstLine="420"/>
        <w:jc w:val="both"/>
        <w:rPr>
          <w:rFonts w:ascii="仿宋" w:eastAsia="仿宋" w:hAnsi="仿宋" w:cs="Times New Roman"/>
          <w:bCs/>
          <w:color w:val="383838"/>
          <w:kern w:val="2"/>
          <w:sz w:val="32"/>
          <w:shd w:val="clear" w:color="auto" w:fill="FFFFFF"/>
        </w:rPr>
      </w:pPr>
      <w:r>
        <w:rPr>
          <w:rFonts w:ascii="仿宋" w:eastAsia="仿宋" w:hAnsi="仿宋" w:cs="Times New Roman" w:hint="eastAsia"/>
          <w:bCs/>
          <w:color w:val="383838"/>
          <w:kern w:val="2"/>
          <w:sz w:val="32"/>
          <w:shd w:val="clear" w:color="auto" w:fill="FFFFFF"/>
        </w:rPr>
        <w:t>1、进一步加强内部机构的预算管理意识，严格按照预算编制的相关制度和要求，进一步提高预算编制的科学性、合理性、严谨性和可控性，在日常预算管理过程中，进一步加强预算支出的审核、跟踪及预算执行情况分析。</w:t>
      </w:r>
    </w:p>
    <w:p w:rsidR="00B113A2" w:rsidRDefault="004E39AB">
      <w:pPr>
        <w:pStyle w:val="a9"/>
        <w:spacing w:before="0" w:beforeAutospacing="0" w:after="0" w:afterAutospacing="0" w:line="33" w:lineRule="atLeast"/>
        <w:ind w:firstLine="420"/>
        <w:jc w:val="both"/>
        <w:rPr>
          <w:rFonts w:ascii="仿宋" w:eastAsia="仿宋" w:hAnsi="仿宋" w:cs="Times New Roman"/>
          <w:bCs/>
          <w:color w:val="383838"/>
          <w:kern w:val="2"/>
          <w:sz w:val="32"/>
          <w:shd w:val="clear" w:color="auto" w:fill="FFFFFF"/>
        </w:rPr>
      </w:pPr>
      <w:r>
        <w:rPr>
          <w:rFonts w:ascii="仿宋" w:eastAsia="仿宋" w:hAnsi="仿宋" w:cs="Times New Roman" w:hint="eastAsia"/>
          <w:bCs/>
          <w:color w:val="383838"/>
          <w:kern w:val="2"/>
          <w:sz w:val="32"/>
          <w:shd w:val="clear" w:color="auto" w:fill="FFFFFF"/>
        </w:rPr>
        <w:t>2、建议细化预算指标，提高预算科学性。预算编制前根据年度内单位可预见的工作任务，确定单位年度预算目标，细化预算指标，科学合理编制部门预算，推进预算编制科学化、准确化。         </w:t>
      </w:r>
    </w:p>
    <w:p w:rsidR="00B113A2" w:rsidRDefault="00B113A2">
      <w:pPr>
        <w:pStyle w:val="a9"/>
        <w:spacing w:before="0" w:beforeAutospacing="0" w:after="0" w:afterAutospacing="0" w:line="33" w:lineRule="atLeast"/>
        <w:ind w:firstLine="420"/>
        <w:jc w:val="both"/>
        <w:rPr>
          <w:rFonts w:ascii="仿宋" w:eastAsia="仿宋" w:hAnsi="仿宋" w:cs="Times New Roman"/>
          <w:bCs/>
          <w:color w:val="383838"/>
          <w:kern w:val="2"/>
          <w:sz w:val="32"/>
          <w:shd w:val="clear" w:color="auto" w:fill="FFFFFF"/>
        </w:rPr>
      </w:pPr>
    </w:p>
    <w:p w:rsidR="00B113A2" w:rsidRDefault="00B113A2">
      <w:pPr>
        <w:pStyle w:val="a9"/>
        <w:spacing w:before="0" w:beforeAutospacing="0" w:after="0" w:afterAutospacing="0" w:line="33" w:lineRule="atLeast"/>
        <w:ind w:firstLine="420"/>
        <w:jc w:val="both"/>
        <w:rPr>
          <w:rFonts w:ascii="仿宋" w:eastAsia="仿宋" w:hAnsi="仿宋" w:cs="Times New Roman"/>
          <w:bCs/>
          <w:color w:val="383838"/>
          <w:kern w:val="2"/>
          <w:sz w:val="32"/>
          <w:shd w:val="clear" w:color="auto" w:fill="FFFFFF"/>
        </w:rPr>
      </w:pPr>
    </w:p>
    <w:p w:rsidR="00B113A2" w:rsidRDefault="00B113A2">
      <w:pPr>
        <w:pStyle w:val="a9"/>
        <w:spacing w:before="0" w:beforeAutospacing="0" w:after="0" w:afterAutospacing="0" w:line="33" w:lineRule="atLeast"/>
        <w:ind w:firstLine="420"/>
        <w:jc w:val="right"/>
        <w:rPr>
          <w:rFonts w:asciiTheme="minorEastAsia" w:hAnsiTheme="minorEastAsia" w:cs="黑体"/>
          <w:color w:val="000000"/>
          <w:sz w:val="32"/>
          <w:szCs w:val="32"/>
        </w:rPr>
      </w:pPr>
    </w:p>
    <w:sectPr w:rsidR="00B113A2" w:rsidSect="00B113A2">
      <w:pgSz w:w="11906" w:h="16838"/>
      <w:pgMar w:top="720" w:right="1306" w:bottom="720" w:left="1360" w:header="851" w:footer="992" w:gutter="0"/>
      <w:cols w:space="425"/>
      <w:docGrid w:type="linesAndChar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rsidR="00D22BB0" w:rsidRDefault="00D22BB0" w:rsidP="004E39AB">
      <w:r>
        <w:separator/>
      </w:r>
    </w:p>
  </w:endnote>
  <w:endnote w:type="continuationSeparator" w:id="0">
    <w:p w:rsidR="00D22BB0" w:rsidRDefault="00D22BB0" w:rsidP="004E39A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200247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_GB2312">
    <w:altName w:val="仿宋"/>
    <w:charset w:val="86"/>
    <w:family w:val="auto"/>
    <w:pitch w:val="default"/>
    <w:sig w:usb0="00000000" w:usb1="00000000" w:usb2="00000000" w:usb3="00000000" w:csb0="00040000"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rsidR="00D22BB0" w:rsidRDefault="00D22BB0" w:rsidP="004E39AB">
      <w:r>
        <w:separator/>
      </w:r>
    </w:p>
  </w:footnote>
  <w:footnote w:type="continuationSeparator" w:id="0">
    <w:p w:rsidR="00D22BB0" w:rsidRDefault="00D22BB0" w:rsidP="004E39AB">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2C7120B8"/>
    <w:multiLevelType w:val="singleLevel"/>
    <w:tmpl w:val="00000000"/>
    <w:lvl w:ilvl="0">
      <w:start w:val="1"/>
      <w:numFmt w:val="chineseCounting"/>
      <w:suff w:val="nothing"/>
      <w:lvlText w:val="%1、"/>
      <w:lvlJc w:val="left"/>
      <w:pPr>
        <w:ind w:left="1050" w:firstLine="0"/>
      </w:pPr>
      <w:rPr>
        <w:rFonts w:hint="eastAsia"/>
      </w:rPr>
    </w:lvl>
  </w:abstractNum>
  <w:abstractNum w:abstractNumId="1" w15:restartNumberingAfterBreak="0">
    <w:nsid w:val="373518C1"/>
    <w:multiLevelType w:val="multilevel"/>
    <w:tmpl w:val="373518C1"/>
    <w:lvl w:ilvl="0">
      <w:start w:val="1"/>
      <w:numFmt w:val="none"/>
      <w:lvlText w:val="一、"/>
      <w:lvlJc w:val="left"/>
      <w:pPr>
        <w:ind w:left="720" w:hanging="7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 w15:restartNumberingAfterBreak="0">
    <w:nsid w:val="55EFAA59"/>
    <w:multiLevelType w:val="singleLevel"/>
    <w:tmpl w:val="55EFAA59"/>
    <w:lvl w:ilvl="0">
      <w:start w:val="1"/>
      <w:numFmt w:val="chineseCounting"/>
      <w:suff w:val="nothing"/>
      <w:lvlText w:val="（%1）"/>
      <w:lvlJc w:val="left"/>
      <w:rPr>
        <w:rFonts w:hint="eastAsia"/>
      </w:rPr>
    </w:lvl>
  </w:abstractNum>
  <w:num w:numId="1" w16cid:durableId="736129722">
    <w:abstractNumId w:val="1"/>
  </w:num>
  <w:num w:numId="2" w16cid:durableId="1515996468">
    <w:abstractNumId w:val="0"/>
  </w:num>
  <w:num w:numId="3" w16cid:durableId="94496380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59"/>
  <w:bordersDoNotSurroundHeader/>
  <w:bordersDoNotSurroundFooter/>
  <w:proofState w:spelling="clean"/>
  <w:defaultTabStop w:val="420"/>
  <w:drawingGridHorizontalSpacing w:val="105"/>
  <w:drawingGridVerticalSpacing w:val="156"/>
  <w:noPunctuationKerning/>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2"/>
    <w:compatSetting w:name="useWord2013TrackBottomHyphenation" w:uri="http://schemas.microsoft.com/office/word" w:val="1"/>
  </w:compat>
  <w:rsids>
    <w:rsidRoot w:val="004506F9"/>
    <w:rsid w:val="000040DA"/>
    <w:rsid w:val="0002229B"/>
    <w:rsid w:val="000273BD"/>
    <w:rsid w:val="00035368"/>
    <w:rsid w:val="000415B7"/>
    <w:rsid w:val="00050475"/>
    <w:rsid w:val="000658A3"/>
    <w:rsid w:val="00074155"/>
    <w:rsid w:val="000A3F69"/>
    <w:rsid w:val="000B1A5F"/>
    <w:rsid w:val="000E79FC"/>
    <w:rsid w:val="00141F70"/>
    <w:rsid w:val="00152C6D"/>
    <w:rsid w:val="00162D39"/>
    <w:rsid w:val="001A67DB"/>
    <w:rsid w:val="001D51E5"/>
    <w:rsid w:val="001D7DBF"/>
    <w:rsid w:val="001F0C3B"/>
    <w:rsid w:val="00214427"/>
    <w:rsid w:val="00227C51"/>
    <w:rsid w:val="00236503"/>
    <w:rsid w:val="00265724"/>
    <w:rsid w:val="0027426B"/>
    <w:rsid w:val="00275391"/>
    <w:rsid w:val="002E2553"/>
    <w:rsid w:val="00310E54"/>
    <w:rsid w:val="003479BD"/>
    <w:rsid w:val="003768D5"/>
    <w:rsid w:val="004506F9"/>
    <w:rsid w:val="004717A2"/>
    <w:rsid w:val="0048147C"/>
    <w:rsid w:val="00491741"/>
    <w:rsid w:val="004E39AB"/>
    <w:rsid w:val="00500E5F"/>
    <w:rsid w:val="00504E20"/>
    <w:rsid w:val="005122EF"/>
    <w:rsid w:val="00517C33"/>
    <w:rsid w:val="00523644"/>
    <w:rsid w:val="0054069E"/>
    <w:rsid w:val="005767CC"/>
    <w:rsid w:val="00590D9F"/>
    <w:rsid w:val="00595D26"/>
    <w:rsid w:val="005A74E6"/>
    <w:rsid w:val="005D4D55"/>
    <w:rsid w:val="005E2CFB"/>
    <w:rsid w:val="0062378F"/>
    <w:rsid w:val="00651EEC"/>
    <w:rsid w:val="00652FEE"/>
    <w:rsid w:val="006A351B"/>
    <w:rsid w:val="006B0422"/>
    <w:rsid w:val="006C1B53"/>
    <w:rsid w:val="006D7730"/>
    <w:rsid w:val="006E33E6"/>
    <w:rsid w:val="006E5284"/>
    <w:rsid w:val="006F3EB5"/>
    <w:rsid w:val="00702E34"/>
    <w:rsid w:val="00704395"/>
    <w:rsid w:val="00720FF1"/>
    <w:rsid w:val="0079646A"/>
    <w:rsid w:val="007A19B3"/>
    <w:rsid w:val="00800CF2"/>
    <w:rsid w:val="00801C2C"/>
    <w:rsid w:val="00812ED5"/>
    <w:rsid w:val="008277D9"/>
    <w:rsid w:val="008A3E8D"/>
    <w:rsid w:val="009016AF"/>
    <w:rsid w:val="009237C4"/>
    <w:rsid w:val="00942649"/>
    <w:rsid w:val="00950252"/>
    <w:rsid w:val="00967F5D"/>
    <w:rsid w:val="009A0F95"/>
    <w:rsid w:val="009B3ADF"/>
    <w:rsid w:val="009C3B52"/>
    <w:rsid w:val="00A42218"/>
    <w:rsid w:val="00A574ED"/>
    <w:rsid w:val="00A64B26"/>
    <w:rsid w:val="00A70249"/>
    <w:rsid w:val="00A947E0"/>
    <w:rsid w:val="00B113A2"/>
    <w:rsid w:val="00B128B0"/>
    <w:rsid w:val="00B33BEA"/>
    <w:rsid w:val="00B37021"/>
    <w:rsid w:val="00B57C9F"/>
    <w:rsid w:val="00B845B3"/>
    <w:rsid w:val="00B85D8B"/>
    <w:rsid w:val="00BB4077"/>
    <w:rsid w:val="00BE3674"/>
    <w:rsid w:val="00C0697D"/>
    <w:rsid w:val="00C22F7A"/>
    <w:rsid w:val="00C3049A"/>
    <w:rsid w:val="00C31B1E"/>
    <w:rsid w:val="00C67010"/>
    <w:rsid w:val="00C77645"/>
    <w:rsid w:val="00CA2069"/>
    <w:rsid w:val="00CE04C3"/>
    <w:rsid w:val="00CE76A0"/>
    <w:rsid w:val="00D148C6"/>
    <w:rsid w:val="00D17642"/>
    <w:rsid w:val="00D22BB0"/>
    <w:rsid w:val="00D94744"/>
    <w:rsid w:val="00DD06FF"/>
    <w:rsid w:val="00DD5FE9"/>
    <w:rsid w:val="00E00C7A"/>
    <w:rsid w:val="00E01863"/>
    <w:rsid w:val="00E55B68"/>
    <w:rsid w:val="00EF29EE"/>
    <w:rsid w:val="00F30A7E"/>
    <w:rsid w:val="00F74360"/>
    <w:rsid w:val="00FB3E68"/>
    <w:rsid w:val="00FB462F"/>
    <w:rsid w:val="00FE0C89"/>
    <w:rsid w:val="00FE16FA"/>
    <w:rsid w:val="00FE328A"/>
    <w:rsid w:val="016F4AA4"/>
    <w:rsid w:val="04FB0EA6"/>
    <w:rsid w:val="05A07D27"/>
    <w:rsid w:val="05C0754B"/>
    <w:rsid w:val="09DE72D6"/>
    <w:rsid w:val="0A733E75"/>
    <w:rsid w:val="0A9D5880"/>
    <w:rsid w:val="13766975"/>
    <w:rsid w:val="162426A6"/>
    <w:rsid w:val="17264E50"/>
    <w:rsid w:val="18445345"/>
    <w:rsid w:val="1B776439"/>
    <w:rsid w:val="20C332C3"/>
    <w:rsid w:val="24996544"/>
    <w:rsid w:val="24E5277C"/>
    <w:rsid w:val="2A2C24F5"/>
    <w:rsid w:val="2B3B1BCF"/>
    <w:rsid w:val="2C2D7B92"/>
    <w:rsid w:val="33496D42"/>
    <w:rsid w:val="3793282F"/>
    <w:rsid w:val="3A87482B"/>
    <w:rsid w:val="408C1057"/>
    <w:rsid w:val="4BBE212E"/>
    <w:rsid w:val="5E520C3C"/>
    <w:rsid w:val="616E017D"/>
    <w:rsid w:val="660D714A"/>
    <w:rsid w:val="67EB5567"/>
    <w:rsid w:val="703A3E7F"/>
    <w:rsid w:val="796E28C6"/>
    <w:rsid w:val="79B16936"/>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934E972"/>
  <w15:docId w15:val="{A6DDE222-26A3-4870-8513-3E89763B51B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59"/>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next w:val="a0"/>
    <w:qFormat/>
    <w:rsid w:val="00B113A2"/>
    <w:pPr>
      <w:widowControl w:val="0"/>
      <w:jc w:val="both"/>
    </w:pPr>
    <w:rPr>
      <w:rFonts w:asciiTheme="minorHAnsi" w:eastAsiaTheme="minorEastAsia" w:hAnsiTheme="minorHAnsi" w:cstheme="minorBidi"/>
      <w:kern w:val="2"/>
      <w:sz w:val="21"/>
      <w:szCs w:val="22"/>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footer"/>
    <w:basedOn w:val="a"/>
    <w:link w:val="a4"/>
    <w:uiPriority w:val="99"/>
    <w:unhideWhenUsed/>
    <w:qFormat/>
    <w:rsid w:val="00B113A2"/>
    <w:pPr>
      <w:tabs>
        <w:tab w:val="center" w:pos="4153"/>
        <w:tab w:val="right" w:pos="8306"/>
      </w:tabs>
      <w:snapToGrid w:val="0"/>
      <w:jc w:val="left"/>
    </w:pPr>
    <w:rPr>
      <w:sz w:val="18"/>
      <w:szCs w:val="18"/>
    </w:rPr>
  </w:style>
  <w:style w:type="paragraph" w:styleId="a5">
    <w:name w:val="Balloon Text"/>
    <w:basedOn w:val="a"/>
    <w:link w:val="a6"/>
    <w:uiPriority w:val="99"/>
    <w:semiHidden/>
    <w:unhideWhenUsed/>
    <w:qFormat/>
    <w:rsid w:val="00B113A2"/>
    <w:rPr>
      <w:sz w:val="18"/>
      <w:szCs w:val="18"/>
    </w:rPr>
  </w:style>
  <w:style w:type="paragraph" w:styleId="a7">
    <w:name w:val="header"/>
    <w:basedOn w:val="a"/>
    <w:link w:val="a8"/>
    <w:uiPriority w:val="99"/>
    <w:unhideWhenUsed/>
    <w:qFormat/>
    <w:rsid w:val="00B113A2"/>
    <w:pPr>
      <w:pBdr>
        <w:bottom w:val="single" w:sz="6" w:space="1" w:color="auto"/>
      </w:pBdr>
      <w:tabs>
        <w:tab w:val="center" w:pos="4153"/>
        <w:tab w:val="right" w:pos="8306"/>
      </w:tabs>
      <w:snapToGrid w:val="0"/>
      <w:jc w:val="center"/>
    </w:pPr>
    <w:rPr>
      <w:sz w:val="18"/>
      <w:szCs w:val="18"/>
    </w:rPr>
  </w:style>
  <w:style w:type="paragraph" w:styleId="a9">
    <w:name w:val="Normal (Web)"/>
    <w:basedOn w:val="a"/>
    <w:uiPriority w:val="99"/>
    <w:unhideWhenUsed/>
    <w:qFormat/>
    <w:rsid w:val="00B113A2"/>
    <w:pPr>
      <w:widowControl/>
      <w:spacing w:before="100" w:beforeAutospacing="1" w:after="100" w:afterAutospacing="1"/>
      <w:jc w:val="left"/>
    </w:pPr>
    <w:rPr>
      <w:rFonts w:ascii="宋体" w:eastAsia="宋体" w:hAnsi="宋体" w:cs="宋体"/>
      <w:kern w:val="0"/>
      <w:sz w:val="24"/>
      <w:szCs w:val="24"/>
    </w:rPr>
  </w:style>
  <w:style w:type="character" w:customStyle="1" w:styleId="a8">
    <w:name w:val="页眉 字符"/>
    <w:basedOn w:val="a1"/>
    <w:link w:val="a7"/>
    <w:uiPriority w:val="99"/>
    <w:qFormat/>
    <w:rsid w:val="00B113A2"/>
    <w:rPr>
      <w:sz w:val="18"/>
      <w:szCs w:val="18"/>
    </w:rPr>
  </w:style>
  <w:style w:type="character" w:customStyle="1" w:styleId="a4">
    <w:name w:val="页脚 字符"/>
    <w:basedOn w:val="a1"/>
    <w:link w:val="a0"/>
    <w:uiPriority w:val="99"/>
    <w:qFormat/>
    <w:rsid w:val="00B113A2"/>
    <w:rPr>
      <w:sz w:val="18"/>
      <w:szCs w:val="18"/>
    </w:rPr>
  </w:style>
  <w:style w:type="paragraph" w:customStyle="1" w:styleId="Default">
    <w:name w:val="Default"/>
    <w:qFormat/>
    <w:rsid w:val="00B113A2"/>
    <w:pPr>
      <w:widowControl w:val="0"/>
      <w:autoSpaceDE w:val="0"/>
      <w:autoSpaceDN w:val="0"/>
      <w:adjustRightInd w:val="0"/>
    </w:pPr>
    <w:rPr>
      <w:rFonts w:ascii="黑体" w:eastAsia="黑体" w:hAnsiTheme="minorHAnsi" w:cs="黑体"/>
      <w:color w:val="000000"/>
      <w:sz w:val="24"/>
      <w:szCs w:val="24"/>
    </w:rPr>
  </w:style>
  <w:style w:type="paragraph" w:styleId="aa">
    <w:name w:val="List Paragraph"/>
    <w:basedOn w:val="a"/>
    <w:uiPriority w:val="34"/>
    <w:qFormat/>
    <w:rsid w:val="00B113A2"/>
    <w:pPr>
      <w:ind w:firstLineChars="200" w:firstLine="420"/>
    </w:pPr>
  </w:style>
  <w:style w:type="character" w:customStyle="1" w:styleId="a6">
    <w:name w:val="批注框文本 字符"/>
    <w:basedOn w:val="a1"/>
    <w:link w:val="a5"/>
    <w:uiPriority w:val="99"/>
    <w:semiHidden/>
    <w:qFormat/>
    <w:rsid w:val="00B113A2"/>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openxmlformats.org/officeDocument/2006/relationships/styles" Target="style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7ECA967F-99A7-44AE-8CB3-A0222E97AF6E}">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12</TotalTime>
  <Pages>25</Pages>
  <Words>1481</Words>
  <Characters>8444</Characters>
  <Application>Microsoft Office Word</Application>
  <DocSecurity>0</DocSecurity>
  <Lines>70</Lines>
  <Paragraphs>19</Paragraphs>
  <ScaleCrop>false</ScaleCrop>
  <Company>Microsoft</Company>
  <LinksUpToDate>false</LinksUpToDate>
  <CharactersWithSpaces>9906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李航 null</dc:creator>
  <cp:lastModifiedBy>di tan</cp:lastModifiedBy>
  <cp:revision>14</cp:revision>
  <cp:lastPrinted>2020-09-24T07:08:00Z</cp:lastPrinted>
  <dcterms:created xsi:type="dcterms:W3CDTF">2020-09-24T01:10:00Z</dcterms:created>
  <dcterms:modified xsi:type="dcterms:W3CDTF">2025-08-04T09:09:00Z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2052-11.1.0.11045</vt:lpwstr>
  </property>
  <property fmtid="{D5CDD505-2E9C-101B-9397-08002B2CF9AE}" pid="3" name="ICV">
    <vt:lpwstr>E946A501FCC54B91909E943881693F31</vt:lpwstr>
  </property>
</Properties>
</file>