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40" w:lineRule="atLeast"/>
        <w:jc w:val="both"/>
        <w:rPr>
          <w:rFonts w:ascii="仿宋" w:hAnsi="仿宋" w:eastAsia="仿宋" w:cs="仿宋"/>
          <w:b/>
          <w:bCs/>
          <w:color w:val="000000"/>
          <w:kern w:val="0"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6"/>
          <w:szCs w:val="36"/>
        </w:rPr>
        <w:t>三塘镇人民政府2021年部门整体支出绩效自评报告</w:t>
      </w:r>
    </w:p>
    <w:p>
      <w:pPr>
        <w:widowControl/>
        <w:spacing w:line="540" w:lineRule="atLeast"/>
        <w:jc w:val="center"/>
        <w:rPr>
          <w:rFonts w:ascii="仿宋" w:hAnsi="仿宋" w:eastAsia="仿宋" w:cs="仿宋"/>
          <w:color w:val="000000"/>
          <w:kern w:val="0"/>
          <w:sz w:val="32"/>
          <w:szCs w:val="32"/>
        </w:rPr>
      </w:pPr>
    </w:p>
    <w:p>
      <w:pPr>
        <w:widowControl/>
        <w:spacing w:line="52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 </w:t>
      </w:r>
      <w:r>
        <w:rPr>
          <w:rFonts w:hint="eastAsia" w:ascii="仿宋" w:hAnsi="仿宋" w:eastAsia="仿宋" w:cs="仿宋"/>
          <w:color w:val="383838"/>
          <w:sz w:val="32"/>
          <w:szCs w:val="32"/>
          <w:shd w:val="clear" w:color="auto" w:fill="FFFFFF"/>
        </w:rPr>
        <w:t>为加强财政预算资金管理，进一步规范预算资金使用，提高财政资金使用效益，根据《衡南县财政局关于开展2020年度财政资金绩效自评工作的通知》（清财绩[2021]66号）要求，我镇对2020年度本单位财政性资金整体使用情况进行了绩效自评，现将具体绩效评价情况报告如下：</w:t>
      </w:r>
    </w:p>
    <w:p>
      <w:pPr>
        <w:pStyle w:val="4"/>
        <w:widowControl/>
        <w:numPr>
          <w:ilvl w:val="0"/>
          <w:numId w:val="1"/>
        </w:numPr>
        <w:spacing w:line="520" w:lineRule="exact"/>
        <w:ind w:left="407" w:firstLine="643"/>
        <w:jc w:val="both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部门基本情况</w:t>
      </w:r>
    </w:p>
    <w:p>
      <w:pPr>
        <w:shd w:val="solid" w:color="FFFFFF" w:fill="auto"/>
        <w:autoSpaceDN w:val="0"/>
        <w:spacing w:line="520" w:lineRule="exact"/>
        <w:ind w:firstLine="640" w:firstLineChars="200"/>
        <w:rPr>
          <w:rFonts w:ascii="仿宋" w:hAnsi="仿宋" w:eastAsia="仿宋" w:cs="仿宋"/>
          <w:color w:val="383838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sz w:val="32"/>
          <w:szCs w:val="32"/>
        </w:rPr>
        <w:t>本单位为一级</w:t>
      </w:r>
      <w:r>
        <w:rPr>
          <w:rFonts w:hint="eastAsia" w:ascii="仿宋" w:hAnsi="仿宋" w:eastAsia="仿宋" w:cs="仿宋"/>
          <w:spacing w:val="14"/>
          <w:sz w:val="32"/>
          <w:szCs w:val="32"/>
        </w:rPr>
        <w:t>预算单位，单位性质</w:t>
      </w:r>
      <w:r>
        <w:rPr>
          <w:rFonts w:hint="eastAsia" w:ascii="仿宋" w:hAnsi="仿宋" w:eastAsia="仿宋" w:cs="仿宋"/>
          <w:sz w:val="32"/>
          <w:szCs w:val="32"/>
        </w:rPr>
        <w:t>为行政单位，</w:t>
      </w:r>
      <w:r>
        <w:rPr>
          <w:rFonts w:hint="eastAsia" w:ascii="仿宋" w:hAnsi="仿宋" w:eastAsia="仿宋" w:cs="仿宋"/>
          <w:color w:val="383838"/>
          <w:sz w:val="32"/>
          <w:szCs w:val="32"/>
          <w:shd w:val="clear" w:color="auto" w:fill="FFFFFF"/>
        </w:rPr>
        <w:t>纳入财政会计集中核算和国库集中支付体系，财务制度执行《预算法》、《行政单位会计制</w:t>
      </w:r>
      <w:bookmarkStart w:id="0" w:name="_GoBack"/>
      <w:bookmarkEnd w:id="0"/>
      <w:r>
        <w:rPr>
          <w:rFonts w:hint="eastAsia" w:ascii="仿宋" w:hAnsi="仿宋" w:eastAsia="仿宋" w:cs="仿宋"/>
          <w:color w:val="383838"/>
          <w:sz w:val="32"/>
          <w:szCs w:val="32"/>
          <w:shd w:val="clear" w:color="auto" w:fill="FFFFFF"/>
        </w:rPr>
        <w:t>度》。</w:t>
      </w:r>
    </w:p>
    <w:p>
      <w:pPr>
        <w:widowControl/>
        <w:spacing w:line="520" w:lineRule="exact"/>
        <w:ind w:firstLine="320" w:firstLineChars="100"/>
        <w:rPr>
          <w:rFonts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（一）、部门职责</w:t>
      </w:r>
    </w:p>
    <w:p>
      <w:pPr>
        <w:spacing w:line="520" w:lineRule="exact"/>
        <w:ind w:firstLine="320" w:firstLineChars="100"/>
        <w:rPr>
          <w:rFonts w:ascii="仿宋" w:hAnsi="仿宋" w:eastAsia="仿宋" w:cs="仿宋"/>
          <w:sz w:val="32"/>
          <w:szCs w:val="32"/>
          <w:lang w:val="zh-CN"/>
        </w:rPr>
      </w:pPr>
      <w:r>
        <w:rPr>
          <w:rFonts w:hint="eastAsia" w:ascii="仿宋" w:hAnsi="仿宋" w:eastAsia="仿宋" w:cs="仿宋"/>
          <w:sz w:val="32"/>
          <w:szCs w:val="32"/>
        </w:rPr>
        <w:t>1、</w:t>
      </w:r>
      <w:r>
        <w:rPr>
          <w:rFonts w:hint="eastAsia" w:ascii="仿宋" w:hAnsi="仿宋" w:eastAsia="仿宋" w:cs="仿宋"/>
          <w:sz w:val="32"/>
          <w:szCs w:val="32"/>
          <w:lang w:val="zh-CN"/>
        </w:rPr>
        <w:t>负责党的路线、方针、政策和国家法律、法规在本行政区域内的宣传、贯彻、落实。加强基层党组织和政权建设，为本地区经济的发展和社会稳定提供政治、社会环境和组织保证。</w:t>
      </w:r>
    </w:p>
    <w:p>
      <w:pPr>
        <w:spacing w:line="520" w:lineRule="exact"/>
        <w:ind w:firstLine="640"/>
        <w:rPr>
          <w:rFonts w:ascii="仿宋" w:hAnsi="仿宋" w:eastAsia="仿宋" w:cs="仿宋"/>
          <w:sz w:val="32"/>
          <w:szCs w:val="32"/>
          <w:lang w:val="zh-CN"/>
        </w:rPr>
      </w:pPr>
      <w:r>
        <w:rPr>
          <w:rFonts w:hint="eastAsia" w:ascii="仿宋" w:hAnsi="仿宋" w:eastAsia="仿宋" w:cs="仿宋"/>
          <w:sz w:val="32"/>
          <w:szCs w:val="32"/>
        </w:rPr>
        <w:t>2、</w:t>
      </w:r>
      <w:r>
        <w:rPr>
          <w:rFonts w:hint="eastAsia" w:ascii="仿宋" w:hAnsi="仿宋" w:eastAsia="仿宋" w:cs="仿宋"/>
          <w:sz w:val="32"/>
          <w:szCs w:val="32"/>
          <w:lang w:val="zh-CN"/>
        </w:rPr>
        <w:t>负责制定本行政区域内经济建设和各项社会事业发展的规划，并组织实施。依法管理经济和社会事务，促进本片区两个文明建设。负责本行政区域内的民主与法制建设工作，维护和保障公民的各项合法权利。</w:t>
      </w:r>
    </w:p>
    <w:p>
      <w:pPr>
        <w:pStyle w:val="2"/>
        <w:spacing w:line="52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3、负责本行政区域内公共社会事务管理，决定本乡镇</w:t>
      </w:r>
    </w:p>
    <w:p>
      <w:pPr>
        <w:pStyle w:val="2"/>
        <w:spacing w:line="52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经济建设和社会发展中的重大问题，加强乡镇机关建设和村级组织建设。</w:t>
      </w:r>
    </w:p>
    <w:p>
      <w:pPr>
        <w:spacing w:line="520" w:lineRule="exact"/>
        <w:ind w:firstLine="640" w:firstLineChars="200"/>
        <w:rPr>
          <w:rFonts w:ascii="仿宋" w:hAnsi="仿宋" w:eastAsia="仿宋" w:cs="仿宋"/>
          <w:sz w:val="32"/>
          <w:szCs w:val="32"/>
          <w:lang w:val="zh-CN"/>
        </w:rPr>
      </w:pPr>
      <w:r>
        <w:rPr>
          <w:rFonts w:hint="eastAsia" w:ascii="仿宋" w:hAnsi="仿宋" w:eastAsia="仿宋" w:cs="仿宋"/>
          <w:sz w:val="32"/>
          <w:szCs w:val="32"/>
        </w:rPr>
        <w:t>4、</w:t>
      </w:r>
      <w:r>
        <w:rPr>
          <w:rFonts w:hint="eastAsia" w:ascii="仿宋" w:hAnsi="仿宋" w:eastAsia="仿宋" w:cs="仿宋"/>
          <w:sz w:val="32"/>
          <w:szCs w:val="32"/>
          <w:lang w:val="zh-CN"/>
        </w:rPr>
        <w:t>负责三塘镇党委、人大、政府、政协联络工委、纪律委员会、人民武装及共青团、妇联等群团组织的日常工作。</w:t>
      </w:r>
    </w:p>
    <w:p>
      <w:pPr>
        <w:spacing w:line="520" w:lineRule="exact"/>
        <w:ind w:firstLine="640"/>
        <w:rPr>
          <w:rFonts w:ascii="仿宋" w:hAnsi="仿宋" w:eastAsia="仿宋" w:cs="仿宋"/>
          <w:sz w:val="32"/>
          <w:szCs w:val="32"/>
          <w:lang w:val="zh-CN"/>
        </w:rPr>
      </w:pPr>
      <w:r>
        <w:rPr>
          <w:rFonts w:hint="eastAsia" w:ascii="仿宋" w:hAnsi="仿宋" w:eastAsia="仿宋" w:cs="仿宋"/>
          <w:sz w:val="32"/>
          <w:szCs w:val="32"/>
        </w:rPr>
        <w:t>5、</w:t>
      </w:r>
      <w:r>
        <w:rPr>
          <w:rFonts w:hint="eastAsia" w:ascii="仿宋" w:hAnsi="仿宋" w:eastAsia="仿宋" w:cs="仿宋"/>
          <w:sz w:val="32"/>
          <w:szCs w:val="32"/>
          <w:lang w:val="zh-CN"/>
        </w:rPr>
        <w:t>负责完成上级机关交办的其他工作任务。</w:t>
      </w:r>
    </w:p>
    <w:p>
      <w:pPr>
        <w:widowControl/>
        <w:spacing w:line="520" w:lineRule="exact"/>
        <w:ind w:firstLine="640" w:firstLineChars="200"/>
        <w:rPr>
          <w:rFonts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（二）、机构设置情况</w:t>
      </w:r>
    </w:p>
    <w:p>
      <w:pPr>
        <w:widowControl/>
        <w:spacing w:line="520" w:lineRule="exact"/>
        <w:ind w:firstLine="640" w:firstLineChars="200"/>
        <w:rPr>
          <w:rFonts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color w:val="000000"/>
          <w:kern w:val="0"/>
          <w:sz w:val="32"/>
          <w:szCs w:val="32"/>
        </w:rPr>
        <w:t>本镇下设6个党政机构、4个事业单位与1个执法部门（简称三中心一站一大队）。6个党政机构为：党政综合办公室、经济发展办公室、社会事务办公室、自然资源和生态环境办公室、社会治安综合治理和应急管理办公室、基层党建工作办公室；三中心一站一大队为：社会事务综合服务中心、农业综合服务中心、政务服务中心、退役军人服务站、综合行政执法大队。</w:t>
      </w:r>
    </w:p>
    <w:p>
      <w:pPr>
        <w:widowControl/>
        <w:spacing w:line="520" w:lineRule="exact"/>
        <w:ind w:firstLine="640" w:firstLineChars="200"/>
        <w:rPr>
          <w:rFonts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（三）、人员编制情况</w:t>
      </w:r>
    </w:p>
    <w:p>
      <w:pPr>
        <w:widowControl/>
        <w:spacing w:line="520" w:lineRule="exact"/>
        <w:ind w:firstLine="640" w:firstLineChars="200"/>
        <w:rPr>
          <w:rFonts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本镇</w:t>
      </w:r>
      <w:r>
        <w:rPr>
          <w:rFonts w:hint="eastAsia" w:ascii="仿宋" w:hAnsi="仿宋" w:eastAsia="仿宋" w:cs="仿宋"/>
          <w:sz w:val="32"/>
          <w:szCs w:val="32"/>
        </w:rPr>
        <w:t>年未实有人数313人，其中：镇本级63人，</w:t>
      </w:r>
      <w:r>
        <w:rPr>
          <w:rFonts w:ascii="仿宋" w:hAnsi="仿宋" w:eastAsia="仿宋"/>
          <w:color w:val="000000"/>
          <w:kern w:val="0"/>
          <w:sz w:val="32"/>
          <w:szCs w:val="32"/>
        </w:rPr>
        <w:t>行政编制</w:t>
      </w:r>
      <w:r>
        <w:rPr>
          <w:rFonts w:hint="eastAsia" w:ascii="仿宋" w:hAnsi="仿宋" w:eastAsia="仿宋"/>
          <w:color w:val="000000"/>
          <w:kern w:val="0"/>
          <w:sz w:val="32"/>
          <w:szCs w:val="32"/>
        </w:rPr>
        <w:t>56人，事业编制7人，全部为</w:t>
      </w:r>
      <w:r>
        <w:rPr>
          <w:rFonts w:ascii="仿宋" w:hAnsi="仿宋" w:eastAsia="仿宋"/>
          <w:color w:val="000000"/>
          <w:kern w:val="0"/>
          <w:sz w:val="32"/>
          <w:szCs w:val="32"/>
        </w:rPr>
        <w:t>全额拨款</w:t>
      </w:r>
      <w:r>
        <w:rPr>
          <w:rFonts w:hint="eastAsia" w:ascii="仿宋" w:hAnsi="仿宋" w:eastAsia="仿宋"/>
          <w:color w:val="000000"/>
          <w:kern w:val="0"/>
          <w:sz w:val="32"/>
          <w:szCs w:val="32"/>
        </w:rPr>
        <w:t>；</w:t>
      </w:r>
      <w:r>
        <w:rPr>
          <w:rFonts w:hint="eastAsia" w:ascii="仿宋" w:hAnsi="仿宋" w:eastAsia="仿宋" w:cs="宋体"/>
          <w:bCs/>
          <w:color w:val="000000"/>
          <w:kern w:val="0"/>
          <w:sz w:val="32"/>
          <w:szCs w:val="32"/>
        </w:rPr>
        <w:t>三中心一站一大队250人，全额拨款115人，非全额拨款135人。</w:t>
      </w:r>
    </w:p>
    <w:p>
      <w:pPr>
        <w:pStyle w:val="4"/>
        <w:widowControl/>
        <w:spacing w:line="520" w:lineRule="exact"/>
        <w:ind w:left="241" w:firstLine="640" w:firstLineChars="200"/>
        <w:jc w:val="both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二、部门整体支出管理及使用情况</w:t>
      </w:r>
    </w:p>
    <w:p>
      <w:pPr>
        <w:pStyle w:val="4"/>
        <w:widowControl/>
        <w:shd w:val="clear" w:color="auto" w:fill="FFFFFF"/>
        <w:spacing w:line="520" w:lineRule="exact"/>
        <w:ind w:firstLine="320" w:firstLineChars="100"/>
        <w:jc w:val="both"/>
        <w:rPr>
          <w:rFonts w:ascii="仿宋" w:hAnsi="仿宋" w:eastAsia="仿宋" w:cs="仿宋"/>
          <w:color w:val="383838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383838"/>
          <w:sz w:val="32"/>
          <w:szCs w:val="32"/>
          <w:shd w:val="clear" w:color="auto" w:fill="FFFFFF"/>
        </w:rPr>
        <w:t>（一）、部门预算收支情况</w:t>
      </w:r>
    </w:p>
    <w:p>
      <w:pPr>
        <w:spacing w:line="520" w:lineRule="exact"/>
        <w:ind w:firstLine="709"/>
        <w:rPr>
          <w:rFonts w:ascii="宋体" w:hAnsi="宋体" w:cs="仿宋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1、2021年年初预算收入3344.21万元，其中：一般公共预算财政拨款收入3344.21万元，政府性基金预算财政拨款0元。一般公共预算财政拨款收入明细为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>：工资福利支出2441.41万元，一般商品和服务支出215.6万元，对个人和家庭的补助76.24万元，项目支出610.96万元，与上年比无增减变化。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收入较去年的1266.14万元增加2078.07万元，主要原因是</w:t>
      </w:r>
      <w:r>
        <w:rPr>
          <w:rFonts w:hint="eastAsia" w:ascii="仿宋" w:hAnsi="仿宋" w:eastAsia="仿宋" w:cs="仿宋"/>
          <w:sz w:val="32"/>
          <w:szCs w:val="32"/>
        </w:rPr>
        <w:t>机构改革，乡镇站所人员合并，成立三中心一站一大队，人员及公用经费全纳入财政总预算，由乡镇统一管理。</w:t>
      </w:r>
    </w:p>
    <w:p>
      <w:pPr>
        <w:spacing w:line="520" w:lineRule="exact"/>
        <w:ind w:firstLine="640" w:firstLineChars="200"/>
        <w:rPr>
          <w:rFonts w:ascii="仿宋" w:hAnsi="仿宋" w:eastAsia="仿宋" w:cs="仿宋"/>
          <w:color w:val="333333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 xml:space="preserve"> 2、2021年年初预算支出3344.21万元，</w:t>
      </w:r>
      <w:r>
        <w:rPr>
          <w:rFonts w:hint="eastAsia" w:ascii="仿宋" w:hAnsi="仿宋" w:eastAsia="仿宋" w:cs="仿宋"/>
          <w:sz w:val="32"/>
          <w:szCs w:val="32"/>
        </w:rPr>
        <w:t>其中：基本支出2733.25万元，项目支出610.96万元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。支出明细为：一般公共服务支出2185.65万元，社会保障和就业支出431.8万元，卫生健康支出87.95万元，农林水支出578.56万元，住房保障60.25万元。支出较去年增加2078.07万元，主要原因是机构改革，乡镇站所人员合并，成立三中心一站一大队，人员及公用经费全纳入财政总预算，由乡镇统一管理。</w:t>
      </w:r>
      <w:r>
        <w:rPr>
          <w:rFonts w:hint="eastAsia" w:ascii="宋体" w:hAnsi="宋体" w:cs="宋体"/>
          <w:color w:val="333333"/>
          <w:sz w:val="32"/>
          <w:szCs w:val="32"/>
          <w:shd w:val="clear" w:color="auto" w:fill="FFFFFF"/>
        </w:rPr>
        <w:t> </w:t>
      </w:r>
    </w:p>
    <w:p>
      <w:pPr>
        <w:widowControl/>
        <w:spacing w:line="520" w:lineRule="exact"/>
        <w:rPr>
          <w:rFonts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（二）、</w:t>
      </w:r>
      <w:r>
        <w:rPr>
          <w:rFonts w:hint="eastAsia" w:ascii="仿宋" w:hAnsi="仿宋" w:eastAsia="仿宋" w:cs="仿宋"/>
          <w:color w:val="383838"/>
          <w:sz w:val="32"/>
          <w:szCs w:val="32"/>
          <w:shd w:val="clear" w:color="auto" w:fill="FFFFFF"/>
        </w:rPr>
        <w:t>部门决算收支情况</w:t>
      </w:r>
    </w:p>
    <w:p>
      <w:pPr>
        <w:widowControl/>
        <w:spacing w:line="520" w:lineRule="exact"/>
        <w:ind w:firstLine="640" w:firstLineChars="200"/>
        <w:rPr>
          <w:rFonts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383838"/>
          <w:sz w:val="32"/>
          <w:szCs w:val="32"/>
          <w:shd w:val="clear" w:color="auto" w:fill="FFFFFF"/>
        </w:rPr>
        <w:t>1、2021年决算收入情况: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本年收入总计9127.6万元。其中：上年结转657.87万元,一般公共预算财政拨款收入4235.36万元、政府性基金财政预算拨款4234.37万元。</w:t>
      </w:r>
    </w:p>
    <w:p>
      <w:pPr>
        <w:shd w:val="solid" w:color="FFFFFF" w:fill="auto"/>
        <w:autoSpaceDN w:val="0"/>
        <w:spacing w:line="520" w:lineRule="exact"/>
        <w:ind w:firstLine="320" w:firstLineChars="100"/>
        <w:rPr>
          <w:rFonts w:ascii="仿宋" w:hAnsi="仿宋" w:eastAsia="仿宋" w:cs="仿宋"/>
          <w:color w:val="383838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2、2021年决算支出情况:本年支出总计8469.73万元。其中：基本支出3169.55万元，项目支出5300.18万元。</w:t>
      </w:r>
    </w:p>
    <w:p>
      <w:pPr>
        <w:widowControl/>
        <w:spacing w:line="520" w:lineRule="exact"/>
        <w:ind w:firstLine="640" w:firstLineChars="200"/>
        <w:rPr>
          <w:rFonts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本年末结余资金657.87万元。</w:t>
      </w:r>
    </w:p>
    <w:p>
      <w:pPr>
        <w:spacing w:line="520" w:lineRule="exact"/>
        <w:ind w:firstLine="64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（三）、支出分类情况</w:t>
      </w:r>
    </w:p>
    <w:p>
      <w:pPr>
        <w:widowControl/>
        <w:spacing w:line="520" w:lineRule="exact"/>
        <w:ind w:firstLine="640" w:firstLineChars="200"/>
        <w:rPr>
          <w:rFonts w:ascii="仿宋" w:hAnsi="仿宋" w:eastAsia="仿宋" w:cs="仿宋"/>
          <w:sz w:val="32"/>
          <w:szCs w:val="32"/>
          <w:lang w:val="zh-CN"/>
        </w:rPr>
      </w:pPr>
      <w:r>
        <w:rPr>
          <w:rFonts w:hint="eastAsia" w:ascii="仿宋" w:hAnsi="仿宋" w:eastAsia="仿宋" w:cs="仿宋"/>
          <w:sz w:val="32"/>
          <w:szCs w:val="32"/>
        </w:rPr>
        <w:t>2021年本单位总支出8469.73万元，其中：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一般公共预算财政拨款支出4235.36万元、政府性基金财政预算拨款支出4234.37万元。1、一般公共预算财政拨款支出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明细为：一般公共服务支出3050.08万元，社会保障和就业支出299.36万元，卫生健康支出88.21万元，农林水支出756.31万元，住房保障41.4万元；2、政府性基金财政预算拨款支出明细为：城乡社区支出4234.37万元。</w:t>
      </w:r>
      <w:r>
        <w:rPr>
          <w:rFonts w:hint="eastAsia" w:ascii="仿宋" w:hAnsi="仿宋" w:eastAsia="仿宋" w:cs="仿宋"/>
          <w:sz w:val="32"/>
          <w:szCs w:val="32"/>
        </w:rPr>
        <w:t>总支出比上年增加2085.16万元，增长32.66</w:t>
      </w:r>
      <w:r>
        <w:rPr>
          <w:rFonts w:hint="eastAsia" w:ascii="仿宋" w:hAnsi="仿宋" w:eastAsia="仿宋" w:cs="仿宋"/>
          <w:sz w:val="32"/>
          <w:szCs w:val="32"/>
          <w:lang w:val="zh-CN"/>
        </w:rPr>
        <w:t>%</w:t>
      </w:r>
      <w:r>
        <w:rPr>
          <w:rFonts w:hint="eastAsia" w:ascii="仿宋" w:hAnsi="仿宋" w:eastAsia="仿宋" w:cs="仿宋"/>
          <w:sz w:val="32"/>
          <w:szCs w:val="32"/>
        </w:rPr>
        <w:t>。其中：基本支出3169.55万元，比上年增加2251.58万元，增长245.28</w:t>
      </w:r>
      <w:r>
        <w:rPr>
          <w:rFonts w:hint="eastAsia" w:ascii="仿宋" w:hAnsi="仿宋" w:eastAsia="仿宋" w:cs="仿宋"/>
          <w:sz w:val="32"/>
          <w:szCs w:val="32"/>
          <w:lang w:val="zh-CN"/>
        </w:rPr>
        <w:t>%</w:t>
      </w:r>
      <w:r>
        <w:rPr>
          <w:rFonts w:hint="eastAsia" w:ascii="仿宋" w:hAnsi="仿宋" w:eastAsia="仿宋" w:cs="仿宋"/>
          <w:sz w:val="32"/>
          <w:szCs w:val="32"/>
        </w:rPr>
        <w:t>；项目支出5300.18万元，比上年减少166.42万元，下降3.04</w:t>
      </w:r>
      <w:r>
        <w:rPr>
          <w:rFonts w:hint="eastAsia" w:ascii="仿宋" w:hAnsi="仿宋" w:eastAsia="仿宋" w:cs="仿宋"/>
          <w:sz w:val="32"/>
          <w:szCs w:val="32"/>
          <w:lang w:val="zh-CN"/>
        </w:rPr>
        <w:t>%</w:t>
      </w:r>
      <w:r>
        <w:rPr>
          <w:rFonts w:hint="eastAsia" w:ascii="仿宋" w:hAnsi="仿宋" w:eastAsia="仿宋" w:cs="仿宋"/>
          <w:sz w:val="32"/>
          <w:szCs w:val="32"/>
        </w:rPr>
        <w:t>。</w:t>
      </w:r>
      <w:r>
        <w:rPr>
          <w:rFonts w:hint="eastAsia" w:ascii="仿宋" w:hAnsi="仿宋" w:eastAsia="仿宋" w:cs="仿宋"/>
          <w:sz w:val="32"/>
          <w:szCs w:val="32"/>
          <w:lang w:val="zh-CN"/>
        </w:rPr>
        <w:t>人员经费</w:t>
      </w:r>
      <w:r>
        <w:rPr>
          <w:rFonts w:hint="eastAsia" w:ascii="仿宋" w:hAnsi="仿宋" w:eastAsia="仿宋" w:cs="仿宋"/>
          <w:sz w:val="32"/>
          <w:szCs w:val="32"/>
        </w:rPr>
        <w:t>支出2463.81 万元，比上年增加1826.78万元，增长286.77%；公用</w:t>
      </w:r>
      <w:r>
        <w:rPr>
          <w:rFonts w:hint="eastAsia" w:ascii="仿宋" w:hAnsi="仿宋" w:eastAsia="仿宋" w:cs="仿宋"/>
          <w:sz w:val="32"/>
          <w:szCs w:val="32"/>
          <w:lang w:val="zh-CN"/>
        </w:rPr>
        <w:t>经费</w:t>
      </w:r>
      <w:r>
        <w:rPr>
          <w:rFonts w:hint="eastAsia" w:ascii="仿宋" w:hAnsi="仿宋" w:eastAsia="仿宋" w:cs="仿宋"/>
          <w:sz w:val="32"/>
          <w:szCs w:val="32"/>
        </w:rPr>
        <w:t>支出705.74万元，比上年增加424.8万元，增长151.21%。</w:t>
      </w:r>
      <w:r>
        <w:rPr>
          <w:rFonts w:hint="eastAsia" w:ascii="仿宋" w:hAnsi="仿宋" w:eastAsia="仿宋" w:cs="仿宋"/>
          <w:sz w:val="32"/>
          <w:szCs w:val="32"/>
          <w:lang w:val="zh-CN"/>
        </w:rPr>
        <w:t>变化的主要原因是机构改革，乡镇站所人员合并，成立三中心一站一大队，人员及公用经费全纳入财政总预算，由乡镇统一管理。</w:t>
      </w:r>
    </w:p>
    <w:p>
      <w:pPr>
        <w:widowControl/>
        <w:spacing w:line="52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（四）、“三公”经费情况：</w:t>
      </w:r>
    </w:p>
    <w:p>
      <w:pPr>
        <w:spacing w:line="520" w:lineRule="exact"/>
        <w:ind w:firstLine="641"/>
        <w:rPr>
          <w:rFonts w:ascii="仿宋" w:hAnsi="仿宋" w:eastAsia="仿宋" w:cs="仿宋"/>
          <w:sz w:val="32"/>
          <w:szCs w:val="32"/>
          <w:lang w:val="zh-CN"/>
        </w:rPr>
      </w:pPr>
      <w:r>
        <w:rPr>
          <w:rFonts w:hint="eastAsia" w:ascii="仿宋" w:hAnsi="仿宋" w:eastAsia="仿宋" w:cs="仿宋"/>
          <w:sz w:val="32"/>
          <w:szCs w:val="32"/>
        </w:rPr>
        <w:t>2021年“三公”经费年末实际支出22.91万元，比上年减少0.6万元，下降2.55%。其中：</w:t>
      </w:r>
      <w:r>
        <w:rPr>
          <w:rFonts w:hint="eastAsia" w:ascii="仿宋" w:hAnsi="仿宋" w:eastAsia="仿宋" w:cs="仿宋"/>
          <w:sz w:val="32"/>
          <w:szCs w:val="32"/>
          <w:lang w:val="zh-CN"/>
        </w:rPr>
        <w:t>公务接待费</w:t>
      </w:r>
      <w:r>
        <w:rPr>
          <w:rFonts w:hint="eastAsia" w:ascii="仿宋" w:hAnsi="仿宋" w:eastAsia="仿宋" w:cs="仿宋"/>
          <w:sz w:val="32"/>
          <w:szCs w:val="32"/>
        </w:rPr>
        <w:t>10.72万元，比上年减少0.1万元，下降0.92%</w:t>
      </w:r>
      <w:r>
        <w:rPr>
          <w:rFonts w:hint="eastAsia" w:ascii="仿宋" w:hAnsi="仿宋" w:eastAsia="仿宋" w:cs="仿宋"/>
          <w:sz w:val="32"/>
          <w:szCs w:val="32"/>
          <w:lang w:val="zh-CN"/>
        </w:rPr>
        <w:t>；公务用车运行维护费</w:t>
      </w:r>
      <w:r>
        <w:rPr>
          <w:rFonts w:hint="eastAsia" w:ascii="仿宋" w:hAnsi="仿宋" w:eastAsia="仿宋" w:cs="仿宋"/>
          <w:sz w:val="32"/>
          <w:szCs w:val="32"/>
        </w:rPr>
        <w:t>12.19万元，比上年减少0.5万元，下降3.94%，“三公”经费变动率少于零，根据评分标准，本单位该项指标应得满分；“三公”经费年初预算22.34万元，其中：公务接待费10.72万元、公务用车运行维护费12.19万元。“三公”经费年末实际支出比年初预算增加0.57万元，“三公”经费控制率少于5%，根据评分标准，本单位该项指标应得满分。</w:t>
      </w:r>
    </w:p>
    <w:p>
      <w:pPr>
        <w:pStyle w:val="4"/>
        <w:widowControl/>
        <w:spacing w:line="520" w:lineRule="exact"/>
        <w:ind w:left="241" w:firstLine="640" w:firstLineChars="200"/>
        <w:jc w:val="both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三、部门整体支出绩效评价情况。</w:t>
      </w:r>
    </w:p>
    <w:p>
      <w:pPr>
        <w:spacing w:line="520" w:lineRule="exact"/>
        <w:ind w:firstLine="640" w:firstLineChars="200"/>
        <w:rPr>
          <w:rFonts w:ascii="仿宋" w:hAnsi="仿宋" w:eastAsia="仿宋" w:cs="仿宋"/>
          <w:color w:val="383838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383838"/>
          <w:sz w:val="32"/>
          <w:szCs w:val="32"/>
          <w:shd w:val="clear" w:color="auto" w:fill="FFFFFF"/>
        </w:rPr>
        <w:t>2021年我镇根据年初工作规划及财政预算计划，积极履职、强化管理，较好的完成了年度工作目标。通过加强预算收支管理、不断建立健全内部管理制度、梳理内部管理流程，部门整体支出管理情况得到提升。我镇2021年度部门整体支出绩效评价自评得分为97.87分。具体工作主要体现在以下几个方面：</w:t>
      </w:r>
    </w:p>
    <w:p>
      <w:pPr>
        <w:spacing w:line="520" w:lineRule="exact"/>
        <w:ind w:firstLine="640" w:firstLineChars="200"/>
        <w:rPr>
          <w:rFonts w:ascii="仿宋" w:hAnsi="仿宋" w:eastAsia="仿宋" w:cs="仿宋"/>
          <w:color w:val="383838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383838"/>
          <w:sz w:val="32"/>
          <w:szCs w:val="32"/>
          <w:shd w:val="clear" w:color="auto" w:fill="FFFFFF"/>
        </w:rPr>
        <w:t>一是预算配置及预算管理情况。进一步规范财务管理，加强预算管理。根据</w:t>
      </w:r>
      <w:r>
        <w:rPr>
          <w:rFonts w:hint="eastAsia" w:ascii="仿宋" w:hAnsi="仿宋" w:eastAsia="仿宋" w:cs="仿宋"/>
          <w:color w:val="383838"/>
          <w:sz w:val="32"/>
          <w:szCs w:val="32"/>
          <w:shd w:val="clear" w:color="auto" w:fill="FFFFFF"/>
          <w:lang w:eastAsia="zh-CN"/>
        </w:rPr>
        <w:t>中央八项规定精神</w:t>
      </w:r>
      <w:r>
        <w:rPr>
          <w:rFonts w:hint="eastAsia" w:ascii="仿宋" w:hAnsi="仿宋" w:eastAsia="仿宋" w:cs="仿宋"/>
          <w:color w:val="383838"/>
          <w:sz w:val="32"/>
          <w:szCs w:val="32"/>
          <w:shd w:val="clear" w:color="auto" w:fill="FFFFFF"/>
        </w:rPr>
        <w:t>以及财务管理方面的法律、法规和审计等部门的意见，我镇对机关财务管理制度进一步完善，</w:t>
      </w:r>
      <w:r>
        <w:rPr>
          <w:rFonts w:hint="eastAsia" w:ascii="仿宋" w:hAnsi="仿宋" w:eastAsia="仿宋" w:cs="仿宋"/>
          <w:sz w:val="32"/>
          <w:szCs w:val="32"/>
        </w:rPr>
        <w:t>制订了《三塘镇人民政府管理制度》，建立了各项管理制度，有内部财务管理制度、公务接待管理制度、公务出差审批制度、固定资产管理制度、公车管理制度等相关制度，制度制定合法、合规、完整，在实际工作中得到有效执行。</w:t>
      </w:r>
      <w:r>
        <w:rPr>
          <w:rFonts w:hint="eastAsia" w:ascii="仿宋" w:hAnsi="仿宋" w:eastAsia="仿宋" w:cs="仿宋"/>
          <w:color w:val="383838"/>
          <w:sz w:val="32"/>
          <w:szCs w:val="32"/>
          <w:shd w:val="clear" w:color="auto" w:fill="FFFFFF"/>
        </w:rPr>
        <w:t>在财务开支方面严格按照管理制度执行财务开支审批程序，加强对差旅费、会议费、接待费、公务用车运行经费等各项开支的管理。重点保障机关运转及重点工作的需要，大力压缩一般性支出，提高财政资金使用效益。编制内在职人员控制率低于100%，</w:t>
      </w:r>
      <w:r>
        <w:rPr>
          <w:rFonts w:hint="eastAsia" w:ascii="仿宋" w:hAnsi="仿宋" w:eastAsia="仿宋" w:cs="仿宋"/>
          <w:sz w:val="32"/>
          <w:szCs w:val="32"/>
        </w:rPr>
        <w:t>“三公”经费比上年下降2.55%，</w:t>
      </w:r>
      <w:r>
        <w:rPr>
          <w:rFonts w:hint="eastAsia" w:ascii="仿宋" w:hAnsi="仿宋" w:eastAsia="仿宋" w:cs="仿宋"/>
          <w:color w:val="383838"/>
          <w:sz w:val="32"/>
          <w:szCs w:val="32"/>
          <w:shd w:val="clear" w:color="auto" w:fill="FFFFFF"/>
        </w:rPr>
        <w:t>支出总额控制在预算总额以内。依法依规公开部门预决算。根据全县部门预决算公开工作统一安排部署，我镇公开了2021年部门预算和“三公”经费预算，社会反响良好，圆满完成了2021年部门预算和“三公”经费预算公开工作。</w:t>
      </w:r>
    </w:p>
    <w:p>
      <w:pPr>
        <w:pStyle w:val="4"/>
        <w:widowControl/>
        <w:spacing w:line="520" w:lineRule="exact"/>
        <w:ind w:firstLine="640" w:firstLineChars="200"/>
        <w:jc w:val="both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383838"/>
          <w:sz w:val="32"/>
          <w:szCs w:val="32"/>
          <w:shd w:val="clear" w:color="auto" w:fill="FFFFFF"/>
        </w:rPr>
        <w:t>二是固定资产管理。</w:t>
      </w:r>
      <w:r>
        <w:rPr>
          <w:rFonts w:hint="eastAsia" w:ascii="仿宋" w:hAnsi="仿宋" w:eastAsia="仿宋" w:cs="仿宋"/>
          <w:sz w:val="32"/>
          <w:szCs w:val="32"/>
        </w:rPr>
        <w:t>本单位固定资产保存完整，使用合规，配置合理，处置规范。固定资产设有专账及卡片登记，并由专人管理，</w:t>
      </w:r>
      <w:r>
        <w:rPr>
          <w:rFonts w:hint="eastAsia" w:ascii="仿宋" w:hAnsi="仿宋" w:eastAsia="仿宋" w:cs="仿宋"/>
          <w:color w:val="383838"/>
          <w:sz w:val="32"/>
          <w:szCs w:val="32"/>
          <w:shd w:val="clear" w:color="auto" w:fill="FFFFFF"/>
        </w:rPr>
        <w:t>定期进行资产盘点和资产清理，</w:t>
      </w:r>
      <w:r>
        <w:rPr>
          <w:rFonts w:hint="eastAsia" w:ascii="仿宋" w:hAnsi="仿宋" w:eastAsia="仿宋" w:cs="仿宋"/>
          <w:sz w:val="32"/>
          <w:szCs w:val="32"/>
        </w:rPr>
        <w:t>做到账实账物相符，资产利用率较高。</w:t>
      </w:r>
    </w:p>
    <w:p>
      <w:pPr>
        <w:spacing w:line="520" w:lineRule="exact"/>
        <w:ind w:firstLine="640" w:firstLineChars="200"/>
        <w:rPr>
          <w:rFonts w:ascii="仿宋" w:hAnsi="仿宋" w:eastAsia="仿宋" w:cs="仿宋"/>
          <w:color w:val="383838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383838"/>
          <w:sz w:val="32"/>
          <w:szCs w:val="32"/>
          <w:shd w:val="clear" w:color="auto" w:fill="FFFFFF"/>
        </w:rPr>
        <w:t>三是</w:t>
      </w:r>
      <w:r>
        <w:rPr>
          <w:rFonts w:hint="eastAsia" w:ascii="仿宋" w:hAnsi="仿宋" w:eastAsia="仿宋" w:cs="仿宋"/>
          <w:sz w:val="32"/>
          <w:szCs w:val="32"/>
        </w:rPr>
        <w:t>职责履行及完成情况</w:t>
      </w:r>
      <w:r>
        <w:rPr>
          <w:rFonts w:hint="eastAsia" w:ascii="仿宋" w:hAnsi="仿宋" w:eastAsia="仿宋" w:cs="仿宋"/>
          <w:color w:val="383838"/>
          <w:sz w:val="32"/>
          <w:szCs w:val="32"/>
          <w:shd w:val="clear" w:color="auto" w:fill="FFFFFF"/>
        </w:rPr>
        <w:t>。2021年，我镇坚持以习近平新时代中国特色社会主义思想为指导，认真贯彻落实党的十九大和十九届五中全会精神，以“三高四新”战略为指导，以加快建成“四区一花园”为奋斗目标，紧紧围绕“宜居三塘、发展三塘、美丽三塘”的发展要求，细化任务，落实责任，实现了经济社会较好发展。</w:t>
      </w:r>
    </w:p>
    <w:p>
      <w:pPr>
        <w:spacing w:line="520" w:lineRule="exact"/>
        <w:ind w:firstLine="640" w:firstLineChars="200"/>
        <w:rPr>
          <w:rFonts w:ascii="仿宋" w:hAnsi="仿宋" w:eastAsia="仿宋" w:cs="仿宋"/>
          <w:color w:val="383838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383838"/>
          <w:sz w:val="32"/>
          <w:szCs w:val="32"/>
          <w:shd w:val="clear" w:color="auto" w:fill="FFFFFF"/>
        </w:rPr>
        <w:t>（一）抓重点促发展，经济实力不断提升。一抓经济发展。财政收入和居民收入稳步提升、主导产业推进明显加快，全镇全年财政总收入达1.58亿元，规模以上企业21家，其中工业企业15家，农业产业企业6家，高新技术企业1家，年收益30万元村级光伏电站6个。二抓重点项目。聚焦重大项目建设，全年固定投资总立项12.14亿元，完成投资7.92亿元，三塘工业园10家，技师学院1家，神山村1家，其中三塘垃圾填埋场存量垃圾整治工程是湖南省重点工程，三塘镇污水管网建设工程是衡阳市重点工程。南华大学船山学院新址定于我镇，计划明年2月动工，将对我镇的经济社会发展产生重大影响。三抓农业发展。积极落实粮食生产工作，稳定粮食播种面积和产量。全镇播种面积11.41万亩，其中早稻面积3.72万亩，中稻面积2.15万亩，晚稻面积4.13万亩，旱粮作物面积1.40万亩，粮食总产量5.06万吨；大力发展特色农业产品，其中长春村野生枇杷种植增至1000亩余，三福、大广村共计1000余亩江西脐橙种植，神山村、前进村共计300余亩“阳光玫瑰”葡萄种植，松山村1000余亩桂花鱼养殖，大广村稻虾养殖面积增至1000余亩，全镇共计流转土地3.81万亩。</w:t>
      </w:r>
    </w:p>
    <w:p>
      <w:pPr>
        <w:spacing w:line="520" w:lineRule="exact"/>
        <w:ind w:firstLine="640" w:firstLineChars="200"/>
        <w:rPr>
          <w:rFonts w:ascii="仿宋" w:hAnsi="仿宋" w:eastAsia="仿宋" w:cs="仿宋"/>
          <w:color w:val="383838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383838"/>
          <w:sz w:val="32"/>
          <w:szCs w:val="32"/>
          <w:shd w:val="clear" w:color="auto" w:fill="FFFFFF"/>
        </w:rPr>
        <w:t>（二）强党建固堡垒，基层党建扎实推进。今年来，在党建引领下，发展活力不断增强，集体经济稳步提升。截止2021年11月30日，我镇有南铺村、兴隆村、晓泉村、长春村、神山村、松山村、大广村、银鸽社区、桔园社区、老街社区等10个村（社区）集体经济收入超过10万元，其余村（社区、场）集体经济均超过5万元；在党史学习教育四个阶段中，共召开中心组学习研讨会17次，组织机关、站所、村（社区）干部开展大型专题学习会14次，以村（社区）为单位召开学习会共记218次，覆盖党员干部3100余名，做到了党史学习教育覆盖率100%，共开展“屋场恳谈会+”相关活动96场次，聚焦民生热点，收集民生建议52条，汇总民生问题115个，办结98件，办结率达85.2%，不断增强党员干部群众的凝聚力、战斗力。</w:t>
      </w:r>
    </w:p>
    <w:p>
      <w:pPr>
        <w:spacing w:line="520" w:lineRule="exact"/>
        <w:ind w:firstLine="640" w:firstLineChars="200"/>
        <w:rPr>
          <w:rFonts w:ascii="仿宋" w:hAnsi="仿宋" w:eastAsia="仿宋" w:cs="仿宋"/>
          <w:color w:val="383838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383838"/>
          <w:sz w:val="32"/>
          <w:szCs w:val="32"/>
          <w:shd w:val="clear" w:color="auto" w:fill="FFFFFF"/>
        </w:rPr>
        <w:t>（三）听民声解民忧，民生工程精准发力。一是牢固树立疫情防控常态化机制。2021年全镇共完成疫苗接种85287人次，接种142304针次，常住人口全程接种覆盖率达81%，完成中高风险地区返衡黄码人员监测摸排2267人，核酸采样检测4693人次，为广大人民群众构筑起健康免疫长城。二是不断巩固脱贫成果，促进脱贫攻坚与乡村振兴接轨。2021年度已脱贫人口、监测对象等困难群体参加医保人数为3897人，参保率为100%，社保参保率为100%；针对12监测户（共计16人）开展有效结对帮扶，提高抵御风险能力；加快农村饮水安全巩固提升及拦水坝工程项目建设，全镇5个集中饮水工程项目，水质检查全部达标；2021年新增危房改造对象79户，易地扶贫搬迁集中安置点4个，安置了158户；高质量完成改厕1593户，连续3年均超额完成工作任务。三是加快民生基础设施建设，提升三塘宜居度及群众满意度。大力推动教育产业发展，圆满完成省重点项目芙蓉学校建设，顺利开班招生。加强推动家校共育，致力打造青少年健康成长良好环境。加强校、企联动，鼓励技师学院专业技术人才入园实践。全力推动城镇区道路改造，熬兴路、群雄路、科技街至松山村、人民路至大广村道路提质改造已完成，三鹰路项目建设已启动。尽力完善群众生活配套基础建设，城镇区域水、气、电管网建设不断完善。积极筹备老农贸市场翻新维护事项，同时在原烂尾工程御庭锦绣处着手新建农贸超市，用于缓解老农贸市场压力。群众幸福感和满意度得到进一步提升。</w:t>
      </w:r>
    </w:p>
    <w:p>
      <w:pPr>
        <w:spacing w:line="520" w:lineRule="exact"/>
        <w:ind w:firstLine="640" w:firstLineChars="200"/>
        <w:rPr>
          <w:rFonts w:ascii="仿宋" w:hAnsi="仿宋" w:eastAsia="仿宋" w:cs="仿宋"/>
          <w:color w:val="383838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383838"/>
          <w:sz w:val="32"/>
          <w:szCs w:val="32"/>
          <w:shd w:val="clear" w:color="auto" w:fill="FFFFFF"/>
        </w:rPr>
        <w:t>（四）强保障稳民心，社会大局和谐安定。一是人民调解和信访维稳工作。2021年，共排查调处矛盾纠纷176起，其中一般纠纷172起，重大纠纷4起，调解纠纷做到了“小事不出村、大事不出镇”；办理群众信访初访53件，网上信访和上级交办案件67件，已办案达92%以上，成功化解人民路壹号群体性上访事件，达成停访息诉；全年共防止群访案件5起，防止民转刑7起，稳控有信访意图人员1000余人，最大限度减少辖区内不和谐因素，保障全镇平安稳定。二是群众安全感和政法队伍满意度。推动“警格+网格”联动共治新模式，全镇刑事警情同比下降13%，矛盾纠纷类警情下降19%，针对辖区内电信诈骗案件高发，镇党委政府通过全面宣传、基础调查与科学研判等多种举措，劝返缅北人员22人，核减率达81.5%；在2021年综治民调工作中，我镇在县第一轮摸底调查中以95%的满意度在衡南县排名第一位。</w:t>
      </w:r>
    </w:p>
    <w:p>
      <w:pPr>
        <w:spacing w:line="52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383838"/>
          <w:sz w:val="32"/>
          <w:szCs w:val="32"/>
          <w:shd w:val="clear" w:color="auto" w:fill="FFFFFF"/>
        </w:rPr>
        <w:t>我镇对各年龄层次的村民群众进行公众满意度进行调查，就水污染改善、河道清理、农村清洁工程、生活压力、居住条件、街道绿化、乡村及镇区风貌、出行便捷与否、村民活动场所建设、文化设施建设、治安情况、基础设施建设等多面方面的内容调查，通过调查分析获取了人民群众对生态环境的健康度、居住生活的舒适度、工作出行的便捷度、居住生活的安全度各方面的评价，满意度程度达到百分之百。</w:t>
      </w:r>
    </w:p>
    <w:p>
      <w:pPr>
        <w:pStyle w:val="4"/>
        <w:widowControl/>
        <w:spacing w:line="520" w:lineRule="exact"/>
        <w:ind w:firstLine="420"/>
        <w:jc w:val="both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四、存在问题</w:t>
      </w:r>
    </w:p>
    <w:p>
      <w:pPr>
        <w:pStyle w:val="4"/>
        <w:widowControl/>
        <w:spacing w:line="520" w:lineRule="exact"/>
        <w:ind w:firstLine="420"/>
        <w:jc w:val="both"/>
        <w:rPr>
          <w:rFonts w:ascii="仿宋" w:hAnsi="仿宋" w:eastAsia="仿宋" w:cs="仿宋"/>
          <w:color w:val="383838"/>
          <w:kern w:val="2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383838"/>
          <w:kern w:val="2"/>
          <w:sz w:val="32"/>
          <w:szCs w:val="32"/>
          <w:shd w:val="clear" w:color="auto" w:fill="FFFFFF"/>
        </w:rPr>
        <w:t>1.</w:t>
      </w:r>
      <w:r>
        <w:rPr>
          <w:rFonts w:hint="eastAsia" w:ascii="仿宋" w:hAnsi="仿宋" w:eastAsia="仿宋" w:cs="仿宋"/>
          <w:sz w:val="32"/>
          <w:szCs w:val="32"/>
        </w:rPr>
        <w:t>因结构改革，乡镇站所人员合并，我镇成立三中心一站一大队，人员及公用经费全纳入财政总预算，由乡镇统一管理。因三中心一站一大队差额、自费编制较多，财政预算未全额保障，人员经费缺口较大，请财政预算加大人员经费保障力度。</w:t>
      </w:r>
      <w:r>
        <w:rPr>
          <w:rFonts w:hint="eastAsia" w:ascii="仿宋" w:hAnsi="仿宋" w:eastAsia="仿宋" w:cs="仿宋"/>
          <w:color w:val="383838"/>
          <w:kern w:val="2"/>
          <w:sz w:val="32"/>
          <w:szCs w:val="32"/>
          <w:shd w:val="clear" w:color="auto" w:fill="FFFFFF"/>
        </w:rPr>
        <w:t>。</w:t>
      </w:r>
    </w:p>
    <w:p>
      <w:pPr>
        <w:pStyle w:val="4"/>
        <w:widowControl/>
        <w:spacing w:line="520" w:lineRule="exact"/>
        <w:ind w:firstLine="420"/>
        <w:jc w:val="both"/>
        <w:rPr>
          <w:rFonts w:ascii="仿宋" w:hAnsi="仿宋" w:eastAsia="仿宋" w:cs="仿宋"/>
          <w:color w:val="383838"/>
          <w:kern w:val="2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sz w:val="32"/>
          <w:szCs w:val="32"/>
        </w:rPr>
        <w:t>2、预算执行情况还有待加强，年终有结余，加快支出。</w:t>
      </w:r>
    </w:p>
    <w:p>
      <w:pPr>
        <w:pStyle w:val="4"/>
        <w:widowControl/>
        <w:spacing w:line="520" w:lineRule="exact"/>
        <w:ind w:firstLine="420"/>
        <w:jc w:val="both"/>
        <w:rPr>
          <w:rFonts w:ascii="仿宋" w:hAnsi="仿宋" w:eastAsia="仿宋" w:cs="仿宋"/>
          <w:color w:val="383838"/>
          <w:kern w:val="2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383838"/>
          <w:kern w:val="2"/>
          <w:sz w:val="32"/>
          <w:szCs w:val="32"/>
          <w:shd w:val="clear" w:color="auto" w:fill="FFFFFF"/>
        </w:rPr>
        <w:t>3、随着对预、决算编制工作水平要求越来越高，数据编制要求越来越精准、规范；时间紧、任务大；加之现行决算工作与实际账务处理工作间衔接还存在一定差异；会计人员业务明显增加，人员紧缺，加之业务操作水平有限，实际操作中确实感到力不从心 。</w:t>
      </w:r>
    </w:p>
    <w:p>
      <w:pPr>
        <w:pStyle w:val="4"/>
        <w:widowControl/>
        <w:spacing w:line="520" w:lineRule="exact"/>
        <w:ind w:left="241" w:firstLine="640" w:firstLineChars="200"/>
        <w:jc w:val="both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六、改进措施及建议</w:t>
      </w:r>
    </w:p>
    <w:p>
      <w:pPr>
        <w:pStyle w:val="4"/>
        <w:widowControl/>
        <w:spacing w:line="520" w:lineRule="exact"/>
        <w:ind w:left="241" w:firstLine="640" w:firstLineChars="200"/>
        <w:jc w:val="both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、细化预算编制工作，认真做好预算的编制。进一步加强内部机构的预算管理意识，严格按照预算编制的相关制度和要求，本着“勤俭节约、保障运转”的原则进行预算的编制；编制范围尽可能的全面、不漏项，进一步提高预算编制的科学性、合理性、严谨性和可控性。</w:t>
      </w:r>
    </w:p>
    <w:p>
      <w:pPr>
        <w:pStyle w:val="4"/>
        <w:widowControl/>
        <w:spacing w:line="520" w:lineRule="exact"/>
        <w:ind w:firstLine="420"/>
        <w:jc w:val="both"/>
        <w:rPr>
          <w:rFonts w:ascii="仿宋" w:hAnsi="仿宋" w:eastAsia="仿宋" w:cs="仿宋"/>
          <w:color w:val="383838"/>
          <w:kern w:val="2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383838"/>
          <w:kern w:val="2"/>
          <w:sz w:val="32"/>
          <w:szCs w:val="32"/>
          <w:shd w:val="clear" w:color="auto" w:fill="FFFFFF"/>
        </w:rPr>
        <w:t xml:space="preserve">   2、加强财务管理，严格财务审核。健全单位财务管理制度体系，规范单位财务行为。在费用报账支付时，按照预算规定的费用项目和用途进行资金使用审核、财务严格核算，杜绝超支现象的发生。</w:t>
      </w:r>
    </w:p>
    <w:p>
      <w:pPr>
        <w:pStyle w:val="4"/>
        <w:widowControl/>
        <w:spacing w:line="520" w:lineRule="exact"/>
        <w:jc w:val="both"/>
        <w:rPr>
          <w:rFonts w:ascii="仿宋" w:hAnsi="仿宋" w:eastAsia="仿宋" w:cs="仿宋"/>
          <w:color w:val="383838"/>
          <w:kern w:val="2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383838"/>
          <w:kern w:val="2"/>
          <w:sz w:val="32"/>
          <w:szCs w:val="32"/>
          <w:shd w:val="clear" w:color="auto" w:fill="FFFFFF"/>
        </w:rPr>
        <w:t xml:space="preserve">     3、合理安排会计岗位，增加业务知识培训，提升会计人员工作能力。</w:t>
      </w:r>
    </w:p>
    <w:p>
      <w:pPr>
        <w:widowControl/>
        <w:spacing w:line="52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</w:p>
    <w:p>
      <w:pPr>
        <w:widowControl/>
        <w:spacing w:line="520" w:lineRule="exact"/>
        <w:ind w:firstLine="640" w:firstLineChars="200"/>
        <w:rPr>
          <w:rFonts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 </w:t>
      </w:r>
    </w:p>
    <w:p>
      <w:pPr>
        <w:widowControl/>
        <w:spacing w:line="520" w:lineRule="exact"/>
        <w:rPr>
          <w:rFonts w:ascii="仿宋" w:hAnsi="仿宋" w:eastAsia="仿宋" w:cs="仿宋"/>
          <w:color w:val="000000"/>
          <w:kern w:val="0"/>
          <w:sz w:val="32"/>
          <w:szCs w:val="32"/>
        </w:rPr>
      </w:pPr>
    </w:p>
    <w:p>
      <w:pPr>
        <w:widowControl/>
        <w:spacing w:line="520" w:lineRule="exact"/>
        <w:rPr>
          <w:rFonts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 xml:space="preserve">                               衡南县三塘镇人民政府</w:t>
      </w:r>
    </w:p>
    <w:p>
      <w:pPr>
        <w:widowControl/>
        <w:spacing w:line="520" w:lineRule="exact"/>
        <w:rPr>
          <w:rFonts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 xml:space="preserve">                                   2022年4月28日</w:t>
      </w:r>
    </w:p>
    <w:p>
      <w:pPr>
        <w:spacing w:line="520" w:lineRule="exact"/>
        <w:ind w:firstLine="640" w:firstLineChars="200"/>
        <w:rPr>
          <w:rFonts w:ascii="仿宋" w:hAnsi="仿宋" w:eastAsia="仿宋" w:cs="仿宋"/>
          <w:color w:val="000000"/>
          <w:kern w:val="0"/>
          <w:sz w:val="32"/>
          <w:szCs w:val="32"/>
        </w:rPr>
      </w:pPr>
    </w:p>
    <w:p>
      <w:pPr>
        <w:widowControl/>
        <w:spacing w:line="520" w:lineRule="exact"/>
        <w:rPr>
          <w:rFonts w:ascii="仿宋" w:hAnsi="仿宋" w:eastAsia="仿宋" w:cs="仿宋"/>
          <w:color w:val="000000"/>
          <w:kern w:val="0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A4C80C9"/>
    <w:multiLevelType w:val="singleLevel"/>
    <w:tmpl w:val="AA4C80C9"/>
    <w:lvl w:ilvl="0" w:tentative="0">
      <w:start w:val="1"/>
      <w:numFmt w:val="chineseCounting"/>
      <w:suff w:val="nothing"/>
      <w:lvlText w:val="%1、"/>
      <w:lvlJc w:val="left"/>
      <w:pPr>
        <w:ind w:left="166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zgzM2VlNDI5ZmQzOWVmNTE0ZjNlYTUxY2M5ZDk4MDkifQ=="/>
  </w:docVars>
  <w:rsids>
    <w:rsidRoot w:val="439262F8"/>
    <w:rsid w:val="000000F9"/>
    <w:rsid w:val="0000169A"/>
    <w:rsid w:val="00017266"/>
    <w:rsid w:val="000274FA"/>
    <w:rsid w:val="00031FB8"/>
    <w:rsid w:val="00064D75"/>
    <w:rsid w:val="00081243"/>
    <w:rsid w:val="00095D51"/>
    <w:rsid w:val="000A510D"/>
    <w:rsid w:val="000B1824"/>
    <w:rsid w:val="000B7106"/>
    <w:rsid w:val="000C22F2"/>
    <w:rsid w:val="000C313E"/>
    <w:rsid w:val="000F0654"/>
    <w:rsid w:val="00101825"/>
    <w:rsid w:val="0012320F"/>
    <w:rsid w:val="00135432"/>
    <w:rsid w:val="00152423"/>
    <w:rsid w:val="00157649"/>
    <w:rsid w:val="00181B98"/>
    <w:rsid w:val="001902D6"/>
    <w:rsid w:val="00196E30"/>
    <w:rsid w:val="001A70DD"/>
    <w:rsid w:val="001C6807"/>
    <w:rsid w:val="001E6C78"/>
    <w:rsid w:val="001F7531"/>
    <w:rsid w:val="00234FB8"/>
    <w:rsid w:val="00243889"/>
    <w:rsid w:val="002754D8"/>
    <w:rsid w:val="002C7E1E"/>
    <w:rsid w:val="002F5ECC"/>
    <w:rsid w:val="0033007E"/>
    <w:rsid w:val="00355AB0"/>
    <w:rsid w:val="00360308"/>
    <w:rsid w:val="00375BA3"/>
    <w:rsid w:val="00376789"/>
    <w:rsid w:val="00427828"/>
    <w:rsid w:val="0044318E"/>
    <w:rsid w:val="004617BB"/>
    <w:rsid w:val="00463D12"/>
    <w:rsid w:val="00470D06"/>
    <w:rsid w:val="004976A0"/>
    <w:rsid w:val="004A4B14"/>
    <w:rsid w:val="004A6CAA"/>
    <w:rsid w:val="004B74F7"/>
    <w:rsid w:val="004C17F3"/>
    <w:rsid w:val="004F4514"/>
    <w:rsid w:val="0054000F"/>
    <w:rsid w:val="005449A5"/>
    <w:rsid w:val="00556217"/>
    <w:rsid w:val="005A784E"/>
    <w:rsid w:val="005B0557"/>
    <w:rsid w:val="005E7075"/>
    <w:rsid w:val="005E7A7D"/>
    <w:rsid w:val="005F71A1"/>
    <w:rsid w:val="0060732D"/>
    <w:rsid w:val="00637FF9"/>
    <w:rsid w:val="00671863"/>
    <w:rsid w:val="00675496"/>
    <w:rsid w:val="00684C8C"/>
    <w:rsid w:val="0069465A"/>
    <w:rsid w:val="006B5B57"/>
    <w:rsid w:val="006C0085"/>
    <w:rsid w:val="00713E41"/>
    <w:rsid w:val="0071536D"/>
    <w:rsid w:val="0074763D"/>
    <w:rsid w:val="0076206E"/>
    <w:rsid w:val="007635E0"/>
    <w:rsid w:val="00776064"/>
    <w:rsid w:val="007D3556"/>
    <w:rsid w:val="007E522B"/>
    <w:rsid w:val="00867F83"/>
    <w:rsid w:val="00874C65"/>
    <w:rsid w:val="00897F5C"/>
    <w:rsid w:val="008E31F9"/>
    <w:rsid w:val="008F61AD"/>
    <w:rsid w:val="00932FEC"/>
    <w:rsid w:val="009615C4"/>
    <w:rsid w:val="009D2C39"/>
    <w:rsid w:val="009F2020"/>
    <w:rsid w:val="00A35FF7"/>
    <w:rsid w:val="00A42C85"/>
    <w:rsid w:val="00A47A33"/>
    <w:rsid w:val="00A6465F"/>
    <w:rsid w:val="00A953FE"/>
    <w:rsid w:val="00AC4F91"/>
    <w:rsid w:val="00AF42BC"/>
    <w:rsid w:val="00B33BB8"/>
    <w:rsid w:val="00B34B2F"/>
    <w:rsid w:val="00BA0272"/>
    <w:rsid w:val="00BC3F4D"/>
    <w:rsid w:val="00BD3AF0"/>
    <w:rsid w:val="00BF6356"/>
    <w:rsid w:val="00C43C3B"/>
    <w:rsid w:val="00C459AE"/>
    <w:rsid w:val="00C805C7"/>
    <w:rsid w:val="00C91661"/>
    <w:rsid w:val="00C951A0"/>
    <w:rsid w:val="00CA5703"/>
    <w:rsid w:val="00CA7CD2"/>
    <w:rsid w:val="00CD24C3"/>
    <w:rsid w:val="00CD6F5F"/>
    <w:rsid w:val="00D1481C"/>
    <w:rsid w:val="00D40E0C"/>
    <w:rsid w:val="00D46759"/>
    <w:rsid w:val="00D5519A"/>
    <w:rsid w:val="00D55904"/>
    <w:rsid w:val="00D83A7E"/>
    <w:rsid w:val="00D84E80"/>
    <w:rsid w:val="00D8651C"/>
    <w:rsid w:val="00DA4543"/>
    <w:rsid w:val="00E10C2B"/>
    <w:rsid w:val="00E26431"/>
    <w:rsid w:val="00E41484"/>
    <w:rsid w:val="00E47034"/>
    <w:rsid w:val="00E874CA"/>
    <w:rsid w:val="00EA655B"/>
    <w:rsid w:val="00F024DA"/>
    <w:rsid w:val="00F5305E"/>
    <w:rsid w:val="00F9165F"/>
    <w:rsid w:val="00F97F12"/>
    <w:rsid w:val="00FF2D3B"/>
    <w:rsid w:val="012F664A"/>
    <w:rsid w:val="0133009F"/>
    <w:rsid w:val="02D353AB"/>
    <w:rsid w:val="0506150F"/>
    <w:rsid w:val="07E638D5"/>
    <w:rsid w:val="088A42C8"/>
    <w:rsid w:val="0B3E440F"/>
    <w:rsid w:val="0C7859F8"/>
    <w:rsid w:val="0E574ABB"/>
    <w:rsid w:val="113973A0"/>
    <w:rsid w:val="11D3747D"/>
    <w:rsid w:val="12900E87"/>
    <w:rsid w:val="160824B7"/>
    <w:rsid w:val="19BD3E30"/>
    <w:rsid w:val="1B4F7561"/>
    <w:rsid w:val="1DCA6592"/>
    <w:rsid w:val="1E344A93"/>
    <w:rsid w:val="1F2E3844"/>
    <w:rsid w:val="222E2DF2"/>
    <w:rsid w:val="23B53A75"/>
    <w:rsid w:val="24B81951"/>
    <w:rsid w:val="27B628FE"/>
    <w:rsid w:val="2D8D0523"/>
    <w:rsid w:val="2FBF3633"/>
    <w:rsid w:val="338F64B2"/>
    <w:rsid w:val="37162A04"/>
    <w:rsid w:val="3B264934"/>
    <w:rsid w:val="439262F8"/>
    <w:rsid w:val="471B79D4"/>
    <w:rsid w:val="49A64CC5"/>
    <w:rsid w:val="4AB04608"/>
    <w:rsid w:val="529C04A5"/>
    <w:rsid w:val="54C8074D"/>
    <w:rsid w:val="55151E32"/>
    <w:rsid w:val="564734A9"/>
    <w:rsid w:val="593F38FA"/>
    <w:rsid w:val="59C156CB"/>
    <w:rsid w:val="59D704C7"/>
    <w:rsid w:val="5B7F6AE4"/>
    <w:rsid w:val="5BCE253B"/>
    <w:rsid w:val="5BE11230"/>
    <w:rsid w:val="5E5C573D"/>
    <w:rsid w:val="60A96CC5"/>
    <w:rsid w:val="60BB2779"/>
    <w:rsid w:val="640F7ED2"/>
    <w:rsid w:val="64875998"/>
    <w:rsid w:val="64B649A4"/>
    <w:rsid w:val="65E116E5"/>
    <w:rsid w:val="69151304"/>
    <w:rsid w:val="6A3327B3"/>
    <w:rsid w:val="6F526AC0"/>
    <w:rsid w:val="73381098"/>
    <w:rsid w:val="74EA458B"/>
    <w:rsid w:val="7631109D"/>
    <w:rsid w:val="77060902"/>
    <w:rsid w:val="77E17EE2"/>
    <w:rsid w:val="780F0D24"/>
    <w:rsid w:val="7AB805C3"/>
    <w:rsid w:val="7D44444E"/>
    <w:rsid w:val="7E470FB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iPriority="99" w:name="Normal Indent" w:locked="1"/>
    <w:lsdException w:uiPriority="99" w:name="footnote text" w:locked="1"/>
    <w:lsdException w:uiPriority="99" w:name="annotation text" w:locked="1"/>
    <w:lsdException w:qFormat="1" w:uiPriority="99" w:semiHidden="0" w:name="header" w:locked="1"/>
    <w:lsdException w:qFormat="1" w:unhideWhenUsed="0" w:uiPriority="99" w:semiHidden="0" w:name="footer" w:locked="1"/>
    <w:lsdException w:uiPriority="99" w:name="index heading" w:locked="1"/>
    <w:lsdException w:qFormat="1" w:uiPriority="0" w:name="caption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iPriority="99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0" w:semiHidden="0" w:name="Title"/>
    <w:lsdException w:uiPriority="99" w:name="Closing" w:locked="1"/>
    <w:lsdException w:uiPriority="99" w:name="Signature" w:locked="1"/>
    <w:lsdException w:uiPriority="1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0" w:semiHidden="0" w:name="Subtitle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qFormat="1" w:unhideWhenUsed="0" w:uiPriority="99" w:semiHidden="0" w:name="Hyperlink"/>
    <w:lsdException w:uiPriority="99" w:name="FollowedHyperlink" w:locked="1"/>
    <w:lsdException w:qFormat="1" w:unhideWhenUsed="0" w:uiPriority="0" w:semiHidden="0" w:name="Strong"/>
    <w:lsdException w:qFormat="1" w:unhideWhenUsed="0" w:uiPriority="0" w:semiHidden="0" w:name="Emphasis"/>
    <w:lsdException w:uiPriority="99" w:name="Document Map" w:locked="1"/>
    <w:lsdException w:uiPriority="99" w:name="Plain Text" w:locked="1"/>
    <w:lsdException w:uiPriority="99" w:name="E-mail Signature" w:locked="1"/>
    <w:lsdException w:qFormat="1" w:unhideWhenUsed="0" w:uiPriority="0" w:semiHidden="0" w:name="Normal (Web)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iPriority="99" w:name="Balloon Text" w:locked="1"/>
    <w:lsdException w:unhideWhenUsed="0" w:uiPriority="0" w:semiHidden="0" w:name="Table Grid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locked/>
    <w:uiPriority w:val="99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paragraph" w:styleId="3">
    <w:name w:val="header"/>
    <w:basedOn w:val="1"/>
    <w:link w:val="8"/>
    <w:autoRedefine/>
    <w:unhideWhenUsed/>
    <w:qFormat/>
    <w:lock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autoRedefine/>
    <w:qFormat/>
    <w:uiPriority w:val="0"/>
    <w:pPr>
      <w:jc w:val="left"/>
    </w:pPr>
    <w:rPr>
      <w:kern w:val="0"/>
      <w:sz w:val="18"/>
      <w:szCs w:val="18"/>
    </w:rPr>
  </w:style>
  <w:style w:type="character" w:styleId="7">
    <w:name w:val="Hyperlink"/>
    <w:basedOn w:val="6"/>
    <w:autoRedefine/>
    <w:qFormat/>
    <w:uiPriority w:val="99"/>
    <w:rPr>
      <w:rFonts w:cs="Times New Roman"/>
      <w:color w:val="0000FF"/>
      <w:u w:val="single"/>
    </w:rPr>
  </w:style>
  <w:style w:type="character" w:customStyle="1" w:styleId="8">
    <w:name w:val="页眉 Char"/>
    <w:basedOn w:val="6"/>
    <w:link w:val="3"/>
    <w:autoRedefine/>
    <w:qFormat/>
    <w:uiPriority w:val="99"/>
    <w:rPr>
      <w:rFonts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1D884F9-D12B-4219-A70F-48B7219DB1C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4986</Words>
  <Characters>5512</Characters>
  <Lines>40</Lines>
  <Paragraphs>11</Paragraphs>
  <TotalTime>447</TotalTime>
  <ScaleCrop>false</ScaleCrop>
  <LinksUpToDate>false</LinksUpToDate>
  <CharactersWithSpaces>5600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2018-01-31T04:49:00Z</dcterms:created>
  <dc:creator>Administrator</dc:creator>
  <cp:lastModifiedBy>茜茜</cp:lastModifiedBy>
  <cp:lastPrinted>2021-06-04T02:34:00Z</cp:lastPrinted>
  <dcterms:modified xsi:type="dcterms:W3CDTF">2025-08-11T01:43:36Z</dcterms:modified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8EBB8049D8324BF18EDF24404AAE48E3</vt:lpwstr>
  </property>
</Properties>
</file>