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_GBK" w:eastAsia="方正小标宋_GBK"/>
          <w:sz w:val="44"/>
          <w:szCs w:val="44"/>
        </w:rPr>
      </w:pPr>
      <w:r>
        <w:rPr>
          <w:rFonts w:hint="eastAsia" w:ascii="方正小标宋_GBK" w:eastAsia="方正小标宋_GBK"/>
          <w:sz w:val="44"/>
          <w:szCs w:val="44"/>
        </w:rPr>
        <w:t>衡南县部门整体支出绩效自评报告</w:t>
      </w:r>
    </w:p>
    <w:p/>
    <w:p>
      <w:pPr>
        <w:jc w:val="center"/>
        <w:rPr>
          <w:rFonts w:ascii="仿宋_GB2312" w:eastAsia="仿宋_GB2312"/>
          <w:sz w:val="32"/>
          <w:szCs w:val="32"/>
        </w:rPr>
      </w:pPr>
      <w:r>
        <w:rPr>
          <w:rFonts w:hint="eastAsia" w:ascii="仿宋_GB2312" w:eastAsia="仿宋_GB2312"/>
          <w:sz w:val="32"/>
          <w:szCs w:val="32"/>
        </w:rPr>
        <w:t>（ 2022年度 ）</w:t>
      </w:r>
    </w:p>
    <w:p/>
    <w:p/>
    <w:p/>
    <w:p>
      <w:pPr>
        <w:ind w:firstLine="640" w:firstLineChars="200"/>
        <w:rPr>
          <w:rFonts w:ascii="仿宋_GB2312" w:eastAsia="仿宋_GB2312"/>
          <w:sz w:val="32"/>
          <w:szCs w:val="32"/>
        </w:rPr>
      </w:pPr>
      <w:r>
        <w:rPr>
          <w:rFonts w:hint="eastAsia" w:ascii="仿宋_GB2312" w:eastAsia="仿宋_GB2312"/>
          <w:sz w:val="32"/>
          <w:szCs w:val="32"/>
        </w:rPr>
        <w:t xml:space="preserve">部门(单位)名称：衡南县谭子山镇人民政府             </w:t>
      </w:r>
    </w:p>
    <w:p>
      <w:pPr>
        <w:ind w:firstLine="640" w:firstLineChars="200"/>
        <w:rPr>
          <w:rFonts w:ascii="仿宋_GB2312" w:eastAsia="仿宋_GB2312"/>
          <w:sz w:val="32"/>
          <w:szCs w:val="32"/>
        </w:rPr>
      </w:pPr>
      <w:r>
        <w:rPr>
          <w:rFonts w:hint="eastAsia" w:ascii="仿宋_GB2312" w:eastAsia="仿宋_GB2312"/>
          <w:sz w:val="32"/>
          <w:szCs w:val="32"/>
        </w:rPr>
        <w:t xml:space="preserve">预算编码： 920001                   </w:t>
      </w:r>
    </w:p>
    <w:p>
      <w:pPr>
        <w:ind w:firstLine="640" w:firstLineChars="200"/>
        <w:rPr>
          <w:rFonts w:ascii="仿宋_GB2312" w:eastAsia="仿宋_GB2312"/>
          <w:sz w:val="32"/>
          <w:szCs w:val="32"/>
        </w:rPr>
      </w:pPr>
      <w:r>
        <w:rPr>
          <w:rFonts w:hint="eastAsia" w:ascii="仿宋_GB2312" w:eastAsia="仿宋_GB2312"/>
          <w:sz w:val="32"/>
          <w:szCs w:val="32"/>
        </w:rPr>
        <w:t xml:space="preserve">评价方式：部门（单位）自评☑  </w:t>
      </w:r>
    </w:p>
    <w:p>
      <w:pPr>
        <w:ind w:firstLine="2240" w:firstLineChars="700"/>
        <w:rPr>
          <w:rFonts w:ascii="仿宋_GB2312" w:eastAsia="仿宋_GB2312"/>
          <w:sz w:val="32"/>
          <w:szCs w:val="32"/>
        </w:rPr>
      </w:pPr>
      <w:r>
        <w:rPr>
          <w:rFonts w:hint="eastAsia" w:ascii="仿宋_GB2312" w:eastAsia="仿宋_GB2312"/>
          <w:sz w:val="32"/>
          <w:szCs w:val="32"/>
        </w:rPr>
        <w:t>中介机构评价□</w:t>
      </w:r>
    </w:p>
    <w:p>
      <w:pPr>
        <w:ind w:firstLine="640" w:firstLineChars="200"/>
        <w:rPr>
          <w:rFonts w:ascii="仿宋_GB2312" w:eastAsia="仿宋_GB2312"/>
          <w:sz w:val="32"/>
          <w:szCs w:val="32"/>
        </w:rPr>
      </w:pPr>
      <w:r>
        <w:rPr>
          <w:rFonts w:hint="eastAsia" w:ascii="仿宋_GB2312" w:eastAsia="仿宋_GB2312"/>
          <w:sz w:val="32"/>
          <w:szCs w:val="32"/>
        </w:rPr>
        <w:t>评价机构：部门（单位）评价组☑</w:t>
      </w:r>
    </w:p>
    <w:p>
      <w:pPr>
        <w:ind w:firstLine="2240" w:firstLineChars="700"/>
        <w:rPr>
          <w:rFonts w:ascii="仿宋_GB2312" w:eastAsia="仿宋_GB2312"/>
          <w:sz w:val="32"/>
          <w:szCs w:val="32"/>
        </w:rPr>
      </w:pPr>
      <w:r>
        <w:rPr>
          <w:rFonts w:hint="eastAsia" w:ascii="仿宋_GB2312" w:eastAsia="仿宋_GB2312"/>
          <w:sz w:val="32"/>
          <w:szCs w:val="32"/>
        </w:rPr>
        <w:t>中介机构□</w:t>
      </w:r>
    </w:p>
    <w:p/>
    <w:p/>
    <w:p/>
    <w:p/>
    <w:p/>
    <w:p/>
    <w:p/>
    <w:p/>
    <w:p/>
    <w:p/>
    <w:p/>
    <w:p>
      <w:pPr>
        <w:jc w:val="center"/>
        <w:rPr>
          <w:rFonts w:ascii="仿宋_GB2312" w:eastAsia="仿宋_GB2312"/>
          <w:sz w:val="32"/>
          <w:szCs w:val="32"/>
        </w:rPr>
      </w:pPr>
      <w:r>
        <w:rPr>
          <w:rFonts w:hint="eastAsia" w:ascii="仿宋_GB2312" w:eastAsia="仿宋_GB2312"/>
          <w:sz w:val="32"/>
          <w:szCs w:val="32"/>
        </w:rPr>
        <w:t>报告日期：   2023年 04月 19日</w:t>
      </w:r>
    </w:p>
    <w:p/>
    <w:p>
      <w:pPr>
        <w:widowControl/>
        <w:spacing w:line="500" w:lineRule="exact"/>
        <w:ind w:firstLine="442" w:firstLineChars="100"/>
        <w:rPr>
          <w:rFonts w:ascii="仿宋_GB2312" w:eastAsia="仿宋_GB2312" w:cs="仿宋_GB2312"/>
          <w:b/>
          <w:bCs/>
          <w:sz w:val="44"/>
          <w:szCs w:val="44"/>
        </w:rPr>
      </w:pPr>
    </w:p>
    <w:p>
      <w:pPr>
        <w:widowControl/>
        <w:spacing w:line="500" w:lineRule="exact"/>
        <w:ind w:firstLine="442" w:firstLineChars="100"/>
        <w:rPr>
          <w:rFonts w:ascii="仿宋_GB2312" w:eastAsia="仿宋_GB2312" w:cs="仿宋_GB2312"/>
          <w:b/>
          <w:bCs/>
          <w:sz w:val="44"/>
          <w:szCs w:val="44"/>
        </w:rPr>
      </w:pPr>
    </w:p>
    <w:p>
      <w:pPr>
        <w:widowControl/>
        <w:spacing w:line="500" w:lineRule="exact"/>
        <w:ind w:firstLine="442" w:firstLineChars="100"/>
        <w:rPr>
          <w:rFonts w:ascii="仿宋_GB2312" w:eastAsia="仿宋_GB2312" w:cs="仿宋_GB2312"/>
          <w:b/>
          <w:bCs/>
          <w:sz w:val="44"/>
          <w:szCs w:val="44"/>
        </w:rPr>
      </w:pPr>
    </w:p>
    <w:p>
      <w:pPr>
        <w:widowControl/>
        <w:spacing w:line="500" w:lineRule="exact"/>
        <w:ind w:firstLine="442" w:firstLineChars="100"/>
        <w:rPr>
          <w:rFonts w:ascii="仿宋_GB2312" w:eastAsia="仿宋_GB2312" w:cs="仿宋_GB2312"/>
          <w:b/>
          <w:bCs/>
          <w:sz w:val="44"/>
          <w:szCs w:val="44"/>
        </w:rPr>
      </w:pPr>
    </w:p>
    <w:p>
      <w:pPr>
        <w:widowControl/>
        <w:spacing w:line="500" w:lineRule="exact"/>
        <w:ind w:firstLine="442" w:firstLineChars="100"/>
        <w:rPr>
          <w:rFonts w:ascii="仿宋_GB2312" w:eastAsia="仿宋_GB2312" w:cs="仿宋_GB2312"/>
          <w:b/>
          <w:bCs/>
          <w:sz w:val="44"/>
          <w:szCs w:val="44"/>
        </w:rPr>
      </w:pPr>
    </w:p>
    <w:p>
      <w:pPr>
        <w:widowControl/>
        <w:spacing w:line="500" w:lineRule="exact"/>
        <w:rPr>
          <w:rFonts w:ascii="仿宋_GB2312" w:eastAsia="仿宋_GB2312" w:cs="仿宋_GB2312"/>
          <w:b/>
          <w:bCs/>
          <w:sz w:val="44"/>
          <w:szCs w:val="44"/>
        </w:rPr>
      </w:pPr>
    </w:p>
    <w:p>
      <w:pPr>
        <w:widowControl/>
        <w:spacing w:line="500" w:lineRule="exact"/>
        <w:ind w:firstLine="883" w:firstLineChars="200"/>
        <w:rPr>
          <w:rFonts w:ascii="仿宋_GB2312" w:eastAsia="仿宋_GB2312" w:cs="仿宋_GB2312"/>
          <w:b/>
          <w:bCs/>
          <w:sz w:val="44"/>
          <w:szCs w:val="44"/>
        </w:rPr>
      </w:pPr>
      <w:r>
        <w:rPr>
          <w:rFonts w:hint="eastAsia" w:ascii="仿宋_GB2312" w:eastAsia="仿宋_GB2312" w:cs="仿宋_GB2312"/>
          <w:b/>
          <w:bCs/>
          <w:sz w:val="44"/>
          <w:szCs w:val="44"/>
        </w:rPr>
        <w:t>谭子山镇2022年度预算绩效自评</w:t>
      </w:r>
    </w:p>
    <w:p>
      <w:pPr>
        <w:widowControl/>
        <w:spacing w:line="500" w:lineRule="exact"/>
        <w:ind w:firstLine="3534" w:firstLineChars="800"/>
        <w:rPr>
          <w:rFonts w:ascii="仿宋_GB2312" w:eastAsia="仿宋_GB2312" w:cs="仿宋_GB2312"/>
          <w:b/>
          <w:bCs/>
          <w:sz w:val="44"/>
          <w:szCs w:val="44"/>
        </w:rPr>
      </w:pPr>
      <w:r>
        <w:rPr>
          <w:rFonts w:hint="eastAsia" w:ascii="仿宋_GB2312" w:eastAsia="仿宋_GB2312" w:cs="仿宋_GB2312"/>
          <w:b/>
          <w:bCs/>
          <w:sz w:val="44"/>
          <w:szCs w:val="44"/>
        </w:rPr>
        <w:t>报   告</w:t>
      </w:r>
    </w:p>
    <w:p>
      <w:pPr>
        <w:widowControl/>
        <w:spacing w:line="500" w:lineRule="exact"/>
        <w:ind w:firstLine="960" w:firstLineChars="300"/>
        <w:jc w:val="left"/>
        <w:rPr>
          <w:rFonts w:ascii="仿宋_GB2312" w:eastAsia="仿宋_GB2312" w:cs="仿宋_GB2312"/>
          <w:sz w:val="32"/>
          <w:szCs w:val="32"/>
        </w:rPr>
      </w:pPr>
    </w:p>
    <w:p>
      <w:pPr>
        <w:widowControl/>
        <w:spacing w:line="500" w:lineRule="exact"/>
        <w:ind w:firstLine="640" w:firstLineChars="200"/>
        <w:jc w:val="left"/>
        <w:rPr>
          <w:rFonts w:ascii="仿宋_GB2312" w:eastAsia="仿宋_GB2312" w:cs="仿宋_GB2312"/>
          <w:sz w:val="32"/>
          <w:szCs w:val="32"/>
        </w:rPr>
      </w:pPr>
      <w:r>
        <w:rPr>
          <w:rFonts w:ascii="仿宋_GB2312" w:eastAsia="仿宋_GB2312" w:cs="仿宋_GB2312"/>
          <w:sz w:val="32"/>
          <w:szCs w:val="32"/>
        </w:rPr>
        <w:t>为加强财政资金管理</w:t>
      </w:r>
      <w:r>
        <w:rPr>
          <w:rFonts w:hint="eastAsia" w:ascii="仿宋_GB2312" w:eastAsia="仿宋_GB2312" w:cs="仿宋_GB2312"/>
          <w:sz w:val="32"/>
          <w:szCs w:val="32"/>
        </w:rPr>
        <w:t>，强化支出责任，提高财政资金的使用效益，建立科学、合理的财政支出绩效评价管理体系，我单位于2022年4月，组织力量对本单位的部门预算整体支出进行了绩效评价，本次评价遵循了“科学规范、公正公开、分类管理、绩效相关”的原则，运用科学、合理的绩效评价方法，对本单位202</w:t>
      </w:r>
      <w:r>
        <w:rPr>
          <w:rFonts w:hint="eastAsia" w:ascii="仿宋_GB2312" w:eastAsia="仿宋_GB2312" w:cs="仿宋_GB2312"/>
          <w:sz w:val="32"/>
          <w:szCs w:val="32"/>
          <w:lang w:val="en-US" w:eastAsia="zh-CN"/>
        </w:rPr>
        <w:t>2</w:t>
      </w:r>
      <w:r>
        <w:rPr>
          <w:rFonts w:hint="eastAsia" w:ascii="仿宋_GB2312" w:eastAsia="仿宋_GB2312" w:cs="仿宋_GB2312"/>
          <w:sz w:val="32"/>
          <w:szCs w:val="32"/>
        </w:rPr>
        <w:t>度预算绩效情况进行客观、公正的评价。现将情况报告如下：</w:t>
      </w:r>
    </w:p>
    <w:p>
      <w:pPr>
        <w:widowControl/>
        <w:spacing w:line="500" w:lineRule="exact"/>
        <w:jc w:val="left"/>
        <w:rPr>
          <w:rFonts w:ascii="黑体" w:hAnsi="黑体" w:eastAsia="黑体" w:cs="黑体"/>
          <w:sz w:val="32"/>
          <w:szCs w:val="32"/>
        </w:rPr>
      </w:pPr>
      <w:r>
        <w:rPr>
          <w:rFonts w:hint="eastAsia" w:ascii="黑体" w:hAnsi="黑体" w:eastAsia="黑体" w:cs="黑体"/>
          <w:sz w:val="32"/>
          <w:szCs w:val="32"/>
        </w:rPr>
        <w:t>一、部门基本情况</w:t>
      </w:r>
    </w:p>
    <w:p>
      <w:pPr>
        <w:widowControl/>
        <w:spacing w:line="500" w:lineRule="exact"/>
        <w:ind w:firstLine="643" w:firstLineChars="200"/>
        <w:jc w:val="left"/>
        <w:rPr>
          <w:rFonts w:ascii="楷体" w:hAnsi="楷体" w:eastAsia="楷体" w:cs="楷体"/>
          <w:b/>
          <w:bCs/>
          <w:sz w:val="32"/>
          <w:szCs w:val="32"/>
        </w:rPr>
      </w:pPr>
      <w:r>
        <w:rPr>
          <w:rFonts w:hint="eastAsia" w:ascii="楷体" w:hAnsi="楷体" w:eastAsia="楷体" w:cs="楷体"/>
          <w:b/>
          <w:bCs/>
          <w:sz w:val="32"/>
          <w:szCs w:val="32"/>
        </w:rPr>
        <w:t>（一）部门职责</w:t>
      </w:r>
    </w:p>
    <w:p>
      <w:pPr>
        <w:pStyle w:val="5"/>
        <w:numPr>
          <w:ilvl w:val="0"/>
          <w:numId w:val="1"/>
        </w:numPr>
        <w:shd w:val="clear" w:color="auto" w:fill="FFFFFF"/>
        <w:ind w:firstLine="640" w:firstLineChars="200"/>
        <w:rPr>
          <w:rFonts w:ascii="仿宋_GB2312" w:eastAsia="仿宋_GB2312" w:cs="仿宋_GB2312"/>
          <w:sz w:val="32"/>
          <w:szCs w:val="32"/>
        </w:rPr>
      </w:pPr>
      <w:r>
        <w:rPr>
          <w:rFonts w:hint="eastAsia" w:ascii="仿宋_GB2312" w:eastAsia="仿宋_GB2312" w:cs="仿宋_GB2312"/>
          <w:sz w:val="32"/>
          <w:szCs w:val="32"/>
        </w:rPr>
        <w:t>负责宣传贯彻党的路线、方针、政策和国家法律法规，执行上级党委的决定和命令。</w:t>
      </w:r>
    </w:p>
    <w:p>
      <w:pPr>
        <w:pStyle w:val="5"/>
        <w:numPr>
          <w:ilvl w:val="0"/>
          <w:numId w:val="1"/>
        </w:numPr>
        <w:shd w:val="clear" w:color="auto" w:fill="FFFFFF"/>
        <w:ind w:firstLine="640" w:firstLineChars="200"/>
        <w:rPr>
          <w:rFonts w:ascii="仿宋_GB2312" w:eastAsia="仿宋_GB2312" w:cs="仿宋_GB2312"/>
          <w:sz w:val="32"/>
          <w:szCs w:val="32"/>
        </w:rPr>
      </w:pPr>
      <w:r>
        <w:rPr>
          <w:rFonts w:hint="eastAsia" w:ascii="仿宋_GB2312" w:eastAsia="仿宋_GB2312" w:cs="仿宋_GB2312"/>
          <w:sz w:val="32"/>
          <w:szCs w:val="32"/>
        </w:rPr>
        <w:t>负责对</w:t>
      </w:r>
      <w:r>
        <w:rPr>
          <w:rFonts w:hint="eastAsia" w:ascii="仿宋_GB2312" w:eastAsia="仿宋_GB2312"/>
          <w:sz w:val="32"/>
          <w:szCs w:val="32"/>
        </w:rPr>
        <w:t>谭子山</w:t>
      </w:r>
      <w:r>
        <w:rPr>
          <w:rFonts w:hint="eastAsia" w:ascii="仿宋_GB2312" w:eastAsia="仿宋_GB2312" w:cs="仿宋_GB2312"/>
          <w:sz w:val="32"/>
          <w:szCs w:val="32"/>
        </w:rPr>
        <w:t>镇实施政治、思想和方针政策的领导；负责乡镇的思想政治工作和精神文明建设。</w:t>
      </w:r>
    </w:p>
    <w:p>
      <w:pPr>
        <w:pStyle w:val="5"/>
        <w:numPr>
          <w:ilvl w:val="0"/>
          <w:numId w:val="1"/>
        </w:numPr>
        <w:shd w:val="clear" w:color="auto" w:fill="FFFFFF"/>
        <w:ind w:firstLine="640" w:firstLineChars="200"/>
        <w:rPr>
          <w:rFonts w:ascii="仿宋_GB2312" w:eastAsia="仿宋_GB2312" w:cs="仿宋_GB2312"/>
          <w:sz w:val="32"/>
          <w:szCs w:val="32"/>
        </w:rPr>
      </w:pPr>
      <w:r>
        <w:rPr>
          <w:rFonts w:hint="eastAsia" w:ascii="仿宋_GB2312" w:eastAsia="仿宋_GB2312" w:cs="仿宋_GB2312"/>
          <w:sz w:val="32"/>
          <w:szCs w:val="32"/>
        </w:rPr>
        <w:t>负责乡镇社会治安综合治理工作；负责乡镇党风廉政建设；负责乡镇干部工作；负责乡镇基层党组织和乡镇机关支部的建设；负责对乡镇工青妇群众组织的领导；负责乡镇党的统战工作；负责乡镇和机关党员教育管理工作；负责乡镇武装部工作。</w:t>
      </w:r>
    </w:p>
    <w:p>
      <w:pPr>
        <w:pStyle w:val="5"/>
        <w:numPr>
          <w:ilvl w:val="0"/>
          <w:numId w:val="1"/>
        </w:numPr>
        <w:shd w:val="clear" w:color="auto" w:fill="FFFFFF"/>
        <w:ind w:firstLine="640" w:firstLineChars="200"/>
        <w:rPr>
          <w:rFonts w:ascii="仿宋_GB2312" w:eastAsia="仿宋_GB2312" w:cs="仿宋_GB2312"/>
          <w:sz w:val="32"/>
          <w:szCs w:val="32"/>
        </w:rPr>
      </w:pPr>
      <w:r>
        <w:rPr>
          <w:rFonts w:hint="eastAsia" w:ascii="仿宋_GB2312" w:eastAsia="仿宋_GB2312" w:cs="仿宋_GB2312"/>
          <w:sz w:val="32"/>
          <w:szCs w:val="32"/>
        </w:rPr>
        <w:t xml:space="preserve">完成上级机关交办的其他工作任务。  </w:t>
      </w:r>
    </w:p>
    <w:p>
      <w:pPr>
        <w:widowControl/>
        <w:spacing w:line="500" w:lineRule="exact"/>
        <w:ind w:firstLine="643" w:firstLineChars="200"/>
        <w:jc w:val="left"/>
        <w:rPr>
          <w:rFonts w:ascii="楷体" w:hAnsi="楷体" w:eastAsia="楷体" w:cs="楷体"/>
          <w:b/>
          <w:bCs/>
          <w:sz w:val="32"/>
          <w:szCs w:val="32"/>
        </w:rPr>
      </w:pPr>
      <w:r>
        <w:rPr>
          <w:rFonts w:hint="eastAsia" w:ascii="楷体" w:hAnsi="楷体" w:eastAsia="楷体" w:cs="楷体"/>
          <w:b/>
          <w:bCs/>
          <w:sz w:val="32"/>
          <w:szCs w:val="32"/>
        </w:rPr>
        <w:t>（二）机构设置情况</w:t>
      </w:r>
    </w:p>
    <w:p>
      <w:pPr>
        <w:pStyle w:val="5"/>
        <w:shd w:val="clear" w:color="auto" w:fill="FFFFFF"/>
        <w:ind w:firstLine="640" w:firstLineChars="200"/>
        <w:rPr>
          <w:rFonts w:ascii="仿宋_GB2312" w:eastAsia="仿宋_GB2312" w:cs="仿宋_GB2312"/>
          <w:sz w:val="32"/>
          <w:szCs w:val="32"/>
        </w:rPr>
      </w:pPr>
      <w:r>
        <w:rPr>
          <w:rFonts w:hint="eastAsia" w:ascii="仿宋_GB2312" w:eastAsia="仿宋_GB2312"/>
          <w:sz w:val="32"/>
          <w:szCs w:val="32"/>
        </w:rPr>
        <w:t>谭子山</w:t>
      </w:r>
      <w:r>
        <w:rPr>
          <w:rFonts w:hint="eastAsia" w:ascii="仿宋_GB2312" w:eastAsia="仿宋_GB2312" w:cs="仿宋_GB2312"/>
          <w:sz w:val="32"/>
          <w:szCs w:val="32"/>
        </w:rPr>
        <w:t>镇人民政府机构设置含</w:t>
      </w:r>
      <w:r>
        <w:rPr>
          <w:rFonts w:hint="eastAsia" w:ascii="仿宋_GB2312" w:eastAsia="仿宋_GB2312"/>
          <w:sz w:val="32"/>
          <w:szCs w:val="32"/>
        </w:rPr>
        <w:t>谭子山</w:t>
      </w:r>
      <w:r>
        <w:rPr>
          <w:rFonts w:hint="eastAsia" w:ascii="仿宋_GB2312" w:eastAsia="仿宋_GB2312" w:cs="仿宋_GB2312"/>
          <w:sz w:val="32"/>
          <w:szCs w:val="32"/>
        </w:rPr>
        <w:t>镇人民政府本级及三中心一大队。</w:t>
      </w:r>
    </w:p>
    <w:p>
      <w:pPr>
        <w:pStyle w:val="5"/>
        <w:numPr>
          <w:ilvl w:val="0"/>
          <w:numId w:val="2"/>
        </w:numPr>
        <w:shd w:val="clear" w:color="auto" w:fill="FFFFFF"/>
        <w:ind w:firstLine="640" w:firstLineChars="200"/>
        <w:rPr>
          <w:rFonts w:ascii="仿宋_GB2312" w:eastAsia="仿宋_GB2312" w:cs="仿宋_GB2312"/>
          <w:sz w:val="32"/>
          <w:szCs w:val="32"/>
          <w:lang w:val="zh-CN"/>
        </w:rPr>
      </w:pPr>
      <w:r>
        <w:rPr>
          <w:rFonts w:hint="eastAsia" w:ascii="仿宋_GB2312" w:eastAsia="仿宋_GB2312" w:cs="仿宋_GB2312"/>
          <w:sz w:val="32"/>
          <w:szCs w:val="32"/>
        </w:rPr>
        <w:t>衡南县</w:t>
      </w:r>
      <w:r>
        <w:rPr>
          <w:rFonts w:hint="eastAsia" w:ascii="仿宋_GB2312" w:eastAsia="仿宋_GB2312"/>
          <w:sz w:val="32"/>
          <w:szCs w:val="32"/>
        </w:rPr>
        <w:t>谭子山</w:t>
      </w:r>
      <w:r>
        <w:rPr>
          <w:rFonts w:hint="eastAsia" w:ascii="仿宋_GB2312" w:eastAsia="仿宋_GB2312" w:cs="仿宋_GB2312"/>
          <w:sz w:val="32"/>
          <w:szCs w:val="32"/>
        </w:rPr>
        <w:t>镇人民政府机构性质为机关，负责</w:t>
      </w:r>
      <w:r>
        <w:rPr>
          <w:rFonts w:hint="eastAsia" w:ascii="仿宋_GB2312" w:eastAsia="仿宋_GB2312" w:cs="仿宋_GB2312"/>
          <w:sz w:val="32"/>
          <w:szCs w:val="32"/>
          <w:lang w:val="zh-CN"/>
        </w:rPr>
        <w:t>制定和组织实施经济、科技和社会发展计划，制定资源开发技术改造和产业结构调整方案，组织指导好各业生产，搞好商品流通，协调好本乡与外地区的经济交流与合作，抓好招商引资，人才引进项目开发，不断培育市场体系，组织经济运行，促进经济发展；制定并组织实施村镇建设规划，部署重点工程建设，地方道路建设及公共设施，水利设施的管理，负责土地、林木、水等自然资源和生态环境的保护，做好护林防火工作；负责本行政区域内的民政、计划生育、文化教育、卫生、体育等社会公益事业的综合性工作，维护一切经济单位和个人的正当经济权益，取缔非法经济活动，调解和处理民事纠纷，打击刑事犯罪维护社会稳定；按计划组织本级财政收入和地方税的征收，完成国家财政计划，不断培植税源，管好财政资金，增强财政实力；抓好精神文明建设，丰富群众文化生活，提倡移风易俗，反对封建迷信，破除陈规陋习，树立社会主义新风尚；完成上级政府交办的其它事项。</w:t>
      </w:r>
    </w:p>
    <w:p>
      <w:pPr>
        <w:pStyle w:val="5"/>
        <w:numPr>
          <w:ilvl w:val="0"/>
          <w:numId w:val="2"/>
        </w:numPr>
        <w:shd w:val="clear" w:color="auto" w:fill="FFFFFF"/>
        <w:ind w:firstLine="640" w:firstLineChars="200"/>
        <w:rPr>
          <w:rFonts w:ascii="仿宋_GB2312" w:eastAsia="仿宋_GB2312" w:cs="仿宋_GB2312"/>
          <w:sz w:val="32"/>
          <w:szCs w:val="32"/>
        </w:rPr>
      </w:pPr>
      <w:r>
        <w:rPr>
          <w:rFonts w:hint="eastAsia" w:ascii="仿宋_GB2312" w:eastAsia="仿宋_GB2312" w:cs="仿宋_GB2312"/>
          <w:sz w:val="32"/>
          <w:szCs w:val="32"/>
        </w:rPr>
        <w:t>衡南县</w:t>
      </w:r>
      <w:r>
        <w:rPr>
          <w:rFonts w:hint="eastAsia" w:ascii="仿宋_GB2312" w:eastAsia="仿宋_GB2312"/>
          <w:sz w:val="32"/>
          <w:szCs w:val="32"/>
        </w:rPr>
        <w:t>谭子山</w:t>
      </w:r>
      <w:r>
        <w:rPr>
          <w:rFonts w:hint="eastAsia" w:ascii="仿宋_GB2312" w:eastAsia="仿宋_GB2312" w:cs="仿宋_GB2312"/>
          <w:sz w:val="32"/>
          <w:szCs w:val="32"/>
        </w:rPr>
        <w:t>镇农业综合服务中心负责农业、农业机械、畜牧水产、林业、农村经营、水利、库区移民、烟叶生产、扶贫等公益性事务服务工作；负责培育、推进特色优势产业开发；组织农民培训，提高农民发展经济的技能，指导农民专业合作社建设、农业产业化经营等工作。</w:t>
      </w:r>
    </w:p>
    <w:p>
      <w:pPr>
        <w:pStyle w:val="5"/>
        <w:numPr>
          <w:ilvl w:val="0"/>
          <w:numId w:val="2"/>
        </w:numPr>
        <w:shd w:val="clear" w:color="auto" w:fill="FFFFFF"/>
        <w:ind w:firstLine="640" w:firstLineChars="200"/>
        <w:rPr>
          <w:rFonts w:ascii="仿宋_GB2312" w:eastAsia="仿宋_GB2312" w:cs="仿宋_GB2312"/>
          <w:sz w:val="32"/>
          <w:szCs w:val="32"/>
        </w:rPr>
      </w:pPr>
      <w:r>
        <w:rPr>
          <w:rFonts w:ascii="仿宋_GB2312" w:eastAsia="仿宋_GB2312" w:cs="仿宋_GB2312"/>
          <w:sz w:val="32"/>
          <w:szCs w:val="32"/>
        </w:rPr>
        <w:t>衡南县</w:t>
      </w:r>
      <w:r>
        <w:rPr>
          <w:rFonts w:hint="eastAsia" w:ascii="仿宋_GB2312" w:eastAsia="仿宋_GB2312"/>
          <w:sz w:val="32"/>
          <w:szCs w:val="32"/>
        </w:rPr>
        <w:t>谭子山</w:t>
      </w:r>
      <w:r>
        <w:rPr>
          <w:rFonts w:ascii="仿宋_GB2312" w:eastAsia="仿宋_GB2312" w:cs="仿宋_GB2312"/>
          <w:sz w:val="32"/>
          <w:szCs w:val="32"/>
        </w:rPr>
        <w:t>镇社会事业综合服务中心负责建设规划、国土资源、劳动就业、劳动争议、卫生健康、老龄、体育、文化、法律救援、残疾人、城乡居民基本养老、社会保障、医疗保障、工伤事业保障、最低生活保障、市场服务等公益性事务服务工作；负责重点项目招商引资等公益性事务服务工作，协调有关方面做好重点项目实施后的配套服务和政策落实工作</w:t>
      </w:r>
      <w:r>
        <w:rPr>
          <w:rFonts w:hint="eastAsia" w:ascii="仿宋_GB2312" w:eastAsia="仿宋_GB2312" w:cs="仿宋_GB2312"/>
          <w:sz w:val="32"/>
          <w:szCs w:val="32"/>
        </w:rPr>
        <w:t>。</w:t>
      </w:r>
    </w:p>
    <w:p>
      <w:pPr>
        <w:pStyle w:val="5"/>
        <w:numPr>
          <w:ilvl w:val="0"/>
          <w:numId w:val="2"/>
        </w:numPr>
        <w:shd w:val="clear" w:color="auto" w:fill="FFFFFF"/>
        <w:ind w:firstLine="640" w:firstLineChars="200"/>
        <w:rPr>
          <w:rFonts w:ascii="仿宋_GB2312" w:eastAsia="仿宋_GB2312" w:cs="仿宋_GB2312"/>
          <w:sz w:val="32"/>
          <w:szCs w:val="32"/>
        </w:rPr>
      </w:pPr>
      <w:r>
        <w:rPr>
          <w:rFonts w:ascii="仿宋_GB2312" w:eastAsia="仿宋_GB2312" w:cs="仿宋_GB2312"/>
          <w:sz w:val="32"/>
          <w:szCs w:val="32"/>
        </w:rPr>
        <w:t>衡南县</w:t>
      </w:r>
      <w:r>
        <w:rPr>
          <w:rFonts w:hint="eastAsia" w:ascii="仿宋_GB2312" w:eastAsia="仿宋_GB2312"/>
          <w:sz w:val="32"/>
          <w:szCs w:val="32"/>
        </w:rPr>
        <w:t>谭子山</w:t>
      </w:r>
      <w:r>
        <w:rPr>
          <w:rFonts w:ascii="仿宋_GB2312" w:eastAsia="仿宋_GB2312" w:cs="仿宋_GB2312"/>
          <w:sz w:val="32"/>
          <w:szCs w:val="32"/>
        </w:rPr>
        <w:t>镇退役军人服务站负责辖区内退役军人的关系转接、联络接待、困难帮扶、信息采集、情况反映等具体事务性工作</w:t>
      </w:r>
      <w:r>
        <w:rPr>
          <w:rFonts w:hint="eastAsia" w:ascii="仿宋_GB2312" w:eastAsia="仿宋_GB2312" w:cs="仿宋_GB2312"/>
          <w:sz w:val="32"/>
          <w:szCs w:val="32"/>
        </w:rPr>
        <w:t>。</w:t>
      </w:r>
    </w:p>
    <w:p>
      <w:pPr>
        <w:pStyle w:val="5"/>
        <w:numPr>
          <w:ilvl w:val="0"/>
          <w:numId w:val="2"/>
        </w:numPr>
        <w:shd w:val="clear" w:color="auto" w:fill="FFFFFF"/>
        <w:ind w:firstLine="640" w:firstLineChars="200"/>
        <w:rPr>
          <w:rFonts w:ascii="仿宋_GB2312" w:eastAsia="仿宋_GB2312" w:cs="仿宋_GB2312"/>
          <w:sz w:val="32"/>
          <w:szCs w:val="32"/>
        </w:rPr>
      </w:pPr>
      <w:r>
        <w:rPr>
          <w:rFonts w:ascii="仿宋_GB2312" w:eastAsia="仿宋_GB2312" w:cs="仿宋_GB2312"/>
          <w:sz w:val="32"/>
          <w:szCs w:val="32"/>
        </w:rPr>
        <w:t>衡南县</w:t>
      </w:r>
      <w:r>
        <w:rPr>
          <w:rFonts w:hint="eastAsia" w:ascii="仿宋_GB2312" w:eastAsia="仿宋_GB2312"/>
          <w:sz w:val="32"/>
          <w:szCs w:val="32"/>
        </w:rPr>
        <w:t>谭子山</w:t>
      </w:r>
      <w:r>
        <w:rPr>
          <w:rFonts w:ascii="仿宋_GB2312" w:eastAsia="仿宋_GB2312" w:cs="仿宋_GB2312"/>
          <w:sz w:val="32"/>
          <w:szCs w:val="32"/>
        </w:rPr>
        <w:t>镇政务服务中心负责乡镇政府及县直部门下放或委托的相关政务服务工作</w:t>
      </w:r>
      <w:r>
        <w:rPr>
          <w:rFonts w:hint="eastAsia" w:ascii="仿宋_GB2312" w:eastAsia="仿宋_GB2312" w:cs="仿宋_GB2312"/>
          <w:sz w:val="32"/>
          <w:szCs w:val="32"/>
        </w:rPr>
        <w:t>；负责网格化综合管理的事务性、辅助性服务工作，协调乡镇派驻机构设立服务窗口工作。</w:t>
      </w:r>
    </w:p>
    <w:p>
      <w:pPr>
        <w:pStyle w:val="5"/>
        <w:numPr>
          <w:ilvl w:val="0"/>
          <w:numId w:val="2"/>
        </w:numPr>
        <w:shd w:val="clear" w:color="auto" w:fill="FFFFFF"/>
        <w:ind w:firstLine="640" w:firstLineChars="200"/>
        <w:rPr>
          <w:rFonts w:ascii="仿宋_GB2312" w:eastAsia="仿宋_GB2312" w:cs="仿宋_GB2312"/>
          <w:sz w:val="32"/>
          <w:szCs w:val="32"/>
        </w:rPr>
      </w:pPr>
      <w:r>
        <w:rPr>
          <w:rFonts w:ascii="仿宋_GB2312" w:eastAsia="仿宋_GB2312" w:cs="仿宋_GB2312"/>
          <w:sz w:val="32"/>
          <w:szCs w:val="32"/>
        </w:rPr>
        <w:t>衡南县</w:t>
      </w:r>
      <w:r>
        <w:rPr>
          <w:rFonts w:hint="eastAsia" w:ascii="仿宋_GB2312" w:eastAsia="仿宋_GB2312"/>
          <w:sz w:val="32"/>
          <w:szCs w:val="32"/>
        </w:rPr>
        <w:t>谭子山</w:t>
      </w:r>
      <w:r>
        <w:rPr>
          <w:rFonts w:ascii="仿宋_GB2312" w:eastAsia="仿宋_GB2312" w:cs="仿宋_GB2312"/>
          <w:sz w:val="32"/>
          <w:szCs w:val="32"/>
        </w:rPr>
        <w:t>镇综合行政执法大队负责综合行政执法类工作</w:t>
      </w:r>
      <w:r>
        <w:rPr>
          <w:rFonts w:hint="eastAsia" w:ascii="仿宋_GB2312" w:eastAsia="仿宋_GB2312" w:cs="仿宋_GB2312"/>
          <w:sz w:val="32"/>
          <w:szCs w:val="32"/>
        </w:rPr>
        <w:t>。</w:t>
      </w:r>
    </w:p>
    <w:p>
      <w:pPr>
        <w:widowControl/>
        <w:spacing w:line="500" w:lineRule="exact"/>
        <w:ind w:firstLine="643" w:firstLineChars="200"/>
        <w:jc w:val="left"/>
        <w:rPr>
          <w:rFonts w:ascii="楷体" w:hAnsi="楷体" w:eastAsia="楷体" w:cs="楷体"/>
          <w:b/>
          <w:bCs/>
          <w:sz w:val="32"/>
          <w:szCs w:val="32"/>
        </w:rPr>
      </w:pPr>
      <w:r>
        <w:rPr>
          <w:rFonts w:hint="eastAsia" w:ascii="楷体" w:hAnsi="楷体" w:eastAsia="楷体" w:cs="楷体"/>
          <w:b/>
          <w:bCs/>
          <w:sz w:val="32"/>
          <w:szCs w:val="32"/>
        </w:rPr>
        <w:t>（三）人员编制情况</w:t>
      </w:r>
    </w:p>
    <w:p>
      <w:pPr>
        <w:pStyle w:val="5"/>
        <w:shd w:val="clear" w:color="auto" w:fill="FFFFFF"/>
        <w:ind w:firstLine="640" w:firstLineChars="200"/>
        <w:rPr>
          <w:rFonts w:ascii="仿宋_GB2312" w:eastAsia="仿宋_GB2312" w:cs="仿宋_GB2312"/>
          <w:sz w:val="32"/>
          <w:szCs w:val="32"/>
        </w:rPr>
      </w:pPr>
      <w:r>
        <w:rPr>
          <w:rFonts w:hint="eastAsia" w:ascii="仿宋_GB2312" w:eastAsia="仿宋_GB2312"/>
          <w:sz w:val="32"/>
          <w:szCs w:val="32"/>
        </w:rPr>
        <w:t>谭子山</w:t>
      </w:r>
      <w:r>
        <w:rPr>
          <w:rFonts w:hint="eastAsia" w:ascii="仿宋_GB2312" w:eastAsia="仿宋_GB2312" w:cs="仿宋_GB2312"/>
          <w:sz w:val="32"/>
          <w:szCs w:val="32"/>
        </w:rPr>
        <w:t>镇人民政府在职人员编制94人，其中</w:t>
      </w:r>
      <w:r>
        <w:rPr>
          <w:rFonts w:hint="eastAsia" w:ascii="仿宋_GB2312" w:eastAsia="仿宋_GB2312"/>
          <w:sz w:val="32"/>
          <w:szCs w:val="32"/>
        </w:rPr>
        <w:t>谭子山</w:t>
      </w:r>
      <w:r>
        <w:rPr>
          <w:rFonts w:hint="eastAsia" w:ascii="仿宋_GB2312" w:eastAsia="仿宋_GB2312" w:cs="仿宋_GB2312"/>
          <w:sz w:val="32"/>
          <w:szCs w:val="32"/>
        </w:rPr>
        <w:t>镇人民政府机关本级在职人员编制36人，三中心一大队在职人员编制58人。</w:t>
      </w:r>
    </w:p>
    <w:p>
      <w:pPr>
        <w:spacing w:line="360" w:lineRule="auto"/>
        <w:rPr>
          <w:rFonts w:ascii="楷体" w:hAnsi="楷体" w:eastAsia="楷体" w:cs="楷体"/>
          <w:b/>
          <w:bCs/>
          <w:sz w:val="32"/>
          <w:szCs w:val="32"/>
        </w:rPr>
      </w:pPr>
      <w:r>
        <w:rPr>
          <w:rFonts w:hint="eastAsia" w:ascii="黑体" w:hAnsi="黑体" w:eastAsia="黑体" w:cs="黑体"/>
          <w:b/>
          <w:bCs/>
          <w:sz w:val="32"/>
          <w:szCs w:val="32"/>
        </w:rPr>
        <w:t>二、部门整体支出管理及使用情况</w:t>
      </w:r>
    </w:p>
    <w:p>
      <w:pPr>
        <w:widowControl/>
        <w:spacing w:line="500" w:lineRule="exact"/>
        <w:ind w:firstLine="321" w:firstLineChars="100"/>
        <w:jc w:val="left"/>
        <w:rPr>
          <w:rFonts w:ascii="楷体" w:hAnsi="楷体" w:eastAsia="楷体" w:cs="楷体"/>
          <w:b/>
          <w:bCs/>
          <w:sz w:val="32"/>
          <w:szCs w:val="32"/>
        </w:rPr>
      </w:pPr>
      <w:r>
        <w:rPr>
          <w:rFonts w:hint="eastAsia" w:ascii="楷体" w:hAnsi="楷体" w:eastAsia="楷体" w:cs="楷体"/>
          <w:b/>
          <w:bCs/>
          <w:sz w:val="32"/>
          <w:szCs w:val="32"/>
        </w:rPr>
        <w:t>（一）部门预算收支情况</w:t>
      </w:r>
    </w:p>
    <w:p>
      <w:pPr>
        <w:pStyle w:val="4"/>
        <w:spacing w:line="360" w:lineRule="auto"/>
        <w:ind w:firstLine="640" w:firstLineChars="200"/>
        <w:rPr>
          <w:rFonts w:ascii="仿宋_GB2312" w:eastAsia="仿宋_GB2312" w:cs="仿宋_GB2312"/>
          <w:sz w:val="32"/>
          <w:szCs w:val="32"/>
        </w:rPr>
      </w:pPr>
      <w:r>
        <w:rPr>
          <w:rFonts w:hint="eastAsia" w:ascii="仿宋_GB2312" w:eastAsia="仿宋_GB2312" w:cs="仿宋_GB2312"/>
          <w:sz w:val="32"/>
          <w:szCs w:val="32"/>
        </w:rPr>
        <w:t>2022年年初一般公共财政预算收入1503.49万元，其中：工资福利支出898.6万元，一般商品和服务支出41万元，对个人和家庭的补助27.38万元，专项经费536.51万元。</w:t>
      </w:r>
    </w:p>
    <w:p>
      <w:pPr>
        <w:widowControl/>
        <w:spacing w:line="560" w:lineRule="exact"/>
        <w:ind w:firstLine="643" w:firstLineChars="200"/>
        <w:jc w:val="left"/>
        <w:rPr>
          <w:rFonts w:ascii="楷体" w:hAnsi="楷体" w:eastAsia="楷体" w:cs="楷体"/>
          <w:b/>
          <w:bCs/>
          <w:sz w:val="32"/>
          <w:szCs w:val="32"/>
        </w:rPr>
      </w:pPr>
      <w:r>
        <w:rPr>
          <w:rFonts w:hint="eastAsia" w:ascii="楷体" w:hAnsi="楷体" w:eastAsia="楷体" w:cs="楷体"/>
          <w:b/>
          <w:bCs/>
          <w:sz w:val="32"/>
          <w:szCs w:val="32"/>
        </w:rPr>
        <w:t>（二）部门决算收支情况</w:t>
      </w:r>
    </w:p>
    <w:p>
      <w:pPr>
        <w:pStyle w:val="2"/>
        <w:keepNext w:val="0"/>
        <w:keepLines w:val="0"/>
        <w:pageBreakBefore w:val="0"/>
        <w:widowControl w:val="0"/>
        <w:kinsoku/>
        <w:wordWrap/>
        <w:overflowPunct/>
        <w:topLinePunct w:val="0"/>
        <w:autoSpaceDE/>
        <w:autoSpaceDN/>
        <w:bidi w:val="0"/>
        <w:adjustRightInd/>
        <w:snapToGrid/>
        <w:ind w:left="0" w:leftChars="0" w:firstLine="600" w:firstLineChars="200"/>
        <w:textAlignment w:val="auto"/>
        <w:rPr>
          <w:rFonts w:ascii="仿宋" w:hAnsi="仿宋" w:eastAsia="仿宋" w:cs="仿宋"/>
          <w:sz w:val="32"/>
          <w:szCs w:val="32"/>
        </w:rPr>
      </w:pPr>
      <w:r>
        <w:rPr>
          <w:rFonts w:hint="eastAsia" w:ascii="宋体" w:cs="仿宋_GB2312"/>
          <w:sz w:val="30"/>
          <w:szCs w:val="30"/>
        </w:rPr>
        <w:t>2022年决算收入4583.83万元，其中政府性基金预算财政拨款收入100.48万元。</w:t>
      </w:r>
      <w:r>
        <w:rPr>
          <w:rFonts w:hint="eastAsia" w:ascii="仿宋" w:hAnsi="仿宋" w:eastAsia="仿宋" w:cs="仿宋"/>
          <w:sz w:val="32"/>
          <w:szCs w:val="32"/>
        </w:rPr>
        <w:t>按支出性质分类：</w:t>
      </w:r>
      <w:r>
        <w:rPr>
          <w:rFonts w:hint="eastAsia" w:ascii="宋体" w:cs="仿宋_GB2312"/>
          <w:sz w:val="30"/>
          <w:szCs w:val="30"/>
        </w:rPr>
        <w:t>基本支出</w:t>
      </w:r>
      <w:r>
        <w:rPr>
          <w:rFonts w:hint="eastAsia" w:ascii="宋体" w:cs="仿宋_GB2312"/>
          <w:sz w:val="30"/>
          <w:szCs w:val="30"/>
          <w:lang w:val="en-US" w:eastAsia="zh-CN"/>
        </w:rPr>
        <w:t>979.59</w:t>
      </w:r>
      <w:r>
        <w:rPr>
          <w:rFonts w:hint="eastAsia" w:ascii="仿宋" w:hAnsi="仿宋" w:eastAsia="仿宋" w:cs="仿宋"/>
          <w:color w:val="000000"/>
          <w:sz w:val="32"/>
          <w:szCs w:val="32"/>
        </w:rPr>
        <w:t>万元（其中，</w:t>
      </w:r>
      <w:r>
        <w:rPr>
          <w:rFonts w:hint="eastAsia" w:ascii="仿宋" w:hAnsi="仿宋" w:eastAsia="仿宋" w:cs="仿宋"/>
          <w:color w:val="000000"/>
          <w:kern w:val="0"/>
          <w:sz w:val="32"/>
          <w:szCs w:val="32"/>
        </w:rPr>
        <w:t>人员经费：931.49</w:t>
      </w:r>
      <w:r>
        <w:rPr>
          <w:rFonts w:hint="eastAsia" w:ascii="仿宋" w:hAnsi="仿宋" w:eastAsia="仿宋" w:cs="仿宋"/>
          <w:color w:val="000000"/>
          <w:sz w:val="32"/>
          <w:szCs w:val="32"/>
        </w:rPr>
        <w:t>万元；</w:t>
      </w:r>
      <w:r>
        <w:rPr>
          <w:rFonts w:hint="eastAsia" w:ascii="仿宋" w:hAnsi="仿宋" w:eastAsia="仿宋" w:cs="仿宋"/>
          <w:color w:val="000000"/>
          <w:kern w:val="0"/>
          <w:sz w:val="32"/>
          <w:szCs w:val="32"/>
        </w:rPr>
        <w:t>公用经费：</w:t>
      </w:r>
      <w:r>
        <w:rPr>
          <w:rFonts w:hint="eastAsia" w:ascii="仿宋" w:hAnsi="仿宋" w:eastAsia="仿宋" w:cs="仿宋"/>
          <w:color w:val="000000"/>
          <w:kern w:val="0"/>
          <w:sz w:val="32"/>
          <w:szCs w:val="32"/>
          <w:lang w:val="en-US" w:eastAsia="zh-CN"/>
        </w:rPr>
        <w:t>48.09</w:t>
      </w:r>
      <w:r>
        <w:rPr>
          <w:rFonts w:hint="eastAsia" w:ascii="仿宋" w:hAnsi="仿宋" w:eastAsia="仿宋" w:cs="仿宋"/>
          <w:color w:val="000000"/>
          <w:sz w:val="32"/>
          <w:szCs w:val="32"/>
        </w:rPr>
        <w:t>万元）；项目支出：3604.24万元（</w:t>
      </w:r>
      <w:r>
        <w:rPr>
          <w:rFonts w:hint="eastAsia" w:ascii="仿宋" w:hAnsi="仿宋" w:eastAsia="仿宋" w:cs="仿宋"/>
          <w:sz w:val="32"/>
          <w:szCs w:val="32"/>
        </w:rPr>
        <w:t>其中，一般公共服务支出</w:t>
      </w:r>
      <w:r>
        <w:rPr>
          <w:rFonts w:hint="eastAsia" w:ascii="仿宋" w:hAnsi="仿宋" w:eastAsia="仿宋" w:cs="仿宋"/>
          <w:sz w:val="32"/>
          <w:szCs w:val="32"/>
          <w:lang w:val="en-US" w:eastAsia="zh-CN"/>
        </w:rPr>
        <w:t>1362.33</w:t>
      </w:r>
      <w:r>
        <w:rPr>
          <w:rFonts w:hint="eastAsia" w:ascii="仿宋" w:hAnsi="仿宋" w:eastAsia="仿宋" w:cs="仿宋"/>
          <w:sz w:val="32"/>
          <w:szCs w:val="32"/>
        </w:rPr>
        <w:t>万元，社会保障和就业支出</w:t>
      </w:r>
      <w:r>
        <w:rPr>
          <w:rFonts w:hint="eastAsia" w:ascii="仿宋" w:hAnsi="仿宋" w:eastAsia="仿宋" w:cs="仿宋"/>
          <w:sz w:val="32"/>
          <w:szCs w:val="32"/>
          <w:lang w:val="en-US" w:eastAsia="zh-CN"/>
        </w:rPr>
        <w:t>134.7</w:t>
      </w:r>
      <w:r>
        <w:rPr>
          <w:rFonts w:hint="eastAsia" w:ascii="仿宋" w:hAnsi="仿宋" w:eastAsia="仿宋" w:cs="仿宋"/>
          <w:sz w:val="32"/>
          <w:szCs w:val="32"/>
        </w:rPr>
        <w:t>万元，城乡社区支出</w:t>
      </w:r>
      <w:r>
        <w:rPr>
          <w:rFonts w:hint="eastAsia" w:ascii="仿宋" w:hAnsi="仿宋" w:eastAsia="仿宋" w:cs="仿宋"/>
          <w:sz w:val="32"/>
          <w:szCs w:val="32"/>
          <w:lang w:val="en-US" w:eastAsia="zh-CN"/>
        </w:rPr>
        <w:t>8</w:t>
      </w:r>
      <w:r>
        <w:rPr>
          <w:rFonts w:hint="eastAsia" w:ascii="仿宋" w:hAnsi="仿宋" w:eastAsia="仿宋" w:cs="仿宋"/>
          <w:sz w:val="32"/>
          <w:szCs w:val="32"/>
        </w:rPr>
        <w:t>万元，农林水支出</w:t>
      </w:r>
      <w:r>
        <w:rPr>
          <w:rFonts w:hint="eastAsia" w:ascii="仿宋" w:hAnsi="仿宋" w:eastAsia="仿宋" w:cs="仿宋"/>
          <w:sz w:val="32"/>
          <w:szCs w:val="32"/>
          <w:lang w:val="en-US" w:eastAsia="zh-CN"/>
        </w:rPr>
        <w:t>565.77</w:t>
      </w:r>
      <w:r>
        <w:rPr>
          <w:rFonts w:hint="eastAsia" w:ascii="仿宋" w:hAnsi="仿宋" w:eastAsia="仿宋" w:cs="仿宋"/>
          <w:sz w:val="32"/>
          <w:szCs w:val="32"/>
        </w:rPr>
        <w:t>万元）。</w:t>
      </w:r>
    </w:p>
    <w:p>
      <w:pPr>
        <w:pStyle w:val="4"/>
        <w:numPr>
          <w:ilvl w:val="0"/>
          <w:numId w:val="3"/>
        </w:numPr>
        <w:spacing w:line="360" w:lineRule="auto"/>
        <w:ind w:firstLine="641"/>
        <w:rPr>
          <w:rFonts w:ascii="楷体" w:hAnsi="楷体" w:eastAsia="楷体" w:cs="楷体"/>
          <w:b/>
          <w:bCs/>
          <w:sz w:val="32"/>
          <w:szCs w:val="32"/>
        </w:rPr>
      </w:pPr>
      <w:r>
        <w:rPr>
          <w:rFonts w:hint="eastAsia" w:ascii="楷体" w:hAnsi="楷体" w:eastAsia="楷体" w:cs="楷体"/>
          <w:b/>
          <w:bCs/>
          <w:sz w:val="32"/>
          <w:szCs w:val="32"/>
        </w:rPr>
        <w:t>支出分类情况</w:t>
      </w:r>
    </w:p>
    <w:p>
      <w:pPr>
        <w:pStyle w:val="4"/>
        <w:spacing w:line="360" w:lineRule="auto"/>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本单位年初预算1503.49万元。决算</w:t>
      </w:r>
      <w:r>
        <w:rPr>
          <w:rFonts w:hint="eastAsia" w:ascii="宋体" w:cs="仿宋_GB2312"/>
          <w:sz w:val="30"/>
          <w:szCs w:val="30"/>
        </w:rPr>
        <w:t>4583.83</w:t>
      </w:r>
      <w:r>
        <w:rPr>
          <w:rFonts w:hint="eastAsia" w:ascii="仿宋" w:hAnsi="仿宋" w:eastAsia="仿宋" w:cs="仿宋"/>
          <w:color w:val="000000"/>
          <w:sz w:val="32"/>
          <w:szCs w:val="32"/>
        </w:rPr>
        <w:t>万元。其中：</w:t>
      </w:r>
    </w:p>
    <w:p>
      <w:pPr>
        <w:pStyle w:val="4"/>
        <w:numPr>
          <w:ilvl w:val="0"/>
          <w:numId w:val="4"/>
        </w:numPr>
        <w:spacing w:line="360" w:lineRule="auto"/>
        <w:ind w:left="-10" w:leftChars="0" w:firstLine="640" w:firstLineChars="0"/>
        <w:rPr>
          <w:rFonts w:ascii="宋体" w:cs="仿宋_GB2312"/>
          <w:sz w:val="30"/>
          <w:szCs w:val="30"/>
        </w:rPr>
      </w:pPr>
      <w:r>
        <w:rPr>
          <w:rFonts w:hint="eastAsia" w:ascii="仿宋" w:hAnsi="仿宋" w:eastAsia="仿宋" w:cs="仿宋"/>
          <w:color w:val="000000"/>
          <w:kern w:val="0"/>
          <w:sz w:val="32"/>
          <w:szCs w:val="32"/>
        </w:rPr>
        <w:t>一般公共服务支出年初预算865.74万元，支出决算3698.90</w:t>
      </w:r>
      <w:r>
        <w:rPr>
          <w:rFonts w:hint="eastAsia" w:ascii="宋体" w:hAnsi="宋体" w:cs="宋体"/>
          <w:color w:val="000000"/>
          <w:kern w:val="0"/>
          <w:sz w:val="30"/>
          <w:szCs w:val="30"/>
        </w:rPr>
        <w:t>万元，</w:t>
      </w:r>
      <w:r>
        <w:rPr>
          <w:rFonts w:hint="eastAsia" w:ascii="宋体" w:cs="仿宋_GB2312"/>
          <w:sz w:val="30"/>
          <w:szCs w:val="30"/>
        </w:rPr>
        <w:t>决算数大于年初预算数的主要原因是：人员异动及政策性调整。</w:t>
      </w:r>
    </w:p>
    <w:p>
      <w:pPr>
        <w:pStyle w:val="4"/>
        <w:numPr>
          <w:ilvl w:val="0"/>
          <w:numId w:val="4"/>
        </w:numPr>
        <w:spacing w:line="360" w:lineRule="auto"/>
        <w:ind w:left="-10" w:leftChars="0" w:firstLine="640" w:firstLineChars="0"/>
        <w:rPr>
          <w:rFonts w:ascii="宋体" w:cs="仿宋_GB2312"/>
          <w:sz w:val="30"/>
          <w:szCs w:val="30"/>
        </w:rPr>
      </w:pPr>
      <w:r>
        <w:rPr>
          <w:rFonts w:hint="eastAsia" w:ascii="仿宋" w:hAnsi="仿宋" w:eastAsia="仿宋" w:cs="仿宋"/>
          <w:color w:val="000000"/>
          <w:kern w:val="0"/>
          <w:sz w:val="32"/>
          <w:szCs w:val="32"/>
        </w:rPr>
        <w:t>社会保障和就业支出年初预算162.54</w:t>
      </w:r>
      <w:r>
        <w:rPr>
          <w:rFonts w:hint="eastAsia" w:ascii="仿宋" w:hAnsi="仿宋" w:eastAsia="仿宋" w:cs="仿宋"/>
          <w:color w:val="000000"/>
          <w:sz w:val="32"/>
          <w:szCs w:val="32"/>
        </w:rPr>
        <w:t>万元，支出决算</w:t>
      </w:r>
      <w:r>
        <w:rPr>
          <w:rFonts w:hint="eastAsia" w:ascii="宋体" w:hAnsi="宋体" w:cs="宋体"/>
          <w:color w:val="000000"/>
          <w:kern w:val="0"/>
          <w:sz w:val="30"/>
          <w:szCs w:val="30"/>
        </w:rPr>
        <w:t>13</w:t>
      </w:r>
      <w:r>
        <w:rPr>
          <w:rFonts w:hint="eastAsia" w:ascii="宋体" w:hAnsi="宋体" w:cs="宋体"/>
          <w:color w:val="000000"/>
          <w:kern w:val="0"/>
          <w:sz w:val="30"/>
          <w:szCs w:val="30"/>
          <w:lang w:val="en-US" w:eastAsia="zh-CN"/>
        </w:rPr>
        <w:t>4.7</w:t>
      </w:r>
      <w:r>
        <w:rPr>
          <w:rFonts w:hint="eastAsia" w:ascii="宋体" w:hAnsi="宋体" w:cs="宋体"/>
          <w:color w:val="000000"/>
          <w:kern w:val="0"/>
          <w:sz w:val="30"/>
          <w:szCs w:val="30"/>
        </w:rPr>
        <w:t>万元，</w:t>
      </w:r>
      <w:r>
        <w:rPr>
          <w:rFonts w:hint="eastAsia" w:ascii="宋体" w:cs="仿宋_GB2312"/>
          <w:sz w:val="30"/>
          <w:szCs w:val="30"/>
        </w:rPr>
        <w:t>决算数小于年初预算数的主要原因是：政策性调整及财政拨款。</w:t>
      </w:r>
    </w:p>
    <w:p>
      <w:pPr>
        <w:pStyle w:val="4"/>
        <w:numPr>
          <w:ilvl w:val="0"/>
          <w:numId w:val="4"/>
        </w:numPr>
        <w:spacing w:line="360" w:lineRule="auto"/>
        <w:ind w:left="-10" w:leftChars="0" w:firstLine="640" w:firstLineChars="0"/>
        <w:rPr>
          <w:rFonts w:ascii="宋体" w:cs="仿宋_GB2312"/>
          <w:sz w:val="30"/>
          <w:szCs w:val="30"/>
        </w:rPr>
      </w:pPr>
      <w:r>
        <w:rPr>
          <w:rFonts w:hint="eastAsia" w:ascii="仿宋" w:hAnsi="仿宋" w:eastAsia="仿宋" w:cs="仿宋"/>
          <w:color w:val="000000"/>
          <w:kern w:val="0"/>
          <w:sz w:val="32"/>
          <w:szCs w:val="32"/>
        </w:rPr>
        <w:t>卫生健康支出年初预算</w:t>
      </w:r>
      <w:r>
        <w:rPr>
          <w:rFonts w:hint="eastAsia" w:ascii="仿宋" w:hAnsi="仿宋" w:eastAsia="仿宋" w:cs="仿宋"/>
          <w:color w:val="000000"/>
          <w:sz w:val="32"/>
          <w:szCs w:val="32"/>
          <w:lang w:val="en-US" w:eastAsia="zh-CN"/>
        </w:rPr>
        <w:t>32.31</w:t>
      </w:r>
      <w:r>
        <w:rPr>
          <w:rFonts w:hint="eastAsia" w:ascii="仿宋" w:hAnsi="仿宋" w:eastAsia="仿宋" w:cs="仿宋"/>
          <w:color w:val="000000"/>
          <w:sz w:val="32"/>
          <w:szCs w:val="32"/>
        </w:rPr>
        <w:t>万元，</w:t>
      </w:r>
      <w:r>
        <w:rPr>
          <w:rFonts w:hint="eastAsia" w:ascii="仿宋" w:hAnsi="仿宋" w:eastAsia="仿宋" w:cs="仿宋"/>
          <w:color w:val="000000"/>
          <w:kern w:val="0"/>
          <w:sz w:val="32"/>
          <w:szCs w:val="32"/>
        </w:rPr>
        <w:t>支出决算</w:t>
      </w:r>
      <w:r>
        <w:rPr>
          <w:rFonts w:hint="eastAsia" w:ascii="宋体" w:hAnsi="宋体" w:cs="宋体"/>
          <w:color w:val="000000"/>
          <w:kern w:val="0"/>
          <w:sz w:val="30"/>
          <w:szCs w:val="30"/>
        </w:rPr>
        <w:t>3</w:t>
      </w:r>
      <w:r>
        <w:rPr>
          <w:rFonts w:hint="eastAsia" w:ascii="宋体" w:hAnsi="宋体" w:cs="宋体"/>
          <w:color w:val="000000"/>
          <w:kern w:val="0"/>
          <w:sz w:val="30"/>
          <w:szCs w:val="30"/>
          <w:lang w:val="en-US" w:eastAsia="zh-CN"/>
        </w:rPr>
        <w:t>3</w:t>
      </w:r>
      <w:r>
        <w:rPr>
          <w:rFonts w:hint="eastAsia" w:ascii="宋体" w:hAnsi="宋体" w:cs="宋体"/>
          <w:color w:val="000000"/>
          <w:kern w:val="0"/>
          <w:sz w:val="30"/>
          <w:szCs w:val="30"/>
        </w:rPr>
        <w:t>.1</w:t>
      </w:r>
      <w:r>
        <w:rPr>
          <w:rFonts w:hint="eastAsia" w:ascii="宋体" w:hAnsi="宋体" w:cs="宋体"/>
          <w:color w:val="000000"/>
          <w:kern w:val="0"/>
          <w:sz w:val="30"/>
          <w:szCs w:val="30"/>
          <w:lang w:val="en-US" w:eastAsia="zh-CN"/>
        </w:rPr>
        <w:t>1</w:t>
      </w:r>
      <w:r>
        <w:rPr>
          <w:rFonts w:hint="eastAsia" w:ascii="宋体" w:hAnsi="宋体" w:cs="宋体"/>
          <w:color w:val="000000"/>
          <w:kern w:val="0"/>
          <w:sz w:val="30"/>
          <w:szCs w:val="30"/>
        </w:rPr>
        <w:t>万元</w:t>
      </w:r>
      <w:r>
        <w:rPr>
          <w:rFonts w:hint="eastAsia" w:ascii="宋体" w:hAnsi="宋体" w:cs="宋体"/>
          <w:color w:val="000000"/>
          <w:kern w:val="0"/>
          <w:sz w:val="30"/>
          <w:szCs w:val="30"/>
          <w:lang w:eastAsia="zh-CN"/>
        </w:rPr>
        <w:t>，</w:t>
      </w:r>
      <w:r>
        <w:rPr>
          <w:rFonts w:hint="eastAsia" w:ascii="宋体" w:cs="仿宋_GB2312"/>
          <w:sz w:val="30"/>
          <w:szCs w:val="30"/>
        </w:rPr>
        <w:t>决算数小于年初预算数的主要原因是：跨年度支付保险</w:t>
      </w:r>
      <w:r>
        <w:rPr>
          <w:rFonts w:hint="eastAsia" w:ascii="宋体" w:hAnsi="宋体" w:cs="宋体"/>
          <w:color w:val="000000"/>
          <w:kern w:val="0"/>
          <w:sz w:val="30"/>
          <w:szCs w:val="30"/>
        </w:rPr>
        <w:t>。</w:t>
      </w:r>
    </w:p>
    <w:p>
      <w:pPr>
        <w:pStyle w:val="4"/>
        <w:numPr>
          <w:ilvl w:val="0"/>
          <w:numId w:val="4"/>
        </w:numPr>
        <w:spacing w:line="360" w:lineRule="auto"/>
        <w:ind w:left="-10" w:leftChars="0" w:firstLine="640" w:firstLineChars="0"/>
        <w:rPr>
          <w:rFonts w:ascii="宋体" w:cs="仿宋_GB2312"/>
          <w:sz w:val="30"/>
          <w:szCs w:val="30"/>
        </w:rPr>
      </w:pPr>
      <w:r>
        <w:rPr>
          <w:rFonts w:hint="eastAsia" w:ascii="仿宋" w:hAnsi="仿宋" w:eastAsia="仿宋" w:cs="仿宋"/>
          <w:color w:val="000000"/>
          <w:kern w:val="0"/>
          <w:sz w:val="32"/>
          <w:szCs w:val="32"/>
        </w:rPr>
        <w:t>农林水支出年初预算</w:t>
      </w:r>
      <w:r>
        <w:rPr>
          <w:rFonts w:hint="eastAsia" w:ascii="仿宋" w:hAnsi="仿宋" w:eastAsia="仿宋" w:cs="仿宋"/>
          <w:color w:val="000000"/>
          <w:sz w:val="32"/>
          <w:szCs w:val="32"/>
        </w:rPr>
        <w:t>411.11万元，支出决算565.7</w:t>
      </w:r>
      <w:r>
        <w:rPr>
          <w:rFonts w:hint="eastAsia" w:ascii="仿宋" w:hAnsi="仿宋" w:eastAsia="仿宋" w:cs="仿宋"/>
          <w:color w:val="000000"/>
          <w:sz w:val="32"/>
          <w:szCs w:val="32"/>
          <w:lang w:val="en-US" w:eastAsia="zh-CN"/>
        </w:rPr>
        <w:t>7</w:t>
      </w:r>
      <w:r>
        <w:rPr>
          <w:rFonts w:hint="eastAsia" w:ascii="仿宋" w:hAnsi="仿宋" w:eastAsia="仿宋" w:cs="仿宋"/>
          <w:color w:val="000000"/>
          <w:sz w:val="30"/>
          <w:szCs w:val="30"/>
        </w:rPr>
        <w:t>万元，</w:t>
      </w:r>
      <w:r>
        <w:rPr>
          <w:rFonts w:hint="eastAsia" w:ascii="宋体" w:cs="仿宋_GB2312"/>
          <w:sz w:val="30"/>
          <w:szCs w:val="30"/>
        </w:rPr>
        <w:t>决算数大于年初预算数的主要原因是：跨年度结算村级转移支付。</w:t>
      </w:r>
    </w:p>
    <w:p>
      <w:pPr>
        <w:pStyle w:val="4"/>
        <w:numPr>
          <w:ilvl w:val="0"/>
          <w:numId w:val="4"/>
        </w:numPr>
        <w:spacing w:line="360" w:lineRule="auto"/>
        <w:ind w:left="-10" w:leftChars="0" w:firstLine="640" w:firstLineChars="0"/>
        <w:rPr>
          <w:rFonts w:ascii="仿宋" w:hAnsi="仿宋" w:eastAsia="仿宋" w:cs="仿宋"/>
          <w:color w:val="000000"/>
          <w:kern w:val="0"/>
          <w:sz w:val="32"/>
          <w:szCs w:val="32"/>
        </w:rPr>
      </w:pPr>
      <w:r>
        <w:rPr>
          <w:rFonts w:hint="eastAsia" w:ascii="仿宋" w:hAnsi="仿宋" w:eastAsia="仿宋" w:cs="仿宋"/>
          <w:color w:val="000000"/>
          <w:kern w:val="0"/>
          <w:sz w:val="32"/>
          <w:szCs w:val="32"/>
        </w:rPr>
        <w:t>城乡社区支出年初预算0万元，支出决算</w:t>
      </w:r>
      <w:r>
        <w:rPr>
          <w:rFonts w:hint="eastAsia" w:ascii="仿宋" w:hAnsi="仿宋" w:eastAsia="仿宋" w:cs="仿宋"/>
          <w:color w:val="000000"/>
          <w:kern w:val="0"/>
          <w:sz w:val="32"/>
          <w:szCs w:val="32"/>
          <w:lang w:val="en-US" w:eastAsia="zh-CN"/>
        </w:rPr>
        <w:t>108.48</w:t>
      </w:r>
      <w:r>
        <w:rPr>
          <w:rFonts w:hint="eastAsia" w:ascii="仿宋" w:hAnsi="仿宋" w:eastAsia="仿宋" w:cs="仿宋"/>
          <w:color w:val="000000"/>
          <w:kern w:val="0"/>
          <w:sz w:val="32"/>
          <w:szCs w:val="32"/>
        </w:rPr>
        <w:t>万元，</w:t>
      </w:r>
      <w:r>
        <w:rPr>
          <w:rFonts w:hint="eastAsia" w:ascii="宋体" w:cs="仿宋_GB2312"/>
          <w:sz w:val="30"/>
          <w:szCs w:val="30"/>
        </w:rPr>
        <w:t>决算数小于年初预算数的主要原因是：跨年度结算新型城镇化引导资金。</w:t>
      </w:r>
    </w:p>
    <w:p>
      <w:pPr>
        <w:pStyle w:val="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0" w:leftChars="0" w:firstLine="640" w:firstLineChars="200"/>
        <w:textAlignment w:val="auto"/>
        <w:rPr>
          <w:rFonts w:ascii="宋体" w:cs="仿宋_GB2312"/>
          <w:sz w:val="30"/>
          <w:szCs w:val="30"/>
          <w:highlight w:val="yellow"/>
        </w:rPr>
      </w:pPr>
      <w:r>
        <w:rPr>
          <w:rFonts w:hint="eastAsia" w:ascii="仿宋" w:hAnsi="仿宋" w:eastAsia="仿宋" w:cs="仿宋"/>
          <w:color w:val="000000"/>
          <w:kern w:val="0"/>
          <w:sz w:val="32"/>
          <w:szCs w:val="32"/>
          <w:lang w:val="en-US" w:eastAsia="zh-CN"/>
        </w:rPr>
        <w:t>6、</w:t>
      </w:r>
      <w:r>
        <w:rPr>
          <w:rFonts w:hint="eastAsia" w:ascii="仿宋" w:hAnsi="仿宋" w:eastAsia="仿宋" w:cs="仿宋"/>
          <w:color w:val="000000"/>
          <w:kern w:val="0"/>
          <w:sz w:val="32"/>
          <w:szCs w:val="32"/>
        </w:rPr>
        <w:t>住房保障支出年初预算31.79万元，支出决算42.88万元，</w:t>
      </w:r>
      <w:r>
        <w:rPr>
          <w:rFonts w:hint="eastAsia" w:ascii="宋体" w:cs="仿宋_GB2312"/>
          <w:sz w:val="30"/>
          <w:szCs w:val="30"/>
        </w:rPr>
        <w:t>决算数小于年初预算数的主要原因是：跨年度结算住房公积金。</w:t>
      </w:r>
    </w:p>
    <w:p>
      <w:pPr>
        <w:pStyle w:val="4"/>
        <w:spacing w:line="360" w:lineRule="auto"/>
        <w:ind w:firstLine="321" w:firstLineChars="100"/>
        <w:rPr>
          <w:rFonts w:ascii="楷体" w:hAnsi="楷体" w:eastAsia="楷体" w:cs="楷体"/>
          <w:b/>
          <w:bCs/>
          <w:sz w:val="32"/>
          <w:szCs w:val="32"/>
        </w:rPr>
      </w:pPr>
      <w:r>
        <w:rPr>
          <w:rFonts w:hint="eastAsia" w:ascii="楷体" w:hAnsi="楷体" w:eastAsia="楷体" w:cs="楷体"/>
          <w:b/>
          <w:bCs/>
          <w:sz w:val="32"/>
          <w:szCs w:val="32"/>
        </w:rPr>
        <w:t>（四）“三公”经费情况</w:t>
      </w:r>
    </w:p>
    <w:p>
      <w:pPr>
        <w:pStyle w:val="4"/>
        <w:spacing w:line="360" w:lineRule="auto"/>
        <w:ind w:firstLine="640" w:firstLineChars="200"/>
        <w:rPr>
          <w:rFonts w:ascii="仿宋_GB2312" w:eastAsia="仿宋_GB2312" w:cs="仿宋_GB2312"/>
          <w:sz w:val="32"/>
          <w:szCs w:val="32"/>
        </w:rPr>
      </w:pPr>
      <w:r>
        <w:rPr>
          <w:rFonts w:hint="eastAsia" w:ascii="仿宋_GB2312" w:eastAsia="仿宋_GB2312" w:cs="仿宋_GB2312"/>
          <w:sz w:val="32"/>
          <w:szCs w:val="32"/>
        </w:rPr>
        <w:t>2022年，“三公”经费年初预算数实际完成2.22万元，其中公务接待费完成2.22元，我镇三公经费严格按照年初预算以及各级部门相关要求，严把支出关，强化制度执行。切实做好厉行节约工作，全面落实各项管理制度要求，努力降低行政成本。严格公务接待费的支出标准审批程序，加强对公务用车的管理。</w:t>
      </w:r>
    </w:p>
    <w:p>
      <w:pPr>
        <w:spacing w:line="360" w:lineRule="auto"/>
        <w:rPr>
          <w:rFonts w:ascii="黑体" w:hAnsi="黑体" w:eastAsia="黑体" w:cs="黑体"/>
          <w:b/>
          <w:bCs/>
          <w:sz w:val="32"/>
          <w:szCs w:val="32"/>
        </w:rPr>
      </w:pPr>
      <w:r>
        <w:rPr>
          <w:rFonts w:hint="eastAsia" w:ascii="黑体" w:hAnsi="黑体" w:eastAsia="黑体" w:cs="黑体"/>
          <w:b/>
          <w:bCs/>
          <w:sz w:val="32"/>
          <w:szCs w:val="32"/>
        </w:rPr>
        <w:t>三、绩效评价工作情况</w:t>
      </w:r>
    </w:p>
    <w:p>
      <w:pPr>
        <w:spacing w:line="560" w:lineRule="exact"/>
        <w:ind w:firstLine="643" w:firstLineChars="200"/>
        <w:rPr>
          <w:rFonts w:ascii="楷体" w:hAnsi="楷体" w:eastAsia="楷体" w:cs="楷体"/>
          <w:b/>
          <w:bCs/>
          <w:sz w:val="32"/>
          <w:szCs w:val="32"/>
        </w:rPr>
      </w:pPr>
      <w:r>
        <w:rPr>
          <w:rFonts w:hint="eastAsia" w:ascii="楷体" w:hAnsi="楷体" w:eastAsia="楷体" w:cs="楷体"/>
          <w:b/>
          <w:bCs/>
          <w:sz w:val="32"/>
          <w:szCs w:val="32"/>
        </w:rPr>
        <w:t>（一）评价目的</w:t>
      </w:r>
    </w:p>
    <w:p>
      <w:pPr>
        <w:spacing w:line="560" w:lineRule="exact"/>
        <w:ind w:firstLine="600" w:firstLineChars="200"/>
        <w:rPr>
          <w:rFonts w:ascii="仿宋_GB2312" w:eastAsia="仿宋_GB2312" w:cs="仿宋_GB2312"/>
          <w:sz w:val="32"/>
          <w:szCs w:val="32"/>
        </w:rPr>
      </w:pPr>
      <w:r>
        <w:rPr>
          <w:rFonts w:hint="eastAsia" w:ascii="宋体"/>
          <w:bCs/>
          <w:color w:val="383838"/>
          <w:sz w:val="30"/>
          <w:szCs w:val="30"/>
          <w:shd w:val="clear" w:color="auto" w:fill="FFFFFF"/>
        </w:rPr>
        <w:t>通</w:t>
      </w:r>
      <w:r>
        <w:rPr>
          <w:rFonts w:hint="eastAsia" w:ascii="仿宋_GB2312" w:eastAsia="仿宋_GB2312" w:cs="仿宋_GB2312"/>
          <w:sz w:val="32"/>
          <w:szCs w:val="32"/>
        </w:rPr>
        <w:t>过全面开展财政支出绩效评价，强化财政支出绩效理念，科学合理编制年度预算，切实发挥财政资金资源配置作用，逐步建立以科学理财为基础，以精细化管理为手段，以评价结果为导向，以实施过程为监管对象的预算管理体系。同时可以使我镇的各项指标数据更加清晰明了，有利于我镇2022年各项工作的开展。</w:t>
      </w:r>
    </w:p>
    <w:p>
      <w:pPr>
        <w:spacing w:line="560" w:lineRule="exact"/>
        <w:ind w:firstLine="643" w:firstLineChars="200"/>
        <w:rPr>
          <w:rFonts w:ascii="楷体" w:hAnsi="楷体" w:eastAsia="楷体" w:cs="楷体"/>
          <w:b/>
          <w:bCs/>
          <w:sz w:val="32"/>
          <w:szCs w:val="32"/>
        </w:rPr>
      </w:pPr>
      <w:r>
        <w:rPr>
          <w:rFonts w:hint="eastAsia" w:ascii="楷体" w:hAnsi="楷体" w:eastAsia="楷体" w:cs="楷体"/>
          <w:b/>
          <w:bCs/>
          <w:sz w:val="32"/>
          <w:szCs w:val="32"/>
        </w:rPr>
        <w:t>（二）评价方法</w:t>
      </w:r>
    </w:p>
    <w:p>
      <w:pPr>
        <w:spacing w:line="56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根据衡南县财政局《衡南县预算绩效管理工作考核办法》（南财预[2015]174号）及县财政局会议精神，我镇成立了绩效评价工作组，于2023年4月中旬起开展了部门整体支出绩效评价工作，具体工作方法包括：</w:t>
      </w:r>
    </w:p>
    <w:p>
      <w:pPr>
        <w:spacing w:line="56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1、查阅资料。查阅2022年度预算安排、预算追加、经费支出、资金管理、资产管理等相关文件资料和财务凭证。</w:t>
      </w:r>
    </w:p>
    <w:p>
      <w:pPr>
        <w:spacing w:line="56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2、核实数据。对2022年度部门整体支出数据的准确性、真实性进行核实，将2022年度部门整体支出情况与2022年度预算情况、2022年度部门整体支出情况进行比较分析。</w:t>
      </w:r>
    </w:p>
    <w:p>
      <w:pPr>
        <w:spacing w:line="56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3、实地查看。现场查看各类实物资产。</w:t>
      </w:r>
    </w:p>
    <w:p>
      <w:pPr>
        <w:spacing w:line="56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4、汇总归纳。根据取得的各项数据及文件资料，结合现场评价情况进行综合分析、归纳汇总，填写基础数据表、评价指标评分表。</w:t>
      </w:r>
    </w:p>
    <w:p>
      <w:pPr>
        <w:spacing w:line="56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5、形成绩效评价报告。</w:t>
      </w:r>
    </w:p>
    <w:p>
      <w:pPr>
        <w:spacing w:line="360" w:lineRule="auto"/>
        <w:rPr>
          <w:rFonts w:ascii="黑体" w:hAnsi="黑体" w:eastAsia="黑体" w:cs="黑体"/>
          <w:b/>
          <w:bCs/>
          <w:sz w:val="32"/>
          <w:szCs w:val="32"/>
        </w:rPr>
      </w:pPr>
      <w:r>
        <w:rPr>
          <w:rFonts w:hint="eastAsia" w:ascii="黑体" w:hAnsi="黑体" w:eastAsia="黑体" w:cs="黑体"/>
          <w:b/>
          <w:bCs/>
          <w:sz w:val="32"/>
          <w:szCs w:val="32"/>
        </w:rPr>
        <w:t>四、部门总体支出绩效评价</w:t>
      </w:r>
    </w:p>
    <w:p>
      <w:pPr>
        <w:spacing w:line="56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2022年我镇根据年初工作规划及财政预算计划，积极履职、强化管理，较好的完成了年度工作目标。通过加强预算收支管理、不断建立健全内部管理制度、梳理内部管理流程，部门整体支出管理情况得到提升。我镇2022年度部门整体支出绩效评价自评得分为9</w:t>
      </w:r>
      <w:r>
        <w:rPr>
          <w:rFonts w:hint="eastAsia" w:ascii="仿宋_GB2312" w:eastAsia="仿宋_GB2312" w:cs="仿宋_GB2312"/>
          <w:sz w:val="32"/>
          <w:szCs w:val="32"/>
          <w:lang w:val="en-US" w:eastAsia="zh-CN"/>
        </w:rPr>
        <w:t>5</w:t>
      </w:r>
      <w:r>
        <w:rPr>
          <w:rFonts w:hint="eastAsia" w:ascii="仿宋_GB2312" w:eastAsia="仿宋_GB2312" w:cs="仿宋_GB2312"/>
          <w:sz w:val="32"/>
          <w:szCs w:val="32"/>
        </w:rPr>
        <w:t>.5分。具体工作主要体现在以下几个方面：</w:t>
      </w:r>
    </w:p>
    <w:p>
      <w:pPr>
        <w:spacing w:line="56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一是进一步规范财务管理，加强预算管理。根据中央八项规定精神以及财务管理方面的法律、法规和审计等部门的意见，我镇对机关财务管理制度进一步进行了完善。同时，在财务开支把关方面认真执行相关文件并严格财务开支审批程序，重点保障机关运转及重点工作的需要，提高财政资金使用效益。编制内在职人员控制率小于100%，支出总额控制在预算总额以内。</w:t>
      </w:r>
      <w:bookmarkStart w:id="0" w:name="_GoBack"/>
      <w:bookmarkEnd w:id="0"/>
    </w:p>
    <w:p>
      <w:pPr>
        <w:spacing w:line="56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二是加强资产管理。建立了资产管理制度，固定资产利用率高于90%，定期进行了资产盘点和资产清理，总体执行情况良好。</w:t>
      </w:r>
    </w:p>
    <w:p>
      <w:pPr>
        <w:spacing w:line="56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三是资金效益方面。在资金监管同时对各年龄层次的村民群众进行公众满意度进行调查，就水污染改善、河道清理、农村清洁工程、生活压力、居住条件、街道绿化、乡村及镇区风貌、出行便捷与否、村民活动场所建设、文化设施建设、治安情况、基础设施建设等多面方面的内容调查，通过调查分析获取了人民群众对生态环境的健康度、居住生活的舒适度、工作出行的便捷度、居住生活的安全度各方面的评价，满意度程度达到百分之九十八分。</w:t>
      </w:r>
    </w:p>
    <w:p>
      <w:pPr>
        <w:spacing w:line="56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四是项目支出方面，主要是村级转移支付和新农村建设。村级转移性支付项目主要用于村级工作运转，包含村干部工资、妇女及小组长工资、村级办公运转经费、离任村干生活补助、会议误工、交通补助以及其他支出，其他支出包含农村清洁工程资金等。2022年村级转移支付项目支付到达村账村均金额超过县级下达拨付的最低标准，及时、达标的完成了支付，充分保障了村干办公、村委的正常合理支出，得到村干部及民众的好评。新农村建设资金主要用于村组道路修建、维修、硬化，塘坝扩容、硬化、河道清淤、硬化等农村基础设施建设，方便群众出行，改善饮水、加强灌溉，得到了民众的高度认可。</w:t>
      </w:r>
    </w:p>
    <w:p>
      <w:pPr>
        <w:spacing w:line="360" w:lineRule="auto"/>
        <w:rPr>
          <w:rFonts w:ascii="黑体" w:hAnsi="黑体" w:eastAsia="黑体" w:cs="黑体"/>
          <w:b/>
          <w:bCs/>
          <w:sz w:val="32"/>
          <w:szCs w:val="32"/>
        </w:rPr>
      </w:pPr>
      <w:r>
        <w:rPr>
          <w:rFonts w:hint="eastAsia" w:ascii="黑体" w:hAnsi="黑体" w:eastAsia="黑体" w:cs="黑体"/>
          <w:b/>
          <w:bCs/>
          <w:sz w:val="32"/>
          <w:szCs w:val="32"/>
        </w:rPr>
        <w:t>五、存在的主要问题</w:t>
      </w:r>
    </w:p>
    <w:p>
      <w:pPr>
        <w:spacing w:line="56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年初编制的预算只能在县级已出台的政策框架之内，不能预测，编制也就无法精确，导致年内预算追加较大，预算控制率较低；编制年初预算时较为精细，按照费用支出的使用范围和内容，进行了基本支出、项目支出的严格区分，并按照预算的最末级明细进行预算支出管理，专款专用。但对于追加的资金，就没有进行明细分解，造成基本与项目支出混用。</w:t>
      </w:r>
    </w:p>
    <w:p>
      <w:pPr>
        <w:spacing w:line="360" w:lineRule="auto"/>
        <w:rPr>
          <w:rFonts w:ascii="黑体" w:hAnsi="黑体" w:eastAsia="黑体" w:cs="黑体"/>
          <w:b/>
          <w:bCs/>
          <w:sz w:val="32"/>
          <w:szCs w:val="32"/>
        </w:rPr>
      </w:pPr>
      <w:r>
        <w:rPr>
          <w:rFonts w:hint="eastAsia" w:ascii="黑体" w:hAnsi="黑体" w:eastAsia="黑体" w:cs="黑体"/>
          <w:b/>
          <w:bCs/>
          <w:sz w:val="32"/>
          <w:szCs w:val="32"/>
        </w:rPr>
        <w:t>六、改进措施和建议</w:t>
      </w:r>
    </w:p>
    <w:p>
      <w:pPr>
        <w:spacing w:line="56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进一步加强内部机构的预算管理意识，严格按照预算编制的相关制度和要求，进一步提高预算编制的科学性、合理性、严谨性和可控性，在日常预算管理过程中，进一步加强预算支出的审核、跟踪及预算执行情况分析。</w:t>
      </w:r>
    </w:p>
    <w:p>
      <w:pPr>
        <w:pStyle w:val="5"/>
        <w:widowControl/>
        <w:spacing w:line="33" w:lineRule="atLeast"/>
        <w:ind w:firstLine="420"/>
        <w:jc w:val="right"/>
        <w:rPr>
          <w:rFonts w:ascii="仿宋" w:hAnsi="仿宋" w:eastAsia="仿宋" w:cs="仿宋"/>
          <w:sz w:val="32"/>
          <w:szCs w:val="32"/>
          <w:highlight w:val="yellow"/>
        </w:rPr>
      </w:pPr>
    </w:p>
    <w:p>
      <w:pPr>
        <w:pStyle w:val="5"/>
        <w:widowControl/>
        <w:spacing w:line="33" w:lineRule="atLeast"/>
        <w:ind w:firstLine="420"/>
        <w:jc w:val="right"/>
        <w:rPr>
          <w:rFonts w:ascii="仿宋" w:hAnsi="仿宋" w:eastAsia="仿宋" w:cs="仿宋"/>
          <w:sz w:val="32"/>
          <w:szCs w:val="32"/>
          <w:highlight w:val="yellow"/>
        </w:rPr>
      </w:pPr>
    </w:p>
    <w:p>
      <w:pPr>
        <w:pStyle w:val="5"/>
        <w:widowControl/>
        <w:spacing w:line="33" w:lineRule="atLeast"/>
        <w:ind w:firstLine="420"/>
        <w:jc w:val="right"/>
        <w:rPr>
          <w:rFonts w:ascii="仿宋" w:hAnsi="仿宋" w:eastAsia="仿宋" w:cs="仿宋"/>
          <w:sz w:val="32"/>
          <w:szCs w:val="32"/>
        </w:rPr>
      </w:pPr>
      <w:r>
        <w:rPr>
          <w:rFonts w:hint="eastAsia" w:ascii="仿宋" w:hAnsi="仿宋" w:eastAsia="仿宋" w:cs="仿宋"/>
          <w:sz w:val="32"/>
          <w:szCs w:val="32"/>
        </w:rPr>
        <w:t>衡南县</w:t>
      </w:r>
      <w:r>
        <w:rPr>
          <w:rFonts w:hint="eastAsia" w:ascii="仿宋_GB2312" w:eastAsia="仿宋_GB2312"/>
          <w:sz w:val="32"/>
          <w:szCs w:val="32"/>
        </w:rPr>
        <w:t>谭子山</w:t>
      </w:r>
      <w:r>
        <w:rPr>
          <w:rFonts w:hint="eastAsia" w:ascii="仿宋" w:hAnsi="仿宋" w:eastAsia="仿宋" w:cs="仿宋"/>
          <w:sz w:val="32"/>
          <w:szCs w:val="32"/>
        </w:rPr>
        <w:t>镇人民政府</w:t>
      </w:r>
    </w:p>
    <w:p>
      <w:pPr>
        <w:pStyle w:val="5"/>
        <w:widowControl/>
        <w:spacing w:line="33" w:lineRule="atLeast"/>
        <w:ind w:right="320" w:firstLine="420"/>
        <w:jc w:val="right"/>
        <w:rPr>
          <w:rFonts w:ascii="仿宋" w:hAnsi="仿宋" w:eastAsia="仿宋" w:cs="仿宋"/>
          <w:sz w:val="32"/>
          <w:szCs w:val="32"/>
        </w:rPr>
      </w:pPr>
      <w:r>
        <w:rPr>
          <w:rFonts w:hint="eastAsia" w:ascii="仿宋" w:hAnsi="仿宋" w:eastAsia="仿宋" w:cs="仿宋"/>
          <w:sz w:val="32"/>
          <w:szCs w:val="32"/>
        </w:rPr>
        <w:t>2023年4月19日</w:t>
      </w:r>
    </w:p>
    <w:p>
      <w:pPr>
        <w:spacing w:line="600" w:lineRule="exact"/>
        <w:ind w:firstLine="640" w:firstLineChars="200"/>
        <w:rPr>
          <w:rFonts w:ascii="仿宋" w:hAnsi="仿宋" w:eastAsia="仿宋" w:cs="仿宋"/>
          <w:sz w:val="32"/>
          <w:szCs w:val="32"/>
        </w:rPr>
      </w:pPr>
    </w:p>
    <w:p>
      <w:pPr>
        <w:pStyle w:val="6"/>
        <w:ind w:firstLine="400"/>
      </w:pPr>
    </w:p>
    <w:p>
      <w:pPr>
        <w:pStyle w:val="4"/>
        <w:rPr>
          <w:rFonts w:ascii="仿宋" w:hAnsi="仿宋" w:eastAsia="仿宋"/>
          <w:sz w:val="32"/>
        </w:rPr>
      </w:pPr>
    </w:p>
    <w:p>
      <w:pPr>
        <w:pStyle w:val="4"/>
        <w:ind w:left="630" w:leftChars="300"/>
        <w:rPr>
          <w:rFonts w:ascii="仿宋" w:hAnsi="仿宋" w:eastAsia="仿宋"/>
          <w:sz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_GBK">
    <w:altName w:val="微软雅黑"/>
    <w:panose1 w:val="00000000000000000000"/>
    <w:charset w:val="86"/>
    <w:family w:val="script"/>
    <w:pitch w:val="default"/>
    <w:sig w:usb0="00000000" w:usb1="00000000" w:usb2="00000000" w:usb3="00000000" w:csb0="00040000" w:csb1="00000000"/>
  </w:font>
  <w:font w:name="仿宋_GB2312">
    <w:altName w:val="仿宋"/>
    <w:panose1 w:val="00000000000000000000"/>
    <w:charset w:val="86"/>
    <w:family w:val="auto"/>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307390"/>
    <w:multiLevelType w:val="singleLevel"/>
    <w:tmpl w:val="89307390"/>
    <w:lvl w:ilvl="0" w:tentative="0">
      <w:start w:val="3"/>
      <w:numFmt w:val="chineseCounting"/>
      <w:suff w:val="nothing"/>
      <w:lvlText w:val="（%1）"/>
      <w:lvlJc w:val="left"/>
      <w:rPr>
        <w:rFonts w:hint="eastAsia"/>
      </w:rPr>
    </w:lvl>
  </w:abstractNum>
  <w:abstractNum w:abstractNumId="1">
    <w:nsid w:val="AFE86D78"/>
    <w:multiLevelType w:val="singleLevel"/>
    <w:tmpl w:val="AFE86D78"/>
    <w:lvl w:ilvl="0" w:tentative="0">
      <w:start w:val="1"/>
      <w:numFmt w:val="decimal"/>
      <w:suff w:val="nothing"/>
      <w:lvlText w:val="%1、"/>
      <w:lvlJc w:val="left"/>
      <w:pPr>
        <w:ind w:left="-10"/>
      </w:pPr>
    </w:lvl>
  </w:abstractNum>
  <w:abstractNum w:abstractNumId="2">
    <w:nsid w:val="B70E80B9"/>
    <w:multiLevelType w:val="singleLevel"/>
    <w:tmpl w:val="B70E80B9"/>
    <w:lvl w:ilvl="0" w:tentative="0">
      <w:start w:val="1"/>
      <w:numFmt w:val="decimal"/>
      <w:suff w:val="nothing"/>
      <w:lvlText w:val="%1、"/>
      <w:lvlJc w:val="left"/>
    </w:lvl>
  </w:abstractNum>
  <w:abstractNum w:abstractNumId="3">
    <w:nsid w:val="E975FB92"/>
    <w:multiLevelType w:val="singleLevel"/>
    <w:tmpl w:val="E975FB92"/>
    <w:lvl w:ilvl="0" w:tentative="0">
      <w:start w:val="1"/>
      <w:numFmt w:val="decimal"/>
      <w:suff w:val="nothing"/>
      <w:lvlText w:val="%1、"/>
      <w:lvlJc w:val="left"/>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gzM2VlNDI5ZmQzOWVmNTE0ZjNlYTUxY2M5ZDk4MDkifQ=="/>
  </w:docVars>
  <w:rsids>
    <w:rsidRoot w:val="00276BAC"/>
    <w:rsid w:val="00005975"/>
    <w:rsid w:val="000969AD"/>
    <w:rsid w:val="00161887"/>
    <w:rsid w:val="00202EEA"/>
    <w:rsid w:val="00276BAC"/>
    <w:rsid w:val="002D6EBE"/>
    <w:rsid w:val="00364876"/>
    <w:rsid w:val="003F6F75"/>
    <w:rsid w:val="004802B8"/>
    <w:rsid w:val="004F4D97"/>
    <w:rsid w:val="006C6F5E"/>
    <w:rsid w:val="006E1F7A"/>
    <w:rsid w:val="007F42F8"/>
    <w:rsid w:val="00800509"/>
    <w:rsid w:val="009A3BF1"/>
    <w:rsid w:val="00A1132C"/>
    <w:rsid w:val="00A142F2"/>
    <w:rsid w:val="00A860E4"/>
    <w:rsid w:val="00AF15F0"/>
    <w:rsid w:val="00B843E9"/>
    <w:rsid w:val="00BA48DE"/>
    <w:rsid w:val="00E26567"/>
    <w:rsid w:val="00E95A8E"/>
    <w:rsid w:val="00FC2AA2"/>
    <w:rsid w:val="01A64203"/>
    <w:rsid w:val="05072D72"/>
    <w:rsid w:val="063F16EA"/>
    <w:rsid w:val="06816547"/>
    <w:rsid w:val="0B716D79"/>
    <w:rsid w:val="0E26619C"/>
    <w:rsid w:val="0E584549"/>
    <w:rsid w:val="0E9D3C7E"/>
    <w:rsid w:val="102D410F"/>
    <w:rsid w:val="15ED1AC3"/>
    <w:rsid w:val="175B6E3C"/>
    <w:rsid w:val="17DB5DFB"/>
    <w:rsid w:val="191A26E4"/>
    <w:rsid w:val="1A437E3D"/>
    <w:rsid w:val="1BD4192A"/>
    <w:rsid w:val="1C5D2A13"/>
    <w:rsid w:val="1C843EED"/>
    <w:rsid w:val="21075C84"/>
    <w:rsid w:val="25852B6B"/>
    <w:rsid w:val="292D3701"/>
    <w:rsid w:val="2AC87DAF"/>
    <w:rsid w:val="2C204F13"/>
    <w:rsid w:val="2E2D68CF"/>
    <w:rsid w:val="2EB30468"/>
    <w:rsid w:val="2FD47020"/>
    <w:rsid w:val="332E23DF"/>
    <w:rsid w:val="3490714A"/>
    <w:rsid w:val="34B51E58"/>
    <w:rsid w:val="35903F3C"/>
    <w:rsid w:val="35D9269F"/>
    <w:rsid w:val="36A967A5"/>
    <w:rsid w:val="37F2568A"/>
    <w:rsid w:val="382507E3"/>
    <w:rsid w:val="382A03F8"/>
    <w:rsid w:val="3AF5291E"/>
    <w:rsid w:val="3C190EE7"/>
    <w:rsid w:val="436803AE"/>
    <w:rsid w:val="466340F8"/>
    <w:rsid w:val="47652956"/>
    <w:rsid w:val="49302EEA"/>
    <w:rsid w:val="4A324887"/>
    <w:rsid w:val="4A96006F"/>
    <w:rsid w:val="4B317695"/>
    <w:rsid w:val="4FE07EEC"/>
    <w:rsid w:val="51EF032B"/>
    <w:rsid w:val="52F11AB6"/>
    <w:rsid w:val="539528D7"/>
    <w:rsid w:val="54651F3E"/>
    <w:rsid w:val="5603282E"/>
    <w:rsid w:val="5BCD262C"/>
    <w:rsid w:val="5E666265"/>
    <w:rsid w:val="613415CD"/>
    <w:rsid w:val="652672AB"/>
    <w:rsid w:val="68292528"/>
    <w:rsid w:val="69DB3F95"/>
    <w:rsid w:val="6CE179EA"/>
    <w:rsid w:val="6D9E0739"/>
    <w:rsid w:val="6F7B3D6B"/>
    <w:rsid w:val="6F9019DB"/>
    <w:rsid w:val="711142EA"/>
    <w:rsid w:val="759629B2"/>
    <w:rsid w:val="79C7204E"/>
    <w:rsid w:val="7C0E7F2F"/>
    <w:rsid w:val="7C196E3E"/>
    <w:rsid w:val="7C8029D2"/>
    <w:rsid w:val="7CE261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pPr>
      <w:spacing w:before="102"/>
      <w:ind w:left="112"/>
    </w:pPr>
    <w:rPr>
      <w:sz w:val="28"/>
      <w:szCs w:val="28"/>
    </w:rPr>
  </w:style>
  <w:style w:type="paragraph" w:styleId="3">
    <w:name w:val="Body Text Indent"/>
    <w:basedOn w:val="1"/>
    <w:qFormat/>
    <w:uiPriority w:val="0"/>
    <w:pPr>
      <w:ind w:firstLine="720" w:firstLineChars="257"/>
    </w:pPr>
    <w:rPr>
      <w:kern w:val="0"/>
      <w:sz w:val="20"/>
    </w:rPr>
  </w:style>
  <w:style w:type="paragraph" w:styleId="4">
    <w:name w:val="footer"/>
    <w:basedOn w:val="1"/>
    <w:unhideWhenUsed/>
    <w:qFormat/>
    <w:uiPriority w:val="99"/>
    <w:pPr>
      <w:tabs>
        <w:tab w:val="center" w:pos="4153"/>
        <w:tab w:val="right" w:pos="8306"/>
      </w:tabs>
      <w:snapToGrid w:val="0"/>
      <w:jc w:val="left"/>
    </w:pPr>
    <w:rPr>
      <w:sz w:val="18"/>
      <w:szCs w:val="18"/>
    </w:rPr>
  </w:style>
  <w:style w:type="paragraph" w:styleId="5">
    <w:name w:val="Normal (Web)"/>
    <w:basedOn w:val="1"/>
    <w:qFormat/>
    <w:uiPriority w:val="0"/>
    <w:rPr>
      <w:sz w:val="24"/>
    </w:rPr>
  </w:style>
  <w:style w:type="paragraph" w:styleId="6">
    <w:name w:val="Body Text First Indent 2"/>
    <w:basedOn w:val="3"/>
    <w:qFormat/>
    <w:uiPriority w:val="0"/>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Windows 10</Company>
  <Pages>9</Pages>
  <Words>602</Words>
  <Characters>3437</Characters>
  <Lines>28</Lines>
  <Paragraphs>8</Paragraphs>
  <TotalTime>10</TotalTime>
  <ScaleCrop>false</ScaleCrop>
  <LinksUpToDate>false</LinksUpToDate>
  <CharactersWithSpaces>4031</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2022-04-24T01:19:00Z</dcterms:created>
  <dc:creator>Administrator</dc:creator>
  <cp:lastModifiedBy>茜茜</cp:lastModifiedBy>
  <cp:lastPrinted>2023-09-27T08:32:00Z</cp:lastPrinted>
  <dcterms:modified xsi:type="dcterms:W3CDTF">2025-08-28T05:59:50Z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7555B52E651E4565A37434BFF0DAD750_13</vt:lpwstr>
  </property>
</Properties>
</file>