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0F3E12">
      <w:pPr>
        <w:jc w:val="center"/>
        <w:rPr>
          <w:rFonts w:hint="eastAsia" w:ascii="方正小标宋_GBK" w:eastAsia="方正小标宋_GBK"/>
          <w:sz w:val="44"/>
          <w:szCs w:val="44"/>
        </w:rPr>
      </w:pPr>
      <w:r>
        <w:rPr>
          <w:rFonts w:hint="eastAsia" w:ascii="方正小标宋_GBK" w:eastAsia="方正小标宋_GBK"/>
          <w:sz w:val="44"/>
          <w:szCs w:val="44"/>
        </w:rPr>
        <w:t>衡</w:t>
      </w:r>
      <w:r>
        <w:rPr>
          <w:rFonts w:hint="eastAsia" w:ascii="方正小标宋_GBK" w:eastAsia="方正小标宋_GBK"/>
          <w:sz w:val="44"/>
          <w:szCs w:val="44"/>
          <w:lang w:eastAsia="zh-CN"/>
        </w:rPr>
        <w:t>南</w:t>
      </w:r>
      <w:r>
        <w:rPr>
          <w:rFonts w:hint="eastAsia" w:ascii="方正小标宋_GBK" w:eastAsia="方正小标宋_GBK"/>
          <w:sz w:val="44"/>
          <w:szCs w:val="44"/>
        </w:rPr>
        <w:t>县部门整体支出绩效自评报告</w:t>
      </w:r>
    </w:p>
    <w:p w14:paraId="5C3A9B0F"/>
    <w:p w14:paraId="11A18948">
      <w:pPr>
        <w:jc w:val="center"/>
        <w:rPr>
          <w:rFonts w:hint="eastAsia" w:ascii="仿宋_GB2312" w:eastAsia="仿宋_GB2312"/>
          <w:sz w:val="32"/>
          <w:szCs w:val="32"/>
        </w:rPr>
      </w:pPr>
      <w:r>
        <w:rPr>
          <w:rFonts w:hint="eastAsia" w:ascii="仿宋_GB2312" w:eastAsia="仿宋_GB2312"/>
          <w:sz w:val="32"/>
          <w:szCs w:val="32"/>
        </w:rPr>
        <w:t>（ 20</w:t>
      </w:r>
      <w:r>
        <w:rPr>
          <w:rFonts w:hint="eastAsia" w:ascii="仿宋_GB2312" w:eastAsia="仿宋_GB2312"/>
          <w:sz w:val="32"/>
          <w:szCs w:val="32"/>
          <w:u w:val="single"/>
          <w:lang w:val="en-US" w:eastAsia="zh-CN"/>
        </w:rPr>
        <w:t>21</w:t>
      </w:r>
      <w:r>
        <w:rPr>
          <w:rFonts w:hint="eastAsia" w:ascii="仿宋_GB2312" w:eastAsia="仿宋_GB2312"/>
          <w:sz w:val="32"/>
          <w:szCs w:val="32"/>
        </w:rPr>
        <w:t>年度 ）</w:t>
      </w:r>
    </w:p>
    <w:p w14:paraId="32B6B68F">
      <w:pPr>
        <w:rPr>
          <w:rFonts w:hint="eastAsia"/>
        </w:rPr>
      </w:pPr>
    </w:p>
    <w:p w14:paraId="1887D1EC">
      <w:pPr>
        <w:rPr>
          <w:rFonts w:hint="eastAsia"/>
        </w:rPr>
      </w:pPr>
    </w:p>
    <w:p w14:paraId="3586DEDF">
      <w:pPr>
        <w:rPr>
          <w:rFonts w:hint="eastAsia"/>
        </w:rPr>
      </w:pPr>
    </w:p>
    <w:p w14:paraId="00116708">
      <w:pPr>
        <w:ind w:firstLine="640" w:firstLineChars="200"/>
        <w:rPr>
          <w:rFonts w:hint="eastAsia" w:ascii="仿宋_GB2312" w:eastAsia="仿宋_GB2312"/>
          <w:sz w:val="32"/>
          <w:szCs w:val="32"/>
        </w:rPr>
      </w:pPr>
      <w:r>
        <w:rPr>
          <w:rFonts w:hint="eastAsia" w:ascii="仿宋_GB2312" w:eastAsia="仿宋_GB2312"/>
          <w:sz w:val="32"/>
          <w:szCs w:val="32"/>
        </w:rPr>
        <w:t>部门(单位)名称：中共衡南县委</w:t>
      </w:r>
      <w:r>
        <w:rPr>
          <w:rFonts w:hint="eastAsia" w:ascii="仿宋_GB2312" w:eastAsia="仿宋_GB2312"/>
          <w:sz w:val="32"/>
          <w:szCs w:val="32"/>
          <w:lang w:val="en-US" w:eastAsia="zh-CN"/>
        </w:rPr>
        <w:t>编办</w:t>
      </w:r>
      <w:r>
        <w:rPr>
          <w:rFonts w:hint="eastAsia" w:ascii="仿宋_GB2312" w:eastAsia="仿宋_GB2312"/>
          <w:sz w:val="32"/>
          <w:szCs w:val="32"/>
        </w:rPr>
        <w:t xml:space="preserve">      </w:t>
      </w:r>
    </w:p>
    <w:p w14:paraId="03B05D57">
      <w:pPr>
        <w:ind w:firstLine="640" w:firstLineChars="200"/>
        <w:rPr>
          <w:rFonts w:hint="eastAsia" w:ascii="仿宋_GB2312" w:eastAsia="仿宋_GB2312"/>
          <w:sz w:val="32"/>
          <w:szCs w:val="32"/>
        </w:rPr>
      </w:pPr>
      <w:r>
        <w:rPr>
          <w:rFonts w:hint="eastAsia" w:ascii="仿宋_GB2312" w:eastAsia="仿宋_GB2312"/>
          <w:sz w:val="32"/>
          <w:szCs w:val="32"/>
        </w:rPr>
        <w:t xml:space="preserve">预算编码：                   </w:t>
      </w:r>
    </w:p>
    <w:p w14:paraId="434F7CCB">
      <w:pPr>
        <w:ind w:firstLine="640" w:firstLineChars="200"/>
        <w:rPr>
          <w:rFonts w:hint="eastAsia" w:ascii="仿宋_GB2312" w:eastAsia="仿宋_GB2312"/>
          <w:sz w:val="32"/>
          <w:szCs w:val="32"/>
        </w:rPr>
      </w:pPr>
      <w:r>
        <w:rPr>
          <w:rFonts w:hint="eastAsia" w:ascii="仿宋_GB2312" w:eastAsia="仿宋_GB2312"/>
          <w:sz w:val="32"/>
          <w:szCs w:val="32"/>
        </w:rPr>
        <w:t>评价方式：部门（单位）自评</w:t>
      </w:r>
      <w:r>
        <w:rPr>
          <w:rFonts w:hint="eastAsia" w:ascii="仿宋_GB2312" w:eastAsia="仿宋_GB2312"/>
          <w:sz w:val="32"/>
          <w:szCs w:val="32"/>
          <w:lang w:eastAsia="zh-CN"/>
        </w:rPr>
        <w:t>☑</w:t>
      </w:r>
      <w:r>
        <w:rPr>
          <w:rFonts w:hint="eastAsia" w:ascii="仿宋_GB2312" w:eastAsia="仿宋_GB2312"/>
          <w:sz w:val="32"/>
          <w:szCs w:val="32"/>
        </w:rPr>
        <w:t xml:space="preserve">  </w:t>
      </w:r>
    </w:p>
    <w:p w14:paraId="047DED25">
      <w:pPr>
        <w:ind w:firstLine="2240" w:firstLineChars="700"/>
        <w:rPr>
          <w:rFonts w:hint="eastAsia" w:ascii="仿宋_GB2312" w:eastAsia="仿宋_GB2312"/>
          <w:sz w:val="32"/>
          <w:szCs w:val="32"/>
        </w:rPr>
      </w:pPr>
      <w:r>
        <w:rPr>
          <w:rFonts w:hint="eastAsia" w:ascii="仿宋_GB2312" w:eastAsia="仿宋_GB2312"/>
          <w:sz w:val="32"/>
          <w:szCs w:val="32"/>
        </w:rPr>
        <w:t>中介机构评价□</w:t>
      </w:r>
    </w:p>
    <w:p w14:paraId="25BA2BBD">
      <w:pPr>
        <w:ind w:firstLine="640" w:firstLineChars="200"/>
        <w:rPr>
          <w:rFonts w:hint="eastAsia" w:ascii="仿宋_GB2312" w:eastAsia="仿宋_GB2312"/>
          <w:sz w:val="32"/>
          <w:szCs w:val="32"/>
          <w:lang w:eastAsia="zh-CN"/>
        </w:rPr>
      </w:pPr>
      <w:r>
        <w:rPr>
          <w:rFonts w:hint="eastAsia" w:ascii="仿宋_GB2312" w:eastAsia="仿宋_GB2312"/>
          <w:sz w:val="32"/>
          <w:szCs w:val="32"/>
        </w:rPr>
        <w:t>评价机构：部门（单位）评价组</w:t>
      </w:r>
      <w:r>
        <w:rPr>
          <w:rFonts w:hint="eastAsia" w:ascii="仿宋_GB2312" w:eastAsia="仿宋_GB2312"/>
          <w:sz w:val="32"/>
          <w:szCs w:val="32"/>
          <w:lang w:eastAsia="zh-CN"/>
        </w:rPr>
        <w:t>☑</w:t>
      </w:r>
    </w:p>
    <w:p w14:paraId="3EDEE245">
      <w:pPr>
        <w:ind w:firstLine="2240" w:firstLineChars="700"/>
        <w:rPr>
          <w:rFonts w:hint="eastAsia" w:ascii="仿宋_GB2312" w:eastAsia="仿宋_GB2312"/>
          <w:sz w:val="32"/>
          <w:szCs w:val="32"/>
        </w:rPr>
      </w:pPr>
      <w:r>
        <w:rPr>
          <w:rFonts w:hint="eastAsia" w:ascii="仿宋_GB2312" w:eastAsia="仿宋_GB2312"/>
          <w:sz w:val="32"/>
          <w:szCs w:val="32"/>
        </w:rPr>
        <w:t>中介机构□</w:t>
      </w:r>
    </w:p>
    <w:p w14:paraId="7E52970F"/>
    <w:p w14:paraId="2228623A"/>
    <w:p w14:paraId="79DC1F26">
      <w:pPr>
        <w:rPr>
          <w:rFonts w:hint="eastAsia"/>
        </w:rPr>
      </w:pPr>
    </w:p>
    <w:p w14:paraId="76C05CAA">
      <w:pPr>
        <w:rPr>
          <w:rFonts w:hint="eastAsia"/>
        </w:rPr>
      </w:pPr>
    </w:p>
    <w:p w14:paraId="70072AC5">
      <w:pPr>
        <w:rPr>
          <w:rFonts w:hint="eastAsia"/>
        </w:rPr>
      </w:pPr>
    </w:p>
    <w:p w14:paraId="1D256110">
      <w:pPr>
        <w:rPr>
          <w:rFonts w:hint="eastAsia"/>
        </w:rPr>
      </w:pPr>
    </w:p>
    <w:p w14:paraId="38FBC41C">
      <w:pPr>
        <w:rPr>
          <w:rFonts w:hint="eastAsia"/>
        </w:rPr>
      </w:pPr>
    </w:p>
    <w:p w14:paraId="23330E0F">
      <w:pPr>
        <w:rPr>
          <w:rFonts w:hint="eastAsia"/>
        </w:rPr>
      </w:pPr>
    </w:p>
    <w:p w14:paraId="626A891E">
      <w:pPr>
        <w:rPr>
          <w:rFonts w:hint="eastAsia"/>
        </w:rPr>
      </w:pPr>
    </w:p>
    <w:p w14:paraId="149373E1"/>
    <w:p w14:paraId="218BE631"/>
    <w:p w14:paraId="145544EE">
      <w:pPr>
        <w:jc w:val="center"/>
        <w:rPr>
          <w:rFonts w:hint="eastAsia" w:ascii="仿宋_GB2312" w:eastAsia="仿宋_GB2312"/>
          <w:sz w:val="32"/>
          <w:szCs w:val="32"/>
        </w:rPr>
      </w:pPr>
      <w:r>
        <w:rPr>
          <w:rFonts w:hint="eastAsia" w:ascii="仿宋_GB2312" w:eastAsia="仿宋_GB2312"/>
          <w:sz w:val="32"/>
          <w:szCs w:val="32"/>
        </w:rPr>
        <w:t xml:space="preserve">报告日期：   </w:t>
      </w:r>
      <w:r>
        <w:rPr>
          <w:rFonts w:hint="eastAsia" w:ascii="仿宋_GB2312" w:eastAsia="仿宋_GB2312"/>
          <w:sz w:val="32"/>
          <w:szCs w:val="32"/>
          <w:lang w:val="en-US" w:eastAsia="zh-CN"/>
        </w:rPr>
        <w:t>2022</w:t>
      </w:r>
      <w:r>
        <w:rPr>
          <w:rFonts w:hint="eastAsia" w:ascii="仿宋_GB2312" w:eastAsia="仿宋_GB2312"/>
          <w:sz w:val="32"/>
          <w:szCs w:val="32"/>
        </w:rPr>
        <w:t xml:space="preserve"> 年 </w:t>
      </w:r>
      <w:r>
        <w:rPr>
          <w:rFonts w:hint="eastAsia" w:ascii="仿宋_GB2312" w:eastAsia="仿宋_GB2312"/>
          <w:sz w:val="32"/>
          <w:szCs w:val="32"/>
          <w:lang w:val="en-US" w:eastAsia="zh-CN"/>
        </w:rPr>
        <w:t>04</w:t>
      </w:r>
      <w:r>
        <w:rPr>
          <w:rFonts w:hint="eastAsia" w:ascii="仿宋_GB2312" w:eastAsia="仿宋_GB2312"/>
          <w:sz w:val="32"/>
          <w:szCs w:val="32"/>
        </w:rPr>
        <w:t xml:space="preserve">月 </w:t>
      </w:r>
      <w:r>
        <w:rPr>
          <w:rFonts w:hint="eastAsia" w:ascii="仿宋_GB2312" w:eastAsia="仿宋_GB2312"/>
          <w:sz w:val="32"/>
          <w:szCs w:val="32"/>
          <w:lang w:val="en-US" w:eastAsia="zh-CN"/>
        </w:rPr>
        <w:t>26</w:t>
      </w:r>
      <w:r>
        <w:rPr>
          <w:rFonts w:hint="eastAsia" w:ascii="仿宋_GB2312" w:eastAsia="仿宋_GB2312"/>
          <w:sz w:val="32"/>
          <w:szCs w:val="32"/>
        </w:rPr>
        <w:t>日</w:t>
      </w:r>
    </w:p>
    <w:p w14:paraId="027D3D71">
      <w:pPr>
        <w:rPr>
          <w:rFonts w:hint="eastAsia"/>
        </w:rPr>
      </w:pPr>
    </w:p>
    <w:p w14:paraId="2FE973B0">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sz w:val="42"/>
          <w:szCs w:val="42"/>
        </w:rPr>
      </w:pPr>
    </w:p>
    <w:p w14:paraId="13C16167">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sz w:val="42"/>
          <w:szCs w:val="42"/>
        </w:rPr>
      </w:pPr>
    </w:p>
    <w:p w14:paraId="60AACBF4">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sz w:val="42"/>
          <w:szCs w:val="42"/>
        </w:rPr>
      </w:pPr>
    </w:p>
    <w:p w14:paraId="71FB2CA1">
      <w:pPr>
        <w:keepNext w:val="0"/>
        <w:keepLines w:val="0"/>
        <w:pageBreakBefore w:val="0"/>
        <w:widowControl w:val="0"/>
        <w:kinsoku/>
        <w:wordWrap/>
        <w:overflowPunct/>
        <w:topLinePunct w:val="0"/>
        <w:autoSpaceDE/>
        <w:autoSpaceDN/>
        <w:bidi w:val="0"/>
        <w:adjustRightInd/>
        <w:snapToGrid/>
        <w:jc w:val="both"/>
        <w:textAlignment w:val="auto"/>
        <w:rPr>
          <w:rFonts w:hint="eastAsia" w:ascii="华文中宋" w:hAnsi="华文中宋" w:eastAsia="华文中宋" w:cs="华文中宋"/>
          <w:sz w:val="42"/>
          <w:szCs w:val="42"/>
        </w:rPr>
      </w:pPr>
    </w:p>
    <w:p w14:paraId="2F4A2CF5">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sz w:val="42"/>
          <w:szCs w:val="42"/>
        </w:rPr>
      </w:pPr>
      <w:r>
        <w:rPr>
          <w:rFonts w:hint="eastAsia" w:ascii="华文中宋" w:hAnsi="华文中宋" w:eastAsia="华文中宋" w:cs="华文中宋"/>
          <w:sz w:val="42"/>
          <w:szCs w:val="42"/>
        </w:rPr>
        <w:t>2021年中共衡南县委</w:t>
      </w:r>
      <w:r>
        <w:rPr>
          <w:rFonts w:hint="eastAsia" w:ascii="华文中宋" w:hAnsi="华文中宋" w:eastAsia="华文中宋" w:cs="华文中宋"/>
          <w:sz w:val="42"/>
          <w:szCs w:val="42"/>
          <w:lang w:val="en-US" w:eastAsia="zh-CN"/>
        </w:rPr>
        <w:t>编办</w:t>
      </w:r>
      <w:r>
        <w:rPr>
          <w:rFonts w:hint="eastAsia" w:ascii="华文中宋" w:hAnsi="华文中宋" w:eastAsia="华文中宋" w:cs="华文中宋"/>
          <w:sz w:val="42"/>
          <w:szCs w:val="42"/>
        </w:rPr>
        <w:t>整体支出绩效自评</w:t>
      </w:r>
    </w:p>
    <w:p w14:paraId="0AD3EB3E">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sz w:val="42"/>
          <w:szCs w:val="42"/>
        </w:rPr>
      </w:pPr>
      <w:r>
        <w:rPr>
          <w:rFonts w:hint="eastAsia" w:ascii="华文中宋" w:hAnsi="华文中宋" w:eastAsia="华文中宋" w:cs="华文中宋"/>
          <w:sz w:val="42"/>
          <w:szCs w:val="42"/>
        </w:rPr>
        <w:t>报</w:t>
      </w:r>
      <w:r>
        <w:rPr>
          <w:rFonts w:hint="eastAsia" w:ascii="华文中宋" w:hAnsi="华文中宋" w:eastAsia="华文中宋" w:cs="华文中宋"/>
          <w:sz w:val="42"/>
          <w:szCs w:val="42"/>
          <w:lang w:val="en-US" w:eastAsia="zh-CN"/>
        </w:rPr>
        <w:t xml:space="preserve">    </w:t>
      </w:r>
      <w:r>
        <w:rPr>
          <w:rFonts w:hint="eastAsia" w:ascii="华文中宋" w:hAnsi="华文中宋" w:eastAsia="华文中宋" w:cs="华文中宋"/>
          <w:sz w:val="42"/>
          <w:szCs w:val="42"/>
        </w:rPr>
        <w:t>告</w:t>
      </w:r>
    </w:p>
    <w:p w14:paraId="374AF456">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sz w:val="42"/>
          <w:szCs w:val="42"/>
        </w:rPr>
      </w:pPr>
    </w:p>
    <w:p w14:paraId="22D893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为加强财政预算资金管理，进一步规范预算资金使用，提高财政资金使用效益，根据《衡南县财政局关于开展202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年度级财政资金绩效自评工作的通知》清财绩〔2022〕3</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号文件要求，我单位积极组织，对2021年度本单位整体支出进行了绩效自评，现将具体绩效评价情况报告如下：</w:t>
      </w:r>
    </w:p>
    <w:p w14:paraId="3D28CE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一、部门基本情况</w:t>
      </w:r>
    </w:p>
    <w:p w14:paraId="3FAC61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中共衡南县委</w:t>
      </w:r>
      <w:r>
        <w:rPr>
          <w:rFonts w:hint="eastAsia" w:ascii="仿宋_GB2312" w:hAnsi="仿宋_GB2312" w:eastAsia="仿宋_GB2312" w:cs="仿宋_GB2312"/>
          <w:sz w:val="32"/>
          <w:szCs w:val="32"/>
          <w:lang w:val="en-US" w:eastAsia="zh-CN"/>
        </w:rPr>
        <w:t>编办</w:t>
      </w:r>
      <w:r>
        <w:rPr>
          <w:rFonts w:hint="eastAsia" w:ascii="仿宋_GB2312" w:hAnsi="仿宋_GB2312" w:eastAsia="仿宋_GB2312" w:cs="仿宋_GB2312"/>
          <w:sz w:val="32"/>
          <w:szCs w:val="32"/>
        </w:rPr>
        <w:t>为全额财政拨款单位，纳入财政会计集中核算和国库集中支付体系，财务制度执行《预算法》、《</w:t>
      </w:r>
      <w:r>
        <w:rPr>
          <w:rFonts w:hint="eastAsia"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rPr>
        <w:t>会计制度》。</w:t>
      </w:r>
    </w:p>
    <w:p w14:paraId="7E0A4A33">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部门职责</w:t>
      </w:r>
    </w:p>
    <w:p w14:paraId="40BB86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1、</w:t>
      </w:r>
      <w:r>
        <w:rPr>
          <w:rFonts w:hint="eastAsia" w:ascii="仿宋_GB2312" w:hAnsi="仿宋_GB2312" w:eastAsia="仿宋_GB2312" w:cs="仿宋_GB2312"/>
          <w:sz w:val="32"/>
          <w:szCs w:val="32"/>
        </w:rPr>
        <w:t>贯彻执行党中央和省、市有关行政管理体制和机构改革，以及机构编制管理的方针政策和法规，全面贯彻落实省委、市委、县委关于机构改革和机构编制管理的决策部署，起草机构编制管理规范性文件，并组织实施。统一管理全县各级党政机关（含党委、政府各部门，人大、政协机关，民主党派、人民团体机关，以及其他行政机构，下同）和事业单位的机构编制工作。</w:t>
      </w:r>
    </w:p>
    <w:p w14:paraId="50CD0D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2、</w:t>
      </w:r>
      <w:r>
        <w:rPr>
          <w:rFonts w:hint="eastAsia" w:ascii="仿宋_GB2312" w:hAnsi="仿宋_GB2312" w:eastAsia="仿宋_GB2312" w:cs="仿宋_GB2312"/>
          <w:sz w:val="32"/>
          <w:szCs w:val="32"/>
        </w:rPr>
        <w:t>负责处理县委编委日常事务工作，协调督促相关单位落实县委编委的决定事项、工作部署和要求；组织开展全县行政管理体制和机构改革以及机构编制管理方面的问题研究，向县委编委提出工作建议。</w:t>
      </w:r>
    </w:p>
    <w:p w14:paraId="598F27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3、</w:t>
      </w:r>
      <w:r>
        <w:rPr>
          <w:rFonts w:hint="eastAsia" w:ascii="仿宋_GB2312" w:hAnsi="仿宋_GB2312" w:eastAsia="仿宋_GB2312" w:cs="仿宋_GB2312"/>
          <w:sz w:val="32"/>
          <w:szCs w:val="32"/>
        </w:rPr>
        <w:t>拟订全县行政管理体制与机构改革总体方案并组织实施；审核县直党政机关各部门和各乡镇机关机构改革方案；指导、协调全县各级行政管理体制和机构改革工作。</w:t>
      </w:r>
    </w:p>
    <w:p w14:paraId="6CD012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4、</w:t>
      </w:r>
      <w:r>
        <w:rPr>
          <w:rFonts w:hint="eastAsia" w:ascii="仿宋_GB2312" w:hAnsi="仿宋_GB2312" w:eastAsia="仿宋_GB2312" w:cs="仿宋_GB2312"/>
          <w:sz w:val="32"/>
          <w:szCs w:val="32"/>
        </w:rPr>
        <w:t>拟订全县事业单位管理体制与机构改革总体方案并组织实施；审核全县科级事业单位机构编制方案；审定全县股级事业单位机构编制方案；指导、协调全县各级事业单位机构改革工作。</w:t>
      </w:r>
    </w:p>
    <w:p w14:paraId="22A35D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5、</w:t>
      </w:r>
      <w:r>
        <w:rPr>
          <w:rFonts w:hint="eastAsia" w:ascii="仿宋_GB2312" w:hAnsi="仿宋_GB2312" w:eastAsia="仿宋_GB2312" w:cs="仿宋_GB2312"/>
          <w:sz w:val="32"/>
          <w:szCs w:val="32"/>
        </w:rPr>
        <w:t>审核全县科级机构、股级全额拨款事业单位的设置和调整；研究提出全县党政机关职责配置和调整的意见，协调各部门之间的事权划分和职责分工；审定全县科级机构的内设机构，股级差额、自收自支事业单位的设置和调整。</w:t>
      </w:r>
    </w:p>
    <w:p w14:paraId="2A66A8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6、</w:t>
      </w:r>
      <w:r>
        <w:rPr>
          <w:rFonts w:hint="eastAsia" w:ascii="仿宋_GB2312" w:hAnsi="仿宋_GB2312" w:eastAsia="仿宋_GB2312" w:cs="仿宋_GB2312"/>
          <w:sz w:val="32"/>
          <w:szCs w:val="32"/>
        </w:rPr>
        <w:t>审核全县党政机关各部门、全县科级事业单位人员编制方案；审定全县股级及以下事业单位人员编制方案；会同相关部门提出全县党政机关、科级事业单位领导职数配备和调整方案；审定全县党政机关、事业单位股级领导职数；拟订全县各级党政机关行政编制、政法专项编制总额分配和调整方案；拟订全县事业单位机构编制标准和管理办法。</w:t>
      </w:r>
    </w:p>
    <w:p w14:paraId="1AB7C2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7、</w:t>
      </w:r>
      <w:r>
        <w:rPr>
          <w:rFonts w:hint="eastAsia" w:ascii="仿宋_GB2312" w:hAnsi="仿宋_GB2312" w:eastAsia="仿宋_GB2312" w:cs="仿宋_GB2312"/>
          <w:sz w:val="32"/>
          <w:szCs w:val="32"/>
        </w:rPr>
        <w:t>负责全县各级党政机关、事业单位机构编制实名制管理；审核纳入县财政统一发放工资的党政机关、事业单位的人员编制性质、数量、实有人数和领导职数；负责全县机构编制统计工作。</w:t>
      </w:r>
    </w:p>
    <w:p w14:paraId="2295B2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8、</w:t>
      </w:r>
      <w:r>
        <w:rPr>
          <w:rFonts w:hint="eastAsia" w:ascii="仿宋_GB2312" w:hAnsi="仿宋_GB2312" w:eastAsia="仿宋_GB2312" w:cs="仿宋_GB2312"/>
          <w:sz w:val="32"/>
          <w:szCs w:val="32"/>
        </w:rPr>
        <w:t>贯彻执行国家、省有关事业单位登记管理的法律、法规、规章；依法对县本级登记管辖范围内（含利用国有资产举办和省、市垂直管理）的事业单位进行登记管理；指导和实施事业单位法人治理结构、绩效评估、信用监管和年度报告公开，以及事业单位法人公示信息抽查工作。</w:t>
      </w:r>
    </w:p>
    <w:p w14:paraId="6EB6FF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9、</w:t>
      </w:r>
      <w:r>
        <w:rPr>
          <w:rFonts w:hint="eastAsia" w:ascii="仿宋_GB2312" w:hAnsi="仿宋_GB2312" w:eastAsia="仿宋_GB2312" w:cs="仿宋_GB2312"/>
          <w:sz w:val="32"/>
          <w:szCs w:val="32"/>
        </w:rPr>
        <w:t>监督检查全县各级党政机关、事业单位机构编制及机构改革方案的执行情况，并对县直单位履行“三定”规定情况进行评估，参与对县直单位的绩效考核工作，会同有关部门查处机构编制违规违纪行为。</w:t>
      </w:r>
    </w:p>
    <w:p w14:paraId="5C1110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10、</w:t>
      </w:r>
      <w:r>
        <w:rPr>
          <w:rFonts w:hint="eastAsia" w:ascii="仿宋_GB2312" w:hAnsi="仿宋_GB2312" w:eastAsia="仿宋_GB2312" w:cs="仿宋_GB2312"/>
          <w:sz w:val="32"/>
          <w:szCs w:val="32"/>
        </w:rPr>
        <w:t>负责全县机关、事业单位“政务”和“公益”中文域名注册的组织、协调、宣传和管理工作。负责开展全县机关、编办直接管理机构编制的群众团体统一社会信用代码赋码工作。</w:t>
      </w:r>
    </w:p>
    <w:p w14:paraId="1011C7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11、</w:t>
      </w:r>
      <w:r>
        <w:rPr>
          <w:rFonts w:hint="eastAsia" w:ascii="仿宋_GB2312" w:hAnsi="仿宋_GB2312" w:eastAsia="仿宋_GB2312" w:cs="仿宋_GB2312"/>
          <w:sz w:val="32"/>
          <w:szCs w:val="32"/>
        </w:rPr>
        <w:t>统一管理全县议事协调机构和临时机构，承担受理、审核、报批县级议事协调机构和临时机构的设置、变更等事项。</w:t>
      </w:r>
    </w:p>
    <w:p w14:paraId="019147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12、</w:t>
      </w:r>
      <w:r>
        <w:rPr>
          <w:rFonts w:hint="eastAsia" w:ascii="仿宋_GB2312" w:hAnsi="仿宋_GB2312" w:eastAsia="仿宋_GB2312" w:cs="仿宋_GB2312"/>
          <w:sz w:val="32"/>
          <w:szCs w:val="32"/>
        </w:rPr>
        <w:t>完成县委和县委编委交办的其它任务。</w:t>
      </w:r>
    </w:p>
    <w:p w14:paraId="2F455F9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（二）机构设置情况</w:t>
      </w:r>
    </w:p>
    <w:p w14:paraId="1F890F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w:t>
      </w:r>
      <w:r>
        <w:rPr>
          <w:rFonts w:hint="default" w:ascii="仿宋_GB2312" w:hAnsi="仿宋_GB2312" w:eastAsia="仿宋_GB2312" w:cs="仿宋_GB2312"/>
          <w:sz w:val="32"/>
          <w:szCs w:val="32"/>
        </w:rPr>
        <w:t>单位</w:t>
      </w:r>
      <w:r>
        <w:rPr>
          <w:rFonts w:hint="eastAsia" w:ascii="仿宋_GB2312" w:hAnsi="仿宋_GB2312" w:eastAsia="仿宋_GB2312" w:cs="仿宋_GB2312"/>
          <w:sz w:val="32"/>
          <w:szCs w:val="32"/>
          <w:lang w:eastAsia="zh-CN"/>
        </w:rPr>
        <w:t>内</w:t>
      </w:r>
      <w:r>
        <w:rPr>
          <w:rFonts w:hint="eastAsia" w:ascii="仿宋_GB2312" w:hAnsi="仿宋_GB2312" w:eastAsia="仿宋_GB2312" w:cs="仿宋_GB2312"/>
          <w:sz w:val="32"/>
          <w:szCs w:val="32"/>
        </w:rPr>
        <w:t>设</w:t>
      </w:r>
      <w:r>
        <w:rPr>
          <w:rFonts w:hint="default" w:ascii="仿宋_GB2312" w:hAnsi="仿宋_GB2312" w:eastAsia="仿宋_GB2312" w:cs="仿宋_GB2312"/>
          <w:sz w:val="32"/>
          <w:szCs w:val="32"/>
        </w:rPr>
        <w:t>综合组</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行政机构编制组、事业机构编制组、法人登记管理组、监督检查组</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5个</w:t>
      </w:r>
      <w:r>
        <w:rPr>
          <w:rFonts w:hint="eastAsia" w:ascii="仿宋_GB2312" w:hAnsi="仿宋_GB2312" w:eastAsia="仿宋_GB2312" w:cs="仿宋_GB2312"/>
          <w:sz w:val="32"/>
          <w:szCs w:val="32"/>
        </w:rPr>
        <w:t>组室，下设</w:t>
      </w:r>
      <w:r>
        <w:rPr>
          <w:rFonts w:hint="eastAsia" w:ascii="仿宋_GB2312" w:hAnsi="仿宋_GB2312" w:eastAsia="仿宋_GB2312" w:cs="仿宋_GB2312"/>
          <w:sz w:val="32"/>
          <w:szCs w:val="32"/>
          <w:lang w:eastAsia="zh-CN"/>
        </w:rPr>
        <w:t>机构编制事务中心</w:t>
      </w:r>
      <w:r>
        <w:rPr>
          <w:rFonts w:hint="eastAsia" w:ascii="仿宋_GB2312" w:hAnsi="仿宋_GB2312" w:eastAsia="仿宋_GB2312" w:cs="仿宋_GB2312"/>
          <w:sz w:val="32"/>
          <w:szCs w:val="32"/>
        </w:rPr>
        <w:t>一个副科级事业单位。</w:t>
      </w:r>
    </w:p>
    <w:p w14:paraId="6DCEF9A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（三）人员编制情况</w:t>
      </w:r>
    </w:p>
    <w:p w14:paraId="225325B8">
      <w:pPr>
        <w:ind w:firstLine="320" w:firstLineChars="100"/>
        <w:rPr>
          <w:rFonts w:ascii="仿宋" w:hAnsi="仿宋" w:eastAsia="仿宋"/>
          <w:sz w:val="32"/>
          <w:szCs w:val="32"/>
        </w:rPr>
      </w:pPr>
      <w:r>
        <w:rPr>
          <w:rFonts w:hint="eastAsia" w:ascii="仿宋_GB2312" w:hAnsi="仿宋_GB2312" w:eastAsia="仿宋_GB2312" w:cs="仿宋_GB2312"/>
          <w:sz w:val="32"/>
          <w:szCs w:val="32"/>
          <w:lang w:eastAsia="zh-CN"/>
        </w:rPr>
        <w:t>财政预算批复安排经费人数为</w:t>
      </w:r>
      <w:r>
        <w:rPr>
          <w:rFonts w:hint="eastAsia" w:ascii="仿宋_GB2312" w:hAnsi="仿宋_GB2312" w:eastAsia="仿宋_GB2312" w:cs="仿宋_GB2312"/>
          <w:sz w:val="32"/>
          <w:szCs w:val="32"/>
          <w:lang w:val="en-US" w:eastAsia="zh-CN"/>
        </w:rPr>
        <w:t>16人，</w:t>
      </w:r>
      <w:r>
        <w:rPr>
          <w:rFonts w:hint="eastAsia" w:ascii="仿宋_GB2312" w:hAnsi="仿宋_GB2312" w:eastAsia="仿宋_GB2312" w:cs="仿宋_GB2312"/>
          <w:sz w:val="32"/>
          <w:szCs w:val="32"/>
        </w:rPr>
        <w:t>截止20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年底全部实有人员</w:t>
      </w:r>
      <w:r>
        <w:rPr>
          <w:rFonts w:hint="eastAsia" w:ascii="仿宋_GB2312" w:hAnsi="仿宋_GB2312" w:eastAsia="仿宋_GB2312" w:cs="仿宋_GB2312"/>
          <w:sz w:val="32"/>
          <w:szCs w:val="32"/>
          <w:lang w:val="en-US" w:eastAsia="zh-CN"/>
        </w:rPr>
        <w:t>15</w:t>
      </w:r>
      <w:r>
        <w:rPr>
          <w:rFonts w:hint="default"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（调出一人）</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其中在职行政</w:t>
      </w:r>
      <w:r>
        <w:rPr>
          <w:rFonts w:hint="eastAsia" w:ascii="仿宋_GB2312" w:hAnsi="仿宋_GB2312" w:eastAsia="仿宋_GB2312" w:cs="仿宋_GB2312"/>
          <w:sz w:val="32"/>
          <w:szCs w:val="32"/>
          <w:lang w:eastAsia="zh-CN"/>
        </w:rPr>
        <w:t>编制</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人，全额事业</w:t>
      </w:r>
      <w:r>
        <w:rPr>
          <w:rFonts w:hint="eastAsia" w:ascii="仿宋_GB2312" w:hAnsi="仿宋_GB2312" w:eastAsia="仿宋_GB2312" w:cs="仿宋_GB2312"/>
          <w:sz w:val="32"/>
          <w:szCs w:val="32"/>
          <w:lang w:eastAsia="zh-CN"/>
        </w:rPr>
        <w:t>编制</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人，退休</w:t>
      </w:r>
      <w:r>
        <w:rPr>
          <w:rFonts w:hint="default" w:ascii="仿宋_GB2312" w:hAnsi="仿宋_GB2312" w:eastAsia="仿宋_GB2312" w:cs="仿宋_GB2312"/>
          <w:sz w:val="32"/>
          <w:szCs w:val="32"/>
        </w:rPr>
        <w:t>2</w:t>
      </w:r>
      <w:r>
        <w:rPr>
          <w:rFonts w:hint="eastAsia" w:ascii="仿宋_GB2312" w:hAnsi="仿宋_GB2312" w:eastAsia="仿宋_GB2312" w:cs="仿宋_GB2312"/>
          <w:sz w:val="32"/>
          <w:szCs w:val="32"/>
        </w:rPr>
        <w:t>人。</w:t>
      </w:r>
      <w:r>
        <w:rPr>
          <w:rFonts w:hint="eastAsia" w:ascii="仿宋" w:hAnsi="仿宋" w:eastAsia="仿宋"/>
          <w:sz w:val="32"/>
          <w:szCs w:val="32"/>
        </w:rPr>
        <w:t xml:space="preserve"> </w:t>
      </w:r>
    </w:p>
    <w:p w14:paraId="27BC5B08">
      <w:pPr>
        <w:ind w:firstLine="320" w:firstLineChars="100"/>
        <w:rPr>
          <w:rFonts w:hint="eastAsia" w:ascii="黑体" w:hAnsi="黑体" w:eastAsia="黑体" w:cs="黑体"/>
          <w:sz w:val="32"/>
          <w:szCs w:val="32"/>
        </w:rPr>
      </w:pPr>
      <w:r>
        <w:rPr>
          <w:rFonts w:hint="eastAsia" w:ascii="仿宋" w:hAnsi="仿宋" w:eastAsia="仿宋"/>
          <w:sz w:val="32"/>
          <w:szCs w:val="32"/>
        </w:rPr>
        <w:t xml:space="preserve"> </w:t>
      </w:r>
      <w:r>
        <w:rPr>
          <w:rFonts w:hint="eastAsia" w:ascii="黑体" w:hAnsi="黑体" w:eastAsia="黑体" w:cs="黑体"/>
          <w:sz w:val="32"/>
          <w:szCs w:val="32"/>
        </w:rPr>
        <w:t>二、部门整体支出管理及使用情况</w:t>
      </w:r>
    </w:p>
    <w:p w14:paraId="7E8321E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1.部门预算收支情况</w:t>
      </w:r>
    </w:p>
    <w:p w14:paraId="409328BE">
      <w:pPr>
        <w:keepNext w:val="0"/>
        <w:keepLines w:val="0"/>
        <w:pageBreakBefore w:val="0"/>
        <w:widowControl/>
        <w:kinsoku/>
        <w:wordWrap/>
        <w:overflowPunct/>
        <w:autoSpaceDE/>
        <w:autoSpaceDN/>
        <w:bidi w:val="0"/>
        <w:adjustRightInd/>
        <w:spacing w:line="560" w:lineRule="exact"/>
        <w:ind w:firstLine="640"/>
        <w:textAlignment w:val="auto"/>
        <w:rPr>
          <w:rFonts w:hint="eastAsia" w:ascii="仿宋" w:hAnsi="仿宋" w:eastAsia="仿宋" w:cs="仿宋"/>
          <w:sz w:val="32"/>
          <w:szCs w:val="32"/>
        </w:rPr>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2021年各项支出预算批复包干数为</w:t>
      </w:r>
      <w:r>
        <w:rPr>
          <w:rFonts w:hint="eastAsia" w:ascii="仿宋_GB2312" w:hAnsi="仿宋_GB2312" w:eastAsia="仿宋_GB2312" w:cs="仿宋_GB2312"/>
          <w:sz w:val="32"/>
          <w:szCs w:val="32"/>
          <w:lang w:val="en-US" w:eastAsia="zh-CN"/>
        </w:rPr>
        <w:t>187.12</w:t>
      </w:r>
      <w:r>
        <w:rPr>
          <w:rFonts w:hint="eastAsia" w:ascii="仿宋_GB2312" w:hAnsi="仿宋_GB2312" w:eastAsia="仿宋_GB2312" w:cs="仿宋_GB2312"/>
          <w:sz w:val="32"/>
          <w:szCs w:val="32"/>
        </w:rPr>
        <w:t>万元（均为公共财政拨款），</w:t>
      </w:r>
      <w:r>
        <w:rPr>
          <w:rFonts w:hint="eastAsia" w:ascii="仿宋_GB2312" w:hAnsi="仿宋_GB2312" w:eastAsia="仿宋_GB2312" w:cs="仿宋_GB2312"/>
          <w:sz w:val="32"/>
          <w:szCs w:val="32"/>
          <w:lang w:eastAsia="zh-CN"/>
        </w:rPr>
        <w:t>年初结转</w:t>
      </w:r>
      <w:r>
        <w:rPr>
          <w:rFonts w:hint="eastAsia" w:ascii="仿宋_GB2312" w:hAnsi="仿宋_GB2312" w:eastAsia="仿宋_GB2312" w:cs="仿宋_GB2312"/>
          <w:sz w:val="32"/>
          <w:szCs w:val="32"/>
          <w:lang w:val="en-US" w:eastAsia="zh-CN"/>
        </w:rPr>
        <w:t>52.49万元，</w:t>
      </w:r>
      <w:r>
        <w:rPr>
          <w:rFonts w:hint="eastAsia" w:ascii="仿宋_GB2312" w:hAnsi="仿宋_GB2312" w:eastAsia="仿宋_GB2312" w:cs="仿宋_GB2312"/>
          <w:sz w:val="32"/>
          <w:szCs w:val="32"/>
        </w:rPr>
        <w:t>比上年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41.09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增长</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lang w:val="zh-CN"/>
        </w:rPr>
        <w:t>%,增减变化的主要原因是：</w:t>
      </w:r>
      <w:r>
        <w:rPr>
          <w:rFonts w:hint="eastAsia" w:ascii="仿宋_GB2312" w:hAnsi="仿宋_GB2312" w:eastAsia="仿宋_GB2312" w:cs="仿宋_GB2312"/>
          <w:sz w:val="32"/>
          <w:szCs w:val="32"/>
          <w:lang w:eastAsia="zh-CN"/>
        </w:rPr>
        <w:t>人员经费增长</w:t>
      </w:r>
      <w:r>
        <w:rPr>
          <w:rFonts w:hint="eastAsia" w:ascii="仿宋" w:hAnsi="仿宋" w:eastAsia="仿宋" w:cs="仿宋"/>
          <w:sz w:val="32"/>
          <w:szCs w:val="32"/>
        </w:rPr>
        <w:t>。</w:t>
      </w:r>
    </w:p>
    <w:p w14:paraId="5621B8AC">
      <w:pPr>
        <w:spacing w:line="600" w:lineRule="exact"/>
        <w:ind w:firstLine="643" w:firstLineChars="200"/>
        <w:rPr>
          <w:rFonts w:hint="eastAsia" w:ascii="楷体" w:hAnsi="楷体" w:eastAsia="楷体"/>
          <w:b/>
          <w:sz w:val="32"/>
          <w:szCs w:val="32"/>
        </w:rPr>
      </w:pPr>
      <w:r>
        <w:rPr>
          <w:rFonts w:hint="eastAsia" w:ascii="楷体" w:hAnsi="楷体" w:eastAsia="楷体"/>
          <w:b/>
          <w:sz w:val="32"/>
          <w:szCs w:val="32"/>
        </w:rPr>
        <w:t>（二）</w:t>
      </w:r>
      <w:r>
        <w:rPr>
          <w:rFonts w:hint="eastAsia" w:ascii="楷体" w:hAnsi="楷体" w:eastAsia="楷体"/>
          <w:b/>
          <w:sz w:val="32"/>
          <w:szCs w:val="32"/>
          <w:lang w:val="en-US" w:eastAsia="zh-CN"/>
        </w:rPr>
        <w:t>2021</w:t>
      </w:r>
      <w:r>
        <w:rPr>
          <w:rFonts w:hint="eastAsia" w:ascii="楷体" w:hAnsi="楷体" w:eastAsia="楷体"/>
          <w:b/>
          <w:sz w:val="32"/>
          <w:szCs w:val="32"/>
        </w:rPr>
        <w:t>年部门决算情况</w:t>
      </w:r>
    </w:p>
    <w:p w14:paraId="3674E51A">
      <w:pPr>
        <w:keepNext w:val="0"/>
        <w:keepLines w:val="0"/>
        <w:pageBreakBefore w:val="0"/>
        <w:widowControl/>
        <w:kinsoku/>
        <w:wordWrap/>
        <w:overflowPunct/>
        <w:autoSpaceDE/>
        <w:autoSpaceDN/>
        <w:bidi w:val="0"/>
        <w:adjustRightIn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2021年部门收入决算数为2</w:t>
      </w:r>
      <w:r>
        <w:rPr>
          <w:rFonts w:hint="eastAsia" w:ascii="仿宋_GB2312" w:hAnsi="仿宋_GB2312" w:eastAsia="仿宋_GB2312" w:cs="仿宋_GB2312"/>
          <w:sz w:val="32"/>
          <w:szCs w:val="32"/>
          <w:lang w:val="en-US" w:eastAsia="zh-CN"/>
        </w:rPr>
        <w:t>81.03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其中一般公共预算财政拨款收入281.03万元,上年结转结余0.02万元。</w:t>
      </w:r>
      <w:r>
        <w:rPr>
          <w:rFonts w:hint="eastAsia" w:ascii="仿宋_GB2312" w:hAnsi="仿宋_GB2312" w:eastAsia="仿宋_GB2312" w:cs="仿宋_GB2312"/>
          <w:sz w:val="32"/>
          <w:szCs w:val="32"/>
        </w:rPr>
        <w:t>支出决算数为281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05万元，202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年末结转</w:t>
      </w:r>
      <w:r>
        <w:rPr>
          <w:rFonts w:hint="eastAsia" w:ascii="仿宋_GB2312" w:hAnsi="仿宋_GB2312" w:eastAsia="仿宋_GB2312" w:cs="仿宋_GB2312"/>
          <w:sz w:val="32"/>
          <w:szCs w:val="32"/>
          <w:lang w:val="en-US" w:eastAsia="zh-CN"/>
        </w:rPr>
        <w:t>结余43.2万元。</w:t>
      </w:r>
    </w:p>
    <w:p w14:paraId="573E5E86">
      <w:pPr>
        <w:spacing w:line="600" w:lineRule="exact"/>
        <w:ind w:firstLine="643" w:firstLineChars="200"/>
        <w:rPr>
          <w:rFonts w:hint="eastAsia" w:ascii="楷体" w:hAnsi="楷体" w:eastAsia="楷体"/>
          <w:b/>
          <w:sz w:val="32"/>
          <w:szCs w:val="32"/>
        </w:rPr>
      </w:pPr>
      <w:r>
        <w:rPr>
          <w:rFonts w:hint="eastAsia" w:ascii="楷体" w:hAnsi="楷体" w:eastAsia="楷体"/>
          <w:b/>
          <w:sz w:val="32"/>
          <w:szCs w:val="32"/>
        </w:rPr>
        <w:t>（三）20</w:t>
      </w:r>
      <w:r>
        <w:rPr>
          <w:rFonts w:hint="eastAsia" w:ascii="楷体" w:hAnsi="楷体" w:eastAsia="楷体"/>
          <w:b/>
          <w:sz w:val="32"/>
          <w:szCs w:val="32"/>
          <w:lang w:val="en-US" w:eastAsia="zh-CN"/>
        </w:rPr>
        <w:t>21</w:t>
      </w:r>
      <w:r>
        <w:rPr>
          <w:rFonts w:hint="eastAsia" w:ascii="楷体" w:hAnsi="楷体" w:eastAsia="楷体"/>
          <w:b/>
          <w:sz w:val="32"/>
          <w:szCs w:val="32"/>
        </w:rPr>
        <w:t>年支出分类情况</w:t>
      </w:r>
    </w:p>
    <w:p w14:paraId="67B3226D">
      <w:pPr>
        <w:pStyle w:val="2"/>
        <w:rPr>
          <w:rFonts w:hint="default" w:eastAsia="楷体"/>
          <w:lang w:val="en-US" w:eastAsia="zh-CN"/>
        </w:rPr>
      </w:pPr>
      <w:r>
        <w:rPr>
          <w:rFonts w:hint="eastAsia" w:ascii="楷体" w:hAnsi="楷体" w:eastAsia="楷体"/>
          <w:b/>
          <w:sz w:val="32"/>
          <w:szCs w:val="32"/>
          <w:lang w:val="en-US" w:eastAsia="zh-CN"/>
        </w:rPr>
        <w:t xml:space="preserve">     （1）基本支出</w:t>
      </w:r>
    </w:p>
    <w:p w14:paraId="59418B74">
      <w:pPr>
        <w:keepNext w:val="0"/>
        <w:keepLines w:val="0"/>
        <w:pageBreakBefore w:val="0"/>
        <w:widowControl/>
        <w:kinsoku/>
        <w:wordWrap/>
        <w:overflowPunct/>
        <w:autoSpaceDE/>
        <w:autoSpaceDN/>
        <w:bidi w:val="0"/>
        <w:adjustRightInd/>
        <w:spacing w:line="56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lang w:eastAsia="zh-CN"/>
        </w:rPr>
        <w:t>年度用于保障我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lang w:eastAsia="zh-CN"/>
        </w:rPr>
        <w:t>正常运转的日常支出</w:t>
      </w:r>
      <w:r>
        <w:rPr>
          <w:rFonts w:hint="eastAsia" w:ascii="仿宋_GB2312" w:hAnsi="仿宋_GB2312" w:eastAsia="仿宋_GB2312" w:cs="仿宋_GB2312"/>
          <w:sz w:val="32"/>
          <w:szCs w:val="32"/>
          <w:lang w:val="en-US" w:eastAsia="zh-CN"/>
        </w:rPr>
        <w:t>194.10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包括基本工资、津贴补贴等人员经费支出</w:t>
      </w:r>
      <w:r>
        <w:rPr>
          <w:rFonts w:hint="eastAsia" w:ascii="仿宋_GB2312" w:hAnsi="仿宋_GB2312" w:eastAsia="仿宋_GB2312" w:cs="仿宋_GB2312"/>
          <w:sz w:val="32"/>
          <w:szCs w:val="32"/>
          <w:lang w:val="en-US" w:eastAsia="zh-CN"/>
        </w:rPr>
        <w:t>178.72万元，占基本支出的92.08%。</w:t>
      </w:r>
    </w:p>
    <w:p w14:paraId="01D5A24A">
      <w:pPr>
        <w:keepNext w:val="0"/>
        <w:keepLines w:val="0"/>
        <w:pageBreakBefore w:val="0"/>
        <w:widowControl/>
        <w:kinsoku/>
        <w:wordWrap/>
        <w:overflowPunct/>
        <w:autoSpaceDE/>
        <w:autoSpaceDN/>
        <w:bidi w:val="0"/>
        <w:adjustRightIn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公用经费</w:t>
      </w:r>
      <w:r>
        <w:rPr>
          <w:rFonts w:hint="eastAsia" w:ascii="仿宋_GB2312" w:hAnsi="仿宋_GB2312" w:eastAsia="仿宋_GB2312" w:cs="仿宋_GB2312"/>
          <w:sz w:val="32"/>
          <w:szCs w:val="32"/>
          <w:lang w:val="en-US" w:eastAsia="zh-CN"/>
        </w:rPr>
        <w:t>15.37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用于办公费、印刷费、水电费、办公设备购置等日常公用经费支出，占基本支出的</w:t>
      </w:r>
      <w:r>
        <w:rPr>
          <w:rFonts w:hint="eastAsia" w:ascii="仿宋_GB2312" w:hAnsi="仿宋_GB2312" w:eastAsia="仿宋_GB2312" w:cs="仿宋_GB2312"/>
          <w:sz w:val="32"/>
          <w:szCs w:val="32"/>
          <w:lang w:val="en-US" w:eastAsia="zh-CN"/>
        </w:rPr>
        <w:t>7.92%。</w:t>
      </w:r>
    </w:p>
    <w:p w14:paraId="78CDE9F4">
      <w:pPr>
        <w:pStyle w:val="3"/>
        <w:keepNext w:val="0"/>
        <w:keepLines w:val="0"/>
        <w:pageBreakBefore w:val="0"/>
        <w:kinsoku/>
        <w:wordWrap/>
        <w:overflowPunct/>
        <w:topLinePunct w:val="0"/>
        <w:autoSpaceDN/>
        <w:bidi w:val="0"/>
        <w:snapToGrid/>
        <w:spacing w:line="700" w:lineRule="exact"/>
        <w:ind w:left="420" w:leftChars="200"/>
        <w:jc w:val="left"/>
        <w:textAlignment w:val="auto"/>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（2）项目支出</w:t>
      </w:r>
    </w:p>
    <w:p w14:paraId="18057D85">
      <w:pPr>
        <w:keepNext w:val="0"/>
        <w:keepLines w:val="0"/>
        <w:pageBreakBefore w:val="0"/>
        <w:widowControl/>
        <w:kinsoku/>
        <w:wordWrap/>
        <w:overflowPunct/>
        <w:autoSpaceDE/>
        <w:autoSpaceDN/>
        <w:bidi w:val="0"/>
        <w:adjustRightIn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支出系我单位为完成各项年初专项工作目标而发生的支出。2021年项目支出86.95万元，主要内容有：完成公安体制改革；完成规民工作；完成事业单位改革工作；完成六大领域执法机构改革工作；完成县委下达的绩效考核指标任务等工作发生的支出。</w:t>
      </w:r>
    </w:p>
    <w:p w14:paraId="7917786C">
      <w:pPr>
        <w:spacing w:line="600" w:lineRule="exact"/>
        <w:rPr>
          <w:rFonts w:ascii="楷体" w:hAnsi="楷体" w:eastAsia="楷体"/>
          <w:b/>
          <w:sz w:val="32"/>
          <w:szCs w:val="32"/>
        </w:rPr>
      </w:pPr>
      <w:r>
        <w:rPr>
          <w:rFonts w:hint="eastAsia" w:ascii="仿宋" w:hAnsi="仿宋" w:eastAsia="仿宋" w:cs="仿宋"/>
          <w:sz w:val="32"/>
          <w:szCs w:val="32"/>
        </w:rPr>
        <w:t xml:space="preserve">     </w:t>
      </w:r>
      <w:r>
        <w:rPr>
          <w:rFonts w:hint="eastAsia" w:ascii="楷体" w:hAnsi="楷体" w:eastAsia="楷体"/>
          <w:b/>
          <w:sz w:val="32"/>
          <w:szCs w:val="32"/>
        </w:rPr>
        <w:t>（四）“三公”经费情况</w:t>
      </w:r>
    </w:p>
    <w:p w14:paraId="316630CE">
      <w:pPr>
        <w:pStyle w:val="3"/>
        <w:keepNext w:val="0"/>
        <w:keepLines w:val="0"/>
        <w:pageBreakBefore w:val="0"/>
        <w:kinsoku/>
        <w:wordWrap/>
        <w:overflowPunct/>
        <w:topLinePunct w:val="0"/>
        <w:autoSpaceDN/>
        <w:bidi w:val="0"/>
        <w:snapToGrid/>
        <w:spacing w:line="700" w:lineRule="exact"/>
        <w:ind w:left="420" w:leftChars="20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 因公出国（境）经费</w:t>
      </w:r>
    </w:p>
    <w:p w14:paraId="3BDF61D8">
      <w:pPr>
        <w:keepNext w:val="0"/>
        <w:keepLines w:val="0"/>
        <w:pageBreakBefore w:val="0"/>
        <w:widowControl/>
        <w:shd w:val="clear" w:color="auto" w:fill="FFFFFF"/>
        <w:kinsoku/>
        <w:wordWrap/>
        <w:overflowPunct/>
        <w:topLinePunct w:val="0"/>
        <w:autoSpaceDN/>
        <w:bidi w:val="0"/>
        <w:snapToGrid/>
        <w:spacing w:line="700" w:lineRule="exact"/>
        <w:ind w:left="420" w:leftChars="20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2021年预算安排0万元。无安排因公出国(境)经费。</w:t>
      </w:r>
    </w:p>
    <w:p w14:paraId="650A208E">
      <w:pPr>
        <w:keepNext w:val="0"/>
        <w:keepLines w:val="0"/>
        <w:pageBreakBefore w:val="0"/>
        <w:widowControl/>
        <w:shd w:val="clear" w:color="auto" w:fill="FFFFFF"/>
        <w:kinsoku/>
        <w:wordWrap/>
        <w:overflowPunct/>
        <w:topLinePunct w:val="0"/>
        <w:autoSpaceDN/>
        <w:bidi w:val="0"/>
        <w:snapToGrid/>
        <w:spacing w:line="700" w:lineRule="exact"/>
        <w:ind w:left="420" w:leftChars="20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2.公务接待费</w:t>
      </w:r>
    </w:p>
    <w:p w14:paraId="5C84785A">
      <w:pPr>
        <w:keepNext w:val="0"/>
        <w:keepLines w:val="0"/>
        <w:pageBreakBefore w:val="0"/>
        <w:widowControl/>
        <w:shd w:val="clear" w:color="auto" w:fill="FFFFFF"/>
        <w:kinsoku/>
        <w:wordWrap/>
        <w:overflowPunct/>
        <w:topLinePunct w:val="0"/>
        <w:autoSpaceDN/>
        <w:bidi w:val="0"/>
        <w:snapToGrid/>
        <w:spacing w:line="700" w:lineRule="exact"/>
        <w:ind w:left="420" w:leftChars="20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2021年公务接待费0.45万元。主要用于市领导莅临指导调研和检查工作等方面的接待活动，及接待其他县来访的工作交流、沟通学习等工作用餐。</w:t>
      </w:r>
    </w:p>
    <w:p w14:paraId="6F6904D7">
      <w:pPr>
        <w:keepNext w:val="0"/>
        <w:keepLines w:val="0"/>
        <w:pageBreakBefore w:val="0"/>
        <w:widowControl/>
        <w:shd w:val="clear" w:color="auto" w:fill="FFFFFF"/>
        <w:kinsoku/>
        <w:wordWrap/>
        <w:overflowPunct/>
        <w:topLinePunct w:val="0"/>
        <w:autoSpaceDN/>
        <w:bidi w:val="0"/>
        <w:snapToGrid/>
        <w:spacing w:line="700" w:lineRule="exact"/>
        <w:ind w:firstLine="960" w:firstLineChars="3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 公务用车购置及运行费</w:t>
      </w:r>
    </w:p>
    <w:p w14:paraId="71DEF634">
      <w:pPr>
        <w:pStyle w:val="2"/>
        <w:ind w:firstLine="960" w:firstLineChars="300"/>
        <w:rPr>
          <w:rFonts w:hint="eastAsia"/>
          <w:lang w:val="en-US" w:eastAsia="zh-CN"/>
        </w:rPr>
      </w:pPr>
      <w:r>
        <w:rPr>
          <w:rFonts w:hint="eastAsia" w:ascii="仿宋_GB2312" w:hAnsi="仿宋_GB2312" w:eastAsia="仿宋_GB2312" w:cs="仿宋_GB2312"/>
          <w:kern w:val="2"/>
          <w:sz w:val="32"/>
          <w:szCs w:val="32"/>
          <w:lang w:val="en-US" w:eastAsia="zh-CN" w:bidi="ar-SA"/>
        </w:rPr>
        <w:t>2021年预算安排0万元。无经费安排。</w:t>
      </w:r>
    </w:p>
    <w:p w14:paraId="42B2DF0F">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 w:hAnsi="仿宋" w:eastAsia="仿宋" w:cs="仿宋"/>
          <w:b/>
          <w:kern w:val="0"/>
          <w:sz w:val="32"/>
          <w:szCs w:val="32"/>
        </w:rPr>
      </w:pPr>
      <w:r>
        <w:rPr>
          <w:rFonts w:hint="eastAsia" w:ascii="仿宋" w:hAnsi="仿宋" w:eastAsia="仿宋" w:cs="仿宋"/>
          <w:b/>
          <w:kern w:val="0"/>
          <w:sz w:val="32"/>
          <w:szCs w:val="32"/>
        </w:rPr>
        <w:t>（四）其他事项说明</w:t>
      </w:r>
    </w:p>
    <w:p w14:paraId="4D7F9532">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1.日常公用经费</w:t>
      </w:r>
    </w:p>
    <w:p w14:paraId="506C1378">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2021年我单位机关运行经费支出15.37万元，与2020年6.12万元增加7.38万元，开展大型活动及会议较上年增加同，同时购置了办公设备。</w:t>
      </w:r>
    </w:p>
    <w:p w14:paraId="6492E069">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3.国有资产占用使用情况</w:t>
      </w:r>
    </w:p>
    <w:p w14:paraId="09E80509">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截至2021年12月31日，我单位共有车辆0辆，其中，领导干部用车0辆、机要通信用车0辆、应急保障用车0辆、执法执勤用车0辆、特种专业技术用车0辆、其他用车0辆；单位价值50万元以上通用设备0台（套）；单位价值100万元以上专用设备0台（套）。</w:t>
      </w:r>
    </w:p>
    <w:p w14:paraId="1873E81B">
      <w:pPr>
        <w:keepNext w:val="0"/>
        <w:keepLines w:val="0"/>
        <w:pageBreakBefore w:val="0"/>
        <w:kinsoku/>
        <w:wordWrap/>
        <w:overflowPunct/>
        <w:topLinePunct w:val="0"/>
        <w:autoSpaceDN/>
        <w:bidi w:val="0"/>
        <w:snapToGrid/>
        <w:spacing w:line="700" w:lineRule="exact"/>
        <w:ind w:firstLine="1280" w:firstLineChars="400"/>
        <w:jc w:val="left"/>
        <w:textAlignment w:val="auto"/>
        <w:rPr>
          <w:rFonts w:ascii="黑体" w:hAnsi="黑体" w:eastAsia="黑体" w:cs="黑体"/>
          <w:sz w:val="32"/>
          <w:szCs w:val="32"/>
        </w:rPr>
      </w:pPr>
      <w:r>
        <w:rPr>
          <w:rFonts w:hint="eastAsia" w:ascii="黑体" w:hAnsi="黑体" w:eastAsia="黑体" w:cs="黑体"/>
          <w:color w:val="333333"/>
          <w:kern w:val="0"/>
          <w:sz w:val="32"/>
          <w:szCs w:val="32"/>
        </w:rPr>
        <w:t>三、</w:t>
      </w:r>
      <w:r>
        <w:rPr>
          <w:rFonts w:hint="eastAsia" w:ascii="黑体" w:hAnsi="黑体" w:eastAsia="黑体" w:cs="黑体"/>
          <w:sz w:val="32"/>
          <w:szCs w:val="32"/>
        </w:rPr>
        <w:t>部门整体支出绩效情况</w:t>
      </w:r>
    </w:p>
    <w:p w14:paraId="4395C1E5">
      <w:pPr>
        <w:keepNext w:val="0"/>
        <w:keepLines w:val="0"/>
        <w:pageBreakBefore w:val="0"/>
        <w:kinsoku/>
        <w:wordWrap/>
        <w:overflowPunct/>
        <w:topLinePunct w:val="0"/>
        <w:autoSpaceDN/>
        <w:bidi w:val="0"/>
        <w:snapToGrid/>
        <w:spacing w:line="700" w:lineRule="exact"/>
        <w:ind w:left="420" w:leftChars="200" w:firstLine="602" w:firstLineChars="200"/>
        <w:jc w:val="left"/>
        <w:textAlignment w:val="auto"/>
        <w:rPr>
          <w:rFonts w:hint="eastAsia" w:ascii="仿宋" w:hAnsi="仿宋" w:eastAsia="仿宋" w:cs="仿宋"/>
          <w:b/>
          <w:sz w:val="30"/>
          <w:szCs w:val="30"/>
        </w:rPr>
      </w:pPr>
      <w:r>
        <w:rPr>
          <w:rFonts w:hint="eastAsia" w:ascii="仿宋" w:hAnsi="仿宋" w:eastAsia="仿宋" w:cs="仿宋"/>
          <w:b/>
          <w:sz w:val="30"/>
          <w:szCs w:val="30"/>
        </w:rPr>
        <w:t>（一）预算配置指标</w:t>
      </w:r>
    </w:p>
    <w:p w14:paraId="73398229">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编制人数共15人，其中行政编制10个，全额事业编制5个；实际在职人员15人，其中行政编制10人，全额事业编5人，在编制控制范围内。</w:t>
      </w:r>
    </w:p>
    <w:p w14:paraId="78B46273">
      <w:pPr>
        <w:keepNext w:val="0"/>
        <w:keepLines w:val="0"/>
        <w:pageBreakBefore w:val="0"/>
        <w:kinsoku/>
        <w:wordWrap/>
        <w:overflowPunct/>
        <w:topLinePunct w:val="0"/>
        <w:autoSpaceDN/>
        <w:bidi w:val="0"/>
        <w:snapToGrid/>
        <w:spacing w:line="700" w:lineRule="exact"/>
        <w:ind w:left="420" w:leftChars="200" w:firstLine="602" w:firstLineChars="200"/>
        <w:jc w:val="left"/>
        <w:textAlignment w:val="auto"/>
        <w:rPr>
          <w:rFonts w:hint="eastAsia" w:ascii="仿宋" w:hAnsi="仿宋" w:eastAsia="仿宋" w:cs="仿宋"/>
          <w:b/>
          <w:sz w:val="30"/>
          <w:szCs w:val="30"/>
        </w:rPr>
      </w:pPr>
      <w:r>
        <w:rPr>
          <w:rFonts w:hint="eastAsia" w:ascii="仿宋" w:hAnsi="仿宋" w:eastAsia="仿宋" w:cs="仿宋"/>
          <w:b/>
          <w:sz w:val="30"/>
          <w:szCs w:val="30"/>
        </w:rPr>
        <w:t>（二）预算执行指标</w:t>
      </w:r>
    </w:p>
    <w:p w14:paraId="48091C8A">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2021年支出决算为281.05万元，为全年预算的123%。“三公经费”支出</w:t>
      </w:r>
      <w:r>
        <w:rPr>
          <w:rFonts w:hint="eastAsia" w:ascii="仿宋_GB2312" w:hAnsi="仿宋_GB2312" w:eastAsia="仿宋_GB2312" w:cs="仿宋_GB2312"/>
          <w:kern w:val="2"/>
          <w:sz w:val="32"/>
          <w:szCs w:val="32"/>
          <w:highlight w:val="none"/>
          <w:lang w:val="en-US" w:eastAsia="zh-CN" w:bidi="ar-SA"/>
        </w:rPr>
        <w:t>0.45</w:t>
      </w:r>
      <w:r>
        <w:rPr>
          <w:rFonts w:hint="eastAsia" w:ascii="仿宋_GB2312" w:hAnsi="仿宋_GB2312" w:eastAsia="仿宋_GB2312" w:cs="仿宋_GB2312"/>
          <w:kern w:val="2"/>
          <w:sz w:val="32"/>
          <w:szCs w:val="32"/>
          <w:lang w:val="en-US" w:eastAsia="zh-CN" w:bidi="ar-SA"/>
        </w:rPr>
        <w:t>万元，在正常开展工作所需范围内。</w:t>
      </w:r>
    </w:p>
    <w:p w14:paraId="6E66A0E7">
      <w:pPr>
        <w:keepNext w:val="0"/>
        <w:keepLines w:val="0"/>
        <w:pageBreakBefore w:val="0"/>
        <w:kinsoku/>
        <w:wordWrap/>
        <w:overflowPunct/>
        <w:topLinePunct w:val="0"/>
        <w:autoSpaceDN/>
        <w:bidi w:val="0"/>
        <w:snapToGrid/>
        <w:spacing w:line="700" w:lineRule="exact"/>
        <w:ind w:left="420" w:leftChars="200" w:firstLine="602" w:firstLineChars="200"/>
        <w:jc w:val="left"/>
        <w:textAlignment w:val="auto"/>
        <w:rPr>
          <w:rFonts w:hint="eastAsia" w:ascii="仿宋" w:hAnsi="仿宋" w:eastAsia="仿宋" w:cs="仿宋"/>
          <w:sz w:val="32"/>
          <w:szCs w:val="32"/>
        </w:rPr>
      </w:pPr>
      <w:r>
        <w:rPr>
          <w:rFonts w:hint="eastAsia" w:ascii="仿宋" w:hAnsi="仿宋" w:eastAsia="仿宋" w:cs="仿宋"/>
          <w:b/>
          <w:sz w:val="30"/>
          <w:szCs w:val="30"/>
        </w:rPr>
        <w:t>（三）预算管理指标</w:t>
      </w:r>
    </w:p>
    <w:p w14:paraId="02754B85">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2021年我单位预算管理各项指标控制较好。2022年主要从以下几个方面加强预算管理：</w:t>
      </w:r>
    </w:p>
    <w:p w14:paraId="2B792C37">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一是进一步规范财务管理。根据</w:t>
      </w:r>
      <w:bookmarkStart w:id="0" w:name="_GoBack"/>
      <w:bookmarkEnd w:id="0"/>
      <w:r>
        <w:rPr>
          <w:rFonts w:hint="eastAsia" w:ascii="仿宋_GB2312" w:hAnsi="仿宋_GB2312" w:eastAsia="仿宋_GB2312" w:cs="仿宋_GB2312"/>
          <w:kern w:val="2"/>
          <w:sz w:val="32"/>
          <w:szCs w:val="32"/>
          <w:lang w:val="en-US" w:eastAsia="zh-CN" w:bidi="ar-SA"/>
        </w:rPr>
        <w:t>中央八项规定精神以及财务管理方面的法律、法规和审计等部门的意见，我单位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w:t>
      </w:r>
    </w:p>
    <w:p w14:paraId="3B76737F">
      <w:pPr>
        <w:keepNext w:val="0"/>
        <w:keepLines w:val="0"/>
        <w:pageBreakBefore w:val="0"/>
        <w:widowControl/>
        <w:shd w:val="clear" w:color="auto" w:fill="FFFFFF"/>
        <w:kinsoku/>
        <w:wordWrap/>
        <w:overflowPunct/>
        <w:topLinePunct w:val="0"/>
        <w:autoSpaceDN/>
        <w:bidi w:val="0"/>
        <w:snapToGrid/>
        <w:spacing w:line="700" w:lineRule="exact"/>
        <w:ind w:left="420" w:leftChars="200" w:firstLine="48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二是依法依规公开部门预决算。根据全县部门预决算公开工作统一安排部署，我办公开了2021年部门预算和“三公”经费预算，社会反响良好，圆满完成了“三公”经费预算公开工作。</w:t>
      </w:r>
    </w:p>
    <w:p w14:paraId="25BCF098">
      <w:pPr>
        <w:pStyle w:val="2"/>
        <w:rPr>
          <w:rFonts w:hint="eastAsia"/>
          <w:lang w:eastAsia="zh-CN"/>
        </w:rPr>
      </w:pPr>
    </w:p>
    <w:p w14:paraId="0A543E9D">
      <w:pPr>
        <w:keepNext w:val="0"/>
        <w:keepLines w:val="0"/>
        <w:pageBreakBefore w:val="0"/>
        <w:widowControl w:val="0"/>
        <w:kinsoku/>
        <w:wordWrap/>
        <w:overflowPunct/>
        <w:topLinePunct w:val="0"/>
        <w:autoSpaceDN/>
        <w:bidi w:val="0"/>
        <w:adjustRightInd w:val="0"/>
        <w:snapToGrid/>
        <w:spacing w:line="700" w:lineRule="exact"/>
        <w:ind w:left="420" w:leftChars="200" w:firstLine="643" w:firstLineChars="200"/>
        <w:jc w:val="left"/>
        <w:textAlignment w:val="auto"/>
        <w:rPr>
          <w:rFonts w:hint="eastAsia" w:ascii="黑体" w:hAnsi="黑体" w:eastAsia="黑体" w:cs="黑体"/>
          <w:b/>
          <w:bCs/>
          <w:sz w:val="32"/>
          <w:szCs w:val="32"/>
        </w:rPr>
      </w:pPr>
      <w:r>
        <w:rPr>
          <w:rFonts w:hint="eastAsia" w:ascii="黑体" w:hAnsi="黑体" w:eastAsia="黑体" w:cs="黑体"/>
          <w:b/>
          <w:bCs/>
          <w:sz w:val="32"/>
          <w:szCs w:val="32"/>
        </w:rPr>
        <w:t>四、履职效益指标</w:t>
      </w:r>
    </w:p>
    <w:p w14:paraId="583ED767">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衡南县财政局相关会议精神，我单位开展了部门整体支出绩效评价工作，具体工作方法包括：1、查阅资料。查阅2021年预算按排、预算追加、经费支出、资金管理、资产管理等相关文件和财务凭证。2、核实数据。对2021年度部门整体支出数据的准确性、真实性进行核实，将2021年度部门整体支出情况与2021年度预算情况、2021年度部门整体支出情况进行比较分析。3、实地查看。现场查看各类事务资产。4、汇总归纳。根据取得的各项数据及文件资料，结合现场评价情况进行综合分析、归纳汇总，填写基础数据表、评价指标评分表。5、形成绩效评价报告。</w:t>
      </w:r>
    </w:p>
    <w:p w14:paraId="05B15F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2021年，根据我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初工作规划和重点性工作，围绕县委、县政府中心工作，积极履职，强化管理，较好的完成了年度工作目标。通过加强预算收支的管理，不断建立健全内部管理制度，理顺内部管理流程，部门整体支出管理情况得到了提升。部门整体支出绩效情况如下：</w:t>
      </w:r>
    </w:p>
    <w:p w14:paraId="486A53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1、在职人员控制率：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14:paraId="479C7B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2、“三公经费”控制率：-5%。严格控制“三公经费”支出，开源节流。</w:t>
      </w:r>
    </w:p>
    <w:p w14:paraId="14870D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3、预算完成率：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14:paraId="0A44B5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4、政府采购执行率：</w:t>
      </w:r>
      <w:r>
        <w:rPr>
          <w:rFonts w:hint="eastAsia" w:ascii="仿宋_GB2312" w:hAnsi="仿宋_GB2312" w:eastAsia="仿宋_GB2312" w:cs="仿宋_GB2312"/>
          <w:sz w:val="32"/>
          <w:szCs w:val="32"/>
          <w:lang w:val="en-US" w:eastAsia="zh-CN"/>
        </w:rPr>
        <w:t>95</w:t>
      </w:r>
      <w:r>
        <w:rPr>
          <w:rFonts w:hint="eastAsia" w:ascii="仿宋_GB2312" w:hAnsi="仿宋_GB2312" w:eastAsia="仿宋_GB2312" w:cs="仿宋_GB2312"/>
          <w:sz w:val="32"/>
          <w:szCs w:val="32"/>
        </w:rPr>
        <w:t>%。</w:t>
      </w:r>
    </w:p>
    <w:p w14:paraId="545AB3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5、在资金管理上，我</w:t>
      </w:r>
      <w:r>
        <w:rPr>
          <w:rFonts w:hint="eastAsia" w:ascii="仿宋_GB2312" w:hAnsi="仿宋_GB2312" w:eastAsia="仿宋_GB2312" w:cs="仿宋_GB2312"/>
          <w:sz w:val="32"/>
          <w:szCs w:val="32"/>
          <w:lang w:val="en-US" w:eastAsia="zh-CN"/>
        </w:rPr>
        <w:t>部</w:t>
      </w:r>
      <w:r>
        <w:rPr>
          <w:rFonts w:hint="eastAsia" w:ascii="仿宋_GB2312" w:hAnsi="仿宋_GB2312" w:eastAsia="仿宋_GB2312" w:cs="仿宋_GB2312"/>
          <w:sz w:val="32"/>
          <w:szCs w:val="32"/>
        </w:rPr>
        <w:t>制定了一系列的财务管理制度。</w:t>
      </w:r>
    </w:p>
    <w:p w14:paraId="79866DEA">
      <w:pPr>
        <w:pStyle w:val="2"/>
        <w:rPr>
          <w:rFonts w:hint="eastAsia"/>
          <w:lang w:val="en-US" w:eastAsia="zh-CN"/>
        </w:rPr>
      </w:pPr>
    </w:p>
    <w:p w14:paraId="5CFDD207">
      <w:pPr>
        <w:keepNext w:val="0"/>
        <w:keepLines w:val="0"/>
        <w:pageBreakBefore w:val="0"/>
        <w:widowControl w:val="0"/>
        <w:kinsoku/>
        <w:wordWrap/>
        <w:overflowPunct/>
        <w:topLinePunct w:val="0"/>
        <w:autoSpaceDN/>
        <w:bidi w:val="0"/>
        <w:adjustRightInd w:val="0"/>
        <w:snapToGrid/>
        <w:spacing w:line="700" w:lineRule="exact"/>
        <w:ind w:left="420" w:leftChars="200" w:firstLine="643" w:firstLineChars="200"/>
        <w:jc w:val="left"/>
        <w:textAlignment w:val="auto"/>
        <w:rPr>
          <w:rFonts w:hint="eastAsia" w:ascii="黑体" w:hAnsi="黑体" w:eastAsia="黑体" w:cs="黑体"/>
          <w:b/>
          <w:bCs/>
          <w:sz w:val="32"/>
          <w:szCs w:val="32"/>
        </w:rPr>
      </w:pPr>
      <w:r>
        <w:rPr>
          <w:rFonts w:hint="eastAsia" w:ascii="黑体" w:hAnsi="黑体" w:eastAsia="黑体" w:cs="黑体"/>
          <w:b/>
          <w:bCs/>
          <w:sz w:val="32"/>
          <w:szCs w:val="32"/>
        </w:rPr>
        <w:t>五、存在的主要问题</w:t>
      </w:r>
    </w:p>
    <w:p w14:paraId="673414BD">
      <w:pPr>
        <w:keepNext w:val="0"/>
        <w:keepLines w:val="0"/>
        <w:pageBreakBefore w:val="0"/>
        <w:widowControl w:val="0"/>
        <w:kinsoku/>
        <w:wordWrap/>
        <w:overflowPunct/>
        <w:topLinePunct w:val="0"/>
        <w:autoSpaceDE/>
        <w:autoSpaceDN/>
        <w:bidi w:val="0"/>
        <w:adjustRightInd/>
        <w:snapToGrid/>
        <w:spacing w:line="700" w:lineRule="exact"/>
        <w:ind w:left="420" w:leftChars="20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预算的编制是一项对政策性、技术性和时效性都很强的工作，需要预算编制人员具有较高政策水平、专业技术水平和很强预测力。为适应国家更为严格、规范、精细化的财务管理要求提高预算的科学性、合理性，提高预算与执行资金的口径基本同步。因此我们需加强业务学习。</w:t>
      </w:r>
    </w:p>
    <w:p w14:paraId="47544FA2">
      <w:pPr>
        <w:keepNext w:val="0"/>
        <w:keepLines w:val="0"/>
        <w:pageBreakBefore w:val="0"/>
        <w:widowControl w:val="0"/>
        <w:kinsoku/>
        <w:wordWrap/>
        <w:overflowPunct/>
        <w:topLinePunct w:val="0"/>
        <w:autoSpaceDE/>
        <w:autoSpaceDN/>
        <w:bidi w:val="0"/>
        <w:adjustRightInd/>
        <w:snapToGrid/>
        <w:spacing w:line="700" w:lineRule="exact"/>
        <w:ind w:left="420" w:leftChars="20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２、内部控制制度还待于进一步完善。</w:t>
      </w:r>
    </w:p>
    <w:p w14:paraId="356458EF">
      <w:pPr>
        <w:keepNext w:val="0"/>
        <w:keepLines w:val="0"/>
        <w:pageBreakBefore w:val="0"/>
        <w:widowControl w:val="0"/>
        <w:kinsoku/>
        <w:wordWrap/>
        <w:overflowPunct/>
        <w:topLinePunct w:val="0"/>
        <w:autoSpaceDE/>
        <w:autoSpaceDN/>
        <w:bidi w:val="0"/>
        <w:adjustRightInd/>
        <w:snapToGrid/>
        <w:spacing w:line="700" w:lineRule="exact"/>
        <w:ind w:left="420" w:leftChars="20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3、现金开支管理还需加强，减少现金支付。</w:t>
      </w:r>
    </w:p>
    <w:p w14:paraId="5B7D947E">
      <w:pPr>
        <w:pStyle w:val="2"/>
        <w:rPr>
          <w:rFonts w:hint="eastAsia"/>
        </w:rPr>
      </w:pPr>
    </w:p>
    <w:p w14:paraId="77F3B6DD">
      <w:pPr>
        <w:pStyle w:val="2"/>
        <w:rPr>
          <w:rFonts w:hint="eastAsia"/>
        </w:rPr>
      </w:pPr>
    </w:p>
    <w:p w14:paraId="1B605D4C">
      <w:pPr>
        <w:pStyle w:val="2"/>
        <w:rPr>
          <w:rFonts w:hint="eastAsia"/>
        </w:rPr>
      </w:pPr>
    </w:p>
    <w:p w14:paraId="536912B6">
      <w:pPr>
        <w:keepNext w:val="0"/>
        <w:keepLines w:val="0"/>
        <w:pageBreakBefore w:val="0"/>
        <w:widowControl w:val="0"/>
        <w:kinsoku/>
        <w:wordWrap/>
        <w:overflowPunct/>
        <w:topLinePunct w:val="0"/>
        <w:autoSpaceDN/>
        <w:bidi w:val="0"/>
        <w:adjustRightInd w:val="0"/>
        <w:snapToGrid/>
        <w:spacing w:line="700" w:lineRule="exact"/>
        <w:ind w:left="420" w:leftChars="200" w:firstLine="643" w:firstLineChars="200"/>
        <w:jc w:val="left"/>
        <w:textAlignment w:val="auto"/>
        <w:rPr>
          <w:rFonts w:hint="eastAsia" w:ascii="黑体" w:hAnsi="黑体" w:eastAsia="黑体" w:cs="黑体"/>
          <w:b/>
          <w:bCs/>
          <w:sz w:val="32"/>
          <w:szCs w:val="32"/>
        </w:rPr>
      </w:pPr>
      <w:r>
        <w:rPr>
          <w:rFonts w:hint="eastAsia" w:ascii="黑体" w:hAnsi="黑体" w:eastAsia="黑体" w:cs="黑体"/>
          <w:b/>
          <w:bCs/>
          <w:sz w:val="32"/>
          <w:szCs w:val="32"/>
        </w:rPr>
        <w:t>六、改进措施和建议</w:t>
      </w:r>
    </w:p>
    <w:p w14:paraId="4A5998D3">
      <w:pPr>
        <w:keepNext w:val="0"/>
        <w:keepLines w:val="0"/>
        <w:pageBreakBefore w:val="0"/>
        <w:widowControl w:val="0"/>
        <w:kinsoku/>
        <w:wordWrap/>
        <w:overflowPunct/>
        <w:topLinePunct w:val="0"/>
        <w:autoSpaceDE/>
        <w:autoSpaceDN/>
        <w:bidi w:val="0"/>
        <w:adjustRightInd/>
        <w:snapToGrid/>
        <w:spacing w:line="700" w:lineRule="exact"/>
        <w:ind w:left="420" w:leftChars="20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进一步加强内部机构的预算管理意识，严格按照预算编制的相关制度和要求，进一步提高预算编制的科学性、合理性、严谨性和可控性，在日常预算管理过程中，进一步加强预算支出的审核、跟踪及预算执行情况分析。</w:t>
      </w:r>
    </w:p>
    <w:p w14:paraId="6A28F7EB"/>
    <w:sectPr>
      <w:footerReference r:id="rId3" w:type="default"/>
      <w:pgSz w:w="11906" w:h="16838"/>
      <w:pgMar w:top="1701" w:right="1701" w:bottom="1701" w:left="1701" w:header="851" w:footer="119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A95E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DD30C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DD30C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CA6817"/>
    <w:multiLevelType w:val="singleLevel"/>
    <w:tmpl w:val="CFCA681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0ZDI4NGJhMDkwNTA5OTJjMmIyY2Y1MzA0OTE1MjQifQ=="/>
  </w:docVars>
  <w:rsids>
    <w:rsidRoot w:val="00000000"/>
    <w:rsid w:val="02925DE0"/>
    <w:rsid w:val="03D1434D"/>
    <w:rsid w:val="042913CB"/>
    <w:rsid w:val="04F5023D"/>
    <w:rsid w:val="078D3C7B"/>
    <w:rsid w:val="083406E4"/>
    <w:rsid w:val="0C2C6AD6"/>
    <w:rsid w:val="0CEF6437"/>
    <w:rsid w:val="0EAF2A15"/>
    <w:rsid w:val="114F36DD"/>
    <w:rsid w:val="2001395D"/>
    <w:rsid w:val="2AB41BC0"/>
    <w:rsid w:val="31E62B06"/>
    <w:rsid w:val="3495780F"/>
    <w:rsid w:val="38CC58A6"/>
    <w:rsid w:val="3D9A2417"/>
    <w:rsid w:val="3DE05F9A"/>
    <w:rsid w:val="418A651B"/>
    <w:rsid w:val="4313490B"/>
    <w:rsid w:val="43233DFF"/>
    <w:rsid w:val="43970ED1"/>
    <w:rsid w:val="4A187AA1"/>
    <w:rsid w:val="4B8B7843"/>
    <w:rsid w:val="4C2A3AAE"/>
    <w:rsid w:val="51556B08"/>
    <w:rsid w:val="5256666E"/>
    <w:rsid w:val="561F12B3"/>
    <w:rsid w:val="5AC30C9A"/>
    <w:rsid w:val="5C90445F"/>
    <w:rsid w:val="5E79177D"/>
    <w:rsid w:val="61630BEE"/>
    <w:rsid w:val="61CD250B"/>
    <w:rsid w:val="627C4686"/>
    <w:rsid w:val="62BB1865"/>
    <w:rsid w:val="62D374A8"/>
    <w:rsid w:val="63B30A30"/>
    <w:rsid w:val="6593598D"/>
    <w:rsid w:val="687E455F"/>
    <w:rsid w:val="6DC7672D"/>
    <w:rsid w:val="6DE704B1"/>
    <w:rsid w:val="6FAC7C04"/>
    <w:rsid w:val="79355192"/>
    <w:rsid w:val="7A9F7EE5"/>
    <w:rsid w:val="7C117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 w:type="paragraph" w:styleId="3">
    <w:name w:val="Normal (Web)"/>
    <w:basedOn w:val="1"/>
    <w:unhideWhenUsed/>
    <w:qFormat/>
    <w:uiPriority w:val="99"/>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2020</Words>
  <Characters>2142</Characters>
  <Lines>0</Lines>
  <Paragraphs>0</Paragraphs>
  <TotalTime>27</TotalTime>
  <ScaleCrop>false</ScaleCrop>
  <LinksUpToDate>false</LinksUpToDate>
  <CharactersWithSpaces>2194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2022-04-24T14:54:00Z</dcterms:created>
  <dc:creator>TXRPC</dc:creator>
  <cp:lastModifiedBy>admin</cp:lastModifiedBy>
  <dcterms:modified xsi:type="dcterms:W3CDTF">2025-08-29T07:20:38Z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08D34BF25729421CBE2C529EECEDB538</vt:lpwstr>
  </property>
  <property fmtid="{D5CDD505-2E9C-101B-9397-08002B2CF9AE}" pid="4" name="KSOTemplateDocerSaveRecord">
    <vt:lpwstr>eyJoZGlkIjoiMDgyOTcyNjg2OWFiMTYwMWFlOWJjZjI0MWRlOTIxYjEifQ==</vt:lpwstr>
  </property>
</Properties>
</file>