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454E6D">
      <w:pPr>
        <w:pStyle w:val="19"/>
        <w:jc w:val="center"/>
        <w:rPr>
          <w:sz w:val="56"/>
          <w:szCs w:val="56"/>
        </w:rPr>
      </w:pPr>
    </w:p>
    <w:p w14:paraId="59E5B730">
      <w:pPr>
        <w:pStyle w:val="19"/>
        <w:jc w:val="center"/>
        <w:rPr>
          <w:sz w:val="56"/>
          <w:szCs w:val="56"/>
        </w:rPr>
      </w:pPr>
    </w:p>
    <w:p w14:paraId="0CBCD268">
      <w:pPr>
        <w:pStyle w:val="19"/>
        <w:jc w:val="center"/>
        <w:rPr>
          <w:sz w:val="84"/>
          <w:szCs w:val="84"/>
        </w:rPr>
      </w:pPr>
    </w:p>
    <w:p w14:paraId="75B3B7A0">
      <w:pPr>
        <w:pStyle w:val="19"/>
        <w:jc w:val="center"/>
        <w:rPr>
          <w:sz w:val="84"/>
          <w:szCs w:val="84"/>
        </w:rPr>
      </w:pPr>
    </w:p>
    <w:p w14:paraId="37DFFC28">
      <w:pPr>
        <w:pStyle w:val="19"/>
        <w:jc w:val="center"/>
        <w:rPr>
          <w:sz w:val="84"/>
          <w:szCs w:val="84"/>
        </w:rPr>
      </w:pPr>
      <w:r>
        <w:rPr>
          <w:rFonts w:hint="eastAsia"/>
          <w:sz w:val="84"/>
          <w:szCs w:val="84"/>
        </w:rPr>
        <w:t>2020年度</w:t>
      </w:r>
    </w:p>
    <w:p w14:paraId="2DF85FAE">
      <w:pPr>
        <w:pStyle w:val="19"/>
        <w:jc w:val="center"/>
        <w:rPr>
          <w:sz w:val="84"/>
          <w:szCs w:val="84"/>
        </w:rPr>
      </w:pPr>
      <w:r>
        <w:rPr>
          <w:rFonts w:hint="eastAsia"/>
          <w:sz w:val="84"/>
          <w:szCs w:val="84"/>
        </w:rPr>
        <w:t>衡南县咸塘镇人民</w:t>
      </w:r>
    </w:p>
    <w:p w14:paraId="7129450B">
      <w:pPr>
        <w:pStyle w:val="19"/>
        <w:jc w:val="center"/>
        <w:rPr>
          <w:sz w:val="84"/>
          <w:szCs w:val="84"/>
        </w:rPr>
      </w:pPr>
      <w:r>
        <w:rPr>
          <w:rFonts w:hint="eastAsia"/>
          <w:sz w:val="84"/>
          <w:szCs w:val="84"/>
        </w:rPr>
        <w:t>政府部门决算</w:t>
      </w:r>
    </w:p>
    <w:p w14:paraId="16104E1A">
      <w:pPr>
        <w:pStyle w:val="19"/>
        <w:jc w:val="center"/>
        <w:rPr>
          <w:sz w:val="56"/>
          <w:szCs w:val="56"/>
        </w:rPr>
      </w:pPr>
    </w:p>
    <w:p w14:paraId="0037FD76">
      <w:pPr>
        <w:pStyle w:val="19"/>
        <w:jc w:val="center"/>
        <w:rPr>
          <w:sz w:val="56"/>
          <w:szCs w:val="56"/>
        </w:rPr>
      </w:pPr>
    </w:p>
    <w:p w14:paraId="5B5AB301">
      <w:pPr>
        <w:pStyle w:val="19"/>
        <w:jc w:val="center"/>
        <w:rPr>
          <w:sz w:val="56"/>
          <w:szCs w:val="56"/>
        </w:rPr>
      </w:pPr>
    </w:p>
    <w:p w14:paraId="39D6DB87">
      <w:pPr>
        <w:pStyle w:val="19"/>
        <w:jc w:val="center"/>
        <w:rPr>
          <w:sz w:val="56"/>
          <w:szCs w:val="56"/>
        </w:rPr>
      </w:pPr>
    </w:p>
    <w:p w14:paraId="10C8DAFC">
      <w:pPr>
        <w:pStyle w:val="19"/>
        <w:jc w:val="center"/>
        <w:rPr>
          <w:sz w:val="56"/>
          <w:szCs w:val="56"/>
        </w:rPr>
      </w:pPr>
    </w:p>
    <w:p w14:paraId="215C0FC1">
      <w:pPr>
        <w:pStyle w:val="19"/>
        <w:spacing w:line="540" w:lineRule="exact"/>
        <w:jc w:val="both"/>
        <w:rPr>
          <w:sz w:val="56"/>
          <w:szCs w:val="56"/>
        </w:rPr>
      </w:pPr>
    </w:p>
    <w:p w14:paraId="00ADDB09">
      <w:pPr>
        <w:pStyle w:val="19"/>
        <w:spacing w:line="520" w:lineRule="exact"/>
        <w:jc w:val="center"/>
        <w:rPr>
          <w:sz w:val="56"/>
          <w:szCs w:val="56"/>
        </w:rPr>
      </w:pPr>
    </w:p>
    <w:p w14:paraId="224ACC45">
      <w:pPr>
        <w:pStyle w:val="19"/>
        <w:spacing w:line="520" w:lineRule="exact"/>
        <w:jc w:val="center"/>
        <w:rPr>
          <w:sz w:val="56"/>
          <w:szCs w:val="56"/>
        </w:rPr>
      </w:pPr>
      <w:r>
        <w:rPr>
          <w:rFonts w:hint="eastAsia"/>
          <w:sz w:val="56"/>
          <w:szCs w:val="56"/>
        </w:rPr>
        <w:t>目录</w:t>
      </w:r>
    </w:p>
    <w:p w14:paraId="7DE4E7E7">
      <w:pPr>
        <w:pStyle w:val="19"/>
        <w:spacing w:line="520" w:lineRule="exact"/>
        <w:rPr>
          <w:rFonts w:ascii="仿宋_GB2312" w:hAnsi="仿宋_GB2312" w:cs="仿宋_GB2312"/>
          <w:b/>
          <w:sz w:val="28"/>
          <w:szCs w:val="28"/>
        </w:rPr>
      </w:pPr>
      <w:r>
        <w:rPr>
          <w:rFonts w:hint="eastAsia"/>
          <w:b/>
          <w:sz w:val="28"/>
          <w:szCs w:val="28"/>
        </w:rPr>
        <w:t>第一部分衡南县咸塘镇人民政府单位概况</w:t>
      </w:r>
    </w:p>
    <w:p w14:paraId="33CC4A45">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14:paraId="51A06814">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14:paraId="400182AF">
      <w:pPr>
        <w:pStyle w:val="19"/>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14:paraId="7EF78738">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14:paraId="762DA38D">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14:paraId="3A53C4BE">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14:paraId="0C898B58">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14:paraId="785C753B">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14:paraId="31D3DD96">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14:paraId="2BE25483">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14:paraId="27B48D18">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14:paraId="2D8B6750">
      <w:pPr>
        <w:pStyle w:val="19"/>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14:paraId="08C01FEC">
      <w:pPr>
        <w:pStyle w:val="1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14:paraId="094137C8">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14:paraId="6931D2F2">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14:paraId="70B5F0D6">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14:paraId="2D3E6786">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14:paraId="34B28644">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14:paraId="7ADADB2C">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14:paraId="3C0F6661">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14:paraId="2ACF56C0">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14:paraId="08DBF0E9">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十、关于机关运行经费支出说明</w:t>
      </w:r>
    </w:p>
    <w:p w14:paraId="4C6AD127">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十一、一般性支出情况说明</w:t>
      </w:r>
    </w:p>
    <w:p w14:paraId="310B819B">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十二、关于政府采购支出说明</w:t>
      </w:r>
    </w:p>
    <w:p w14:paraId="0AD3ADF7">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十三、关于国有资产占用情况说明</w:t>
      </w:r>
    </w:p>
    <w:p w14:paraId="173BEA77">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十四、关于2020年度预算绩效情况说明</w:t>
      </w:r>
    </w:p>
    <w:p w14:paraId="4DF8750D">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14:paraId="41683A1E">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14:paraId="14E22991">
      <w:pPr>
        <w:jc w:val="center"/>
        <w:rPr>
          <w:sz w:val="72"/>
          <w:szCs w:val="72"/>
        </w:rPr>
      </w:pPr>
    </w:p>
    <w:p w14:paraId="4622EB86">
      <w:pPr>
        <w:jc w:val="center"/>
        <w:rPr>
          <w:sz w:val="72"/>
          <w:szCs w:val="72"/>
        </w:rPr>
      </w:pPr>
    </w:p>
    <w:p w14:paraId="1396CE83">
      <w:pPr>
        <w:jc w:val="center"/>
        <w:rPr>
          <w:sz w:val="72"/>
          <w:szCs w:val="72"/>
        </w:rPr>
      </w:pPr>
    </w:p>
    <w:p w14:paraId="53AC4C35">
      <w:pPr>
        <w:pStyle w:val="2"/>
      </w:pPr>
    </w:p>
    <w:p w14:paraId="3470B5CB">
      <w:pPr>
        <w:pStyle w:val="2"/>
      </w:pPr>
    </w:p>
    <w:p w14:paraId="0B63AF9C">
      <w:pPr>
        <w:pStyle w:val="2"/>
      </w:pPr>
    </w:p>
    <w:p w14:paraId="0C72B1BD">
      <w:pPr>
        <w:pStyle w:val="2"/>
      </w:pPr>
    </w:p>
    <w:p w14:paraId="7160062F">
      <w:pPr>
        <w:pStyle w:val="2"/>
      </w:pPr>
    </w:p>
    <w:p w14:paraId="5E8D88F3">
      <w:pPr>
        <w:pStyle w:val="2"/>
      </w:pPr>
    </w:p>
    <w:p w14:paraId="2AC99683">
      <w:pPr>
        <w:pStyle w:val="2"/>
      </w:pPr>
    </w:p>
    <w:p w14:paraId="2BFFE85F">
      <w:pPr>
        <w:pStyle w:val="2"/>
      </w:pPr>
    </w:p>
    <w:p w14:paraId="16C2FA3F">
      <w:pPr>
        <w:pStyle w:val="2"/>
      </w:pPr>
    </w:p>
    <w:p w14:paraId="61AE3EEC">
      <w:pPr>
        <w:pStyle w:val="2"/>
      </w:pPr>
    </w:p>
    <w:p w14:paraId="121A138A">
      <w:pPr>
        <w:pStyle w:val="2"/>
      </w:pPr>
    </w:p>
    <w:p w14:paraId="2CC1E12F">
      <w:pPr>
        <w:pStyle w:val="2"/>
      </w:pPr>
    </w:p>
    <w:p w14:paraId="600C337D">
      <w:pPr>
        <w:pStyle w:val="2"/>
      </w:pPr>
    </w:p>
    <w:p w14:paraId="1A3B87DF">
      <w:pPr>
        <w:pStyle w:val="2"/>
      </w:pPr>
    </w:p>
    <w:p w14:paraId="2AA44E13">
      <w:pPr>
        <w:pStyle w:val="2"/>
      </w:pPr>
    </w:p>
    <w:p w14:paraId="2AAEB5B7">
      <w:pPr>
        <w:pStyle w:val="2"/>
      </w:pPr>
    </w:p>
    <w:p w14:paraId="5185EB79">
      <w:pPr>
        <w:jc w:val="center"/>
        <w:rPr>
          <w:sz w:val="72"/>
          <w:szCs w:val="72"/>
        </w:rPr>
      </w:pPr>
    </w:p>
    <w:p w14:paraId="526310DB">
      <w:pPr>
        <w:rPr>
          <w:sz w:val="72"/>
          <w:szCs w:val="72"/>
        </w:rPr>
      </w:pPr>
    </w:p>
    <w:p w14:paraId="7ECB72C9">
      <w:pPr>
        <w:jc w:val="center"/>
        <w:rPr>
          <w:b/>
          <w:bCs/>
          <w:sz w:val="72"/>
          <w:szCs w:val="72"/>
        </w:rPr>
      </w:pPr>
      <w:r>
        <w:rPr>
          <w:rFonts w:hint="eastAsia"/>
          <w:b/>
          <w:bCs/>
          <w:sz w:val="72"/>
          <w:szCs w:val="72"/>
        </w:rPr>
        <w:t>第一部分</w:t>
      </w:r>
    </w:p>
    <w:p w14:paraId="58BAD278">
      <w:pPr>
        <w:jc w:val="center"/>
        <w:rPr>
          <w:b/>
          <w:bCs/>
          <w:sz w:val="72"/>
          <w:szCs w:val="72"/>
        </w:rPr>
      </w:pPr>
    </w:p>
    <w:p w14:paraId="282173C6">
      <w:pPr>
        <w:jc w:val="center"/>
        <w:rPr>
          <w:b/>
          <w:bCs/>
          <w:sz w:val="72"/>
          <w:szCs w:val="72"/>
        </w:rPr>
      </w:pPr>
      <w:r>
        <w:rPr>
          <w:rFonts w:hint="eastAsia"/>
          <w:b/>
          <w:bCs/>
          <w:sz w:val="72"/>
          <w:szCs w:val="72"/>
        </w:rPr>
        <w:t>衡南县咸塘镇人民</w:t>
      </w:r>
    </w:p>
    <w:p w14:paraId="4CB6139A">
      <w:pPr>
        <w:jc w:val="center"/>
        <w:rPr>
          <w:b/>
          <w:bCs/>
          <w:sz w:val="72"/>
          <w:szCs w:val="72"/>
        </w:rPr>
      </w:pPr>
      <w:r>
        <w:rPr>
          <w:rFonts w:hint="eastAsia"/>
          <w:b/>
          <w:bCs/>
          <w:sz w:val="72"/>
          <w:szCs w:val="72"/>
        </w:rPr>
        <w:t>政府单位概况</w:t>
      </w:r>
    </w:p>
    <w:p w14:paraId="46EEA3A5">
      <w:pPr>
        <w:jc w:val="center"/>
        <w:rPr>
          <w:b/>
          <w:bCs/>
          <w:sz w:val="72"/>
          <w:szCs w:val="72"/>
        </w:rPr>
      </w:pPr>
    </w:p>
    <w:p w14:paraId="1FCBA4EF">
      <w:pPr>
        <w:jc w:val="center"/>
        <w:rPr>
          <w:sz w:val="72"/>
          <w:szCs w:val="72"/>
        </w:rPr>
      </w:pPr>
    </w:p>
    <w:p w14:paraId="4C80BD8A">
      <w:pPr>
        <w:rPr>
          <w:sz w:val="72"/>
          <w:szCs w:val="72"/>
        </w:rPr>
      </w:pPr>
    </w:p>
    <w:p w14:paraId="6FDC588C">
      <w:pPr>
        <w:widowControl/>
        <w:snapToGrid w:val="0"/>
        <w:spacing w:line="600" w:lineRule="exact"/>
        <w:ind w:firstLine="680" w:firstLineChars="200"/>
        <w:rPr>
          <w:rFonts w:ascii="方正黑体_GBK" w:hAnsi="方正黑体_GBK" w:eastAsia="方正黑体_GBK" w:cs="方正黑体_GBK"/>
          <w:kern w:val="0"/>
          <w:sz w:val="34"/>
          <w:szCs w:val="34"/>
        </w:rPr>
      </w:pPr>
    </w:p>
    <w:p w14:paraId="2FE0BD3C">
      <w:pPr>
        <w:widowControl/>
        <w:snapToGrid w:val="0"/>
        <w:spacing w:line="600" w:lineRule="exact"/>
        <w:ind w:firstLine="680" w:firstLineChars="200"/>
        <w:rPr>
          <w:rFonts w:ascii="方正黑体_GBK" w:hAnsi="方正黑体_GBK" w:eastAsia="方正黑体_GBK" w:cs="方正黑体_GBK"/>
          <w:kern w:val="0"/>
          <w:sz w:val="34"/>
          <w:szCs w:val="34"/>
        </w:rPr>
      </w:pPr>
    </w:p>
    <w:p w14:paraId="5F1D1597">
      <w:pPr>
        <w:widowControl/>
        <w:snapToGrid w:val="0"/>
        <w:spacing w:line="600" w:lineRule="exact"/>
        <w:ind w:firstLine="680" w:firstLineChars="200"/>
        <w:rPr>
          <w:rFonts w:ascii="方正黑体_GBK" w:hAnsi="方正黑体_GBK" w:eastAsia="方正黑体_GBK" w:cs="方正黑体_GBK"/>
          <w:kern w:val="0"/>
          <w:sz w:val="34"/>
          <w:szCs w:val="34"/>
        </w:rPr>
      </w:pPr>
    </w:p>
    <w:p w14:paraId="397F3B9E">
      <w:pPr>
        <w:widowControl/>
        <w:snapToGrid w:val="0"/>
        <w:spacing w:line="600" w:lineRule="exact"/>
        <w:ind w:firstLine="680" w:firstLineChars="200"/>
        <w:rPr>
          <w:rFonts w:ascii="方正黑体_GBK" w:hAnsi="方正黑体_GBK" w:eastAsia="方正黑体_GBK" w:cs="方正黑体_GBK"/>
          <w:kern w:val="0"/>
          <w:sz w:val="34"/>
          <w:szCs w:val="34"/>
        </w:rPr>
      </w:pPr>
    </w:p>
    <w:p w14:paraId="24CE4A63">
      <w:pPr>
        <w:widowControl/>
        <w:snapToGrid w:val="0"/>
        <w:spacing w:line="600" w:lineRule="exact"/>
        <w:ind w:firstLine="680" w:firstLineChars="200"/>
        <w:rPr>
          <w:rFonts w:ascii="方正黑体_GBK" w:hAnsi="方正黑体_GBK" w:eastAsia="方正黑体_GBK" w:cs="方正黑体_GBK"/>
          <w:kern w:val="0"/>
          <w:sz w:val="34"/>
          <w:szCs w:val="34"/>
        </w:rPr>
      </w:pPr>
      <w:r>
        <w:rPr>
          <w:rFonts w:hint="eastAsia" w:ascii="方正黑体_GBK" w:hAnsi="方正黑体_GBK" w:eastAsia="方正黑体_GBK" w:cs="方正黑体_GBK"/>
          <w:kern w:val="0"/>
          <w:sz w:val="34"/>
          <w:szCs w:val="34"/>
        </w:rPr>
        <w:t>一、部门职责</w:t>
      </w:r>
    </w:p>
    <w:p w14:paraId="7BC3B7CD">
      <w:pPr>
        <w:pStyle w:val="20"/>
        <w:numPr>
          <w:ilvl w:val="0"/>
          <w:numId w:val="1"/>
        </w:numPr>
        <w:ind w:firstLine="680"/>
        <w:jc w:val="left"/>
        <w:rPr>
          <w:rFonts w:ascii="方正仿宋_GBK" w:hAnsi="方正仿宋_GBK" w:eastAsia="方正仿宋_GBK" w:cs="方正仿宋_GBK"/>
          <w:kern w:val="0"/>
          <w:sz w:val="34"/>
          <w:szCs w:val="34"/>
        </w:rPr>
      </w:pPr>
      <w:r>
        <w:rPr>
          <w:rFonts w:hint="eastAsia" w:ascii="方正仿宋_GBK" w:hAnsi="方正仿宋_GBK" w:eastAsia="方正仿宋_GBK" w:cs="方正仿宋_GBK"/>
          <w:kern w:val="0"/>
          <w:sz w:val="34"/>
          <w:szCs w:val="34"/>
        </w:rPr>
        <w:t>负责宣传贯彻党的路线、方针、政策和国家法律法规，执行上级党委的决定和命令。</w:t>
      </w:r>
    </w:p>
    <w:p w14:paraId="2281B149">
      <w:pPr>
        <w:pStyle w:val="20"/>
        <w:numPr>
          <w:ilvl w:val="0"/>
          <w:numId w:val="1"/>
        </w:numPr>
        <w:ind w:firstLine="680"/>
        <w:jc w:val="left"/>
        <w:rPr>
          <w:rFonts w:ascii="方正仿宋_GBK" w:hAnsi="方正仿宋_GBK" w:eastAsia="方正仿宋_GBK" w:cs="方正仿宋_GBK"/>
          <w:kern w:val="0"/>
          <w:sz w:val="34"/>
          <w:szCs w:val="34"/>
        </w:rPr>
      </w:pPr>
      <w:r>
        <w:rPr>
          <w:rFonts w:hint="eastAsia" w:ascii="方正仿宋_GBK" w:hAnsi="方正仿宋_GBK" w:eastAsia="方正仿宋_GBK" w:cs="方正仿宋_GBK"/>
          <w:kern w:val="0"/>
          <w:sz w:val="34"/>
          <w:szCs w:val="34"/>
        </w:rPr>
        <w:t>负责对咸塘镇实施政治、思想和方针政策的领导；负责乡镇的思想政治工作和精神文明建设。</w:t>
      </w:r>
    </w:p>
    <w:p w14:paraId="4B6C8B22">
      <w:pPr>
        <w:pStyle w:val="20"/>
        <w:numPr>
          <w:ilvl w:val="0"/>
          <w:numId w:val="1"/>
        </w:numPr>
        <w:ind w:firstLine="680"/>
        <w:jc w:val="left"/>
        <w:rPr>
          <w:rFonts w:ascii="方正仿宋_GBK" w:hAnsi="方正仿宋_GBK" w:eastAsia="方正仿宋_GBK" w:cs="方正仿宋_GBK"/>
          <w:kern w:val="0"/>
          <w:sz w:val="34"/>
          <w:szCs w:val="34"/>
        </w:rPr>
      </w:pPr>
      <w:r>
        <w:rPr>
          <w:rFonts w:hint="eastAsia" w:ascii="方正仿宋_GBK" w:hAnsi="方正仿宋_GBK" w:eastAsia="方正仿宋_GBK" w:cs="方正仿宋_GBK"/>
          <w:kern w:val="0"/>
          <w:sz w:val="34"/>
          <w:szCs w:val="34"/>
        </w:rPr>
        <w:t>负责乡镇社会治安综合治理工作；负责乡镇党风廉政建设；负责乡镇干部工作；负责乡镇基层党组织和乡镇机关支部的建设；负责对乡镇工青妇群众组织的领导；负责乡镇党的统战工作；负责乡镇和机关党员教育管理工作；负责乡镇武装部工作。</w:t>
      </w:r>
    </w:p>
    <w:p w14:paraId="150CA80C">
      <w:pPr>
        <w:pStyle w:val="20"/>
        <w:numPr>
          <w:ilvl w:val="0"/>
          <w:numId w:val="1"/>
        </w:numPr>
        <w:ind w:firstLine="680"/>
        <w:jc w:val="left"/>
        <w:rPr>
          <w:rFonts w:ascii="方正仿宋_GBK" w:hAnsi="方正仿宋_GBK" w:eastAsia="方正仿宋_GBK" w:cs="方正仿宋_GBK"/>
          <w:kern w:val="0"/>
          <w:sz w:val="34"/>
          <w:szCs w:val="34"/>
        </w:rPr>
      </w:pPr>
      <w:r>
        <w:rPr>
          <w:rFonts w:hint="eastAsia" w:ascii="方正仿宋_GBK" w:hAnsi="方正仿宋_GBK" w:eastAsia="方正仿宋_GBK" w:cs="方正仿宋_GBK"/>
          <w:kern w:val="0"/>
          <w:sz w:val="34"/>
          <w:szCs w:val="34"/>
        </w:rPr>
        <w:t>完成上级机关交办的其他工作任务。</w:t>
      </w:r>
    </w:p>
    <w:p w14:paraId="527670CC">
      <w:pPr>
        <w:widowControl/>
        <w:snapToGrid w:val="0"/>
        <w:spacing w:line="600" w:lineRule="exact"/>
        <w:ind w:firstLine="680" w:firstLineChars="200"/>
        <w:rPr>
          <w:rFonts w:ascii="方正黑体_GBK" w:hAnsi="方正黑体_GBK" w:eastAsia="方正黑体_GBK" w:cs="方正黑体_GBK"/>
          <w:kern w:val="0"/>
          <w:sz w:val="34"/>
          <w:szCs w:val="34"/>
        </w:rPr>
      </w:pPr>
      <w:r>
        <w:rPr>
          <w:rFonts w:hint="eastAsia" w:ascii="方正黑体_GBK" w:hAnsi="方正黑体_GBK" w:eastAsia="方正黑体_GBK" w:cs="方正黑体_GBK"/>
          <w:kern w:val="0"/>
          <w:sz w:val="34"/>
          <w:szCs w:val="34"/>
        </w:rPr>
        <w:t>二、机构设置及决算单位构成</w:t>
      </w:r>
    </w:p>
    <w:p w14:paraId="65080576">
      <w:pPr>
        <w:widowControl/>
        <w:snapToGrid w:val="0"/>
        <w:spacing w:line="600" w:lineRule="exact"/>
        <w:ind w:firstLine="680" w:firstLineChars="200"/>
        <w:rPr>
          <w:rFonts w:ascii="方正楷体_GBK" w:hAnsi="方正楷体_GBK" w:eastAsia="方正楷体_GBK" w:cs="方正楷体_GBK"/>
          <w:kern w:val="0"/>
          <w:sz w:val="34"/>
          <w:szCs w:val="34"/>
        </w:rPr>
      </w:pPr>
      <w:r>
        <w:rPr>
          <w:rFonts w:hint="eastAsia" w:ascii="方正楷体_GBK" w:hAnsi="方正楷体_GBK" w:eastAsia="方正楷体_GBK" w:cs="方正楷体_GBK"/>
          <w:kern w:val="0"/>
          <w:sz w:val="34"/>
          <w:szCs w:val="34"/>
        </w:rPr>
        <w:t>（一）内设机构设置</w:t>
      </w:r>
    </w:p>
    <w:p w14:paraId="5EAF3758">
      <w:pPr>
        <w:pStyle w:val="6"/>
        <w:widowControl/>
        <w:spacing w:after="300" w:line="30" w:lineRule="atLeast"/>
        <w:ind w:firstLine="680" w:firstLineChars="200"/>
        <w:jc w:val="both"/>
        <w:rPr>
          <w:rFonts w:ascii="方正仿宋_GBK" w:hAnsi="方正仿宋_GBK" w:eastAsia="方正仿宋_GBK" w:cs="方正仿宋_GBK"/>
          <w:sz w:val="34"/>
          <w:szCs w:val="34"/>
        </w:rPr>
      </w:pPr>
      <w:r>
        <w:rPr>
          <w:rFonts w:hint="eastAsia" w:ascii="方正仿宋_GBK" w:hAnsi="方正仿宋_GBK" w:eastAsia="方正仿宋_GBK" w:cs="方正仿宋_GBK"/>
          <w:sz w:val="34"/>
          <w:szCs w:val="34"/>
        </w:rPr>
        <w:t>咸塘镇为独立的行政单位，属于一级预算单位，根据编委核定，本单位内设机构：党政办公室、党建办公室、经济发展办公室、社会治安和应急管理办公室、自然资源和生态环境办公室，社会事务办公室。另设三中心一大队：社会事务综合服务中心、农业综合服务中心、政务服务中心和综合行政执法大队。</w:t>
      </w:r>
    </w:p>
    <w:p w14:paraId="01E3B1EE">
      <w:pPr>
        <w:autoSpaceDE w:val="0"/>
        <w:snapToGrid w:val="0"/>
        <w:spacing w:line="600" w:lineRule="exact"/>
        <w:ind w:firstLine="680" w:firstLineChars="200"/>
        <w:rPr>
          <w:rFonts w:ascii="方正楷体_GBK" w:hAnsi="方正楷体_GBK" w:eastAsia="方正楷体_GBK" w:cs="方正楷体_GBK"/>
          <w:kern w:val="0"/>
          <w:sz w:val="34"/>
          <w:szCs w:val="34"/>
        </w:rPr>
      </w:pPr>
      <w:r>
        <w:rPr>
          <w:rFonts w:hint="eastAsia" w:ascii="方正楷体_GBK" w:hAnsi="方正楷体_GBK" w:eastAsia="方正楷体_GBK" w:cs="方正楷体_GBK"/>
          <w:kern w:val="0"/>
          <w:sz w:val="34"/>
          <w:szCs w:val="34"/>
        </w:rPr>
        <w:t>（二）决算单位构成</w:t>
      </w:r>
    </w:p>
    <w:p w14:paraId="5CC67F80">
      <w:pPr>
        <w:autoSpaceDE w:val="0"/>
        <w:snapToGrid w:val="0"/>
        <w:spacing w:line="600" w:lineRule="exact"/>
        <w:ind w:firstLine="680" w:firstLineChars="200"/>
        <w:rPr>
          <w:rFonts w:ascii="方正仿宋_GBK" w:hAnsi="方正仿宋_GBK" w:eastAsia="方正仿宋_GBK" w:cs="方正仿宋_GBK"/>
          <w:kern w:val="0"/>
          <w:sz w:val="34"/>
          <w:szCs w:val="34"/>
        </w:rPr>
      </w:pPr>
      <w:r>
        <w:rPr>
          <w:rFonts w:hint="eastAsia" w:ascii="方正仿宋_GBK" w:hAnsi="方正仿宋_GBK" w:eastAsia="方正仿宋_GBK" w:cs="方正仿宋_GBK"/>
          <w:kern w:val="0"/>
          <w:sz w:val="34"/>
          <w:szCs w:val="34"/>
        </w:rPr>
        <w:t>咸塘镇人民政府2020年部门决算公开单位构成为人民政府本级。</w:t>
      </w:r>
    </w:p>
    <w:p w14:paraId="611389DC">
      <w:pPr>
        <w:jc w:val="left"/>
        <w:rPr>
          <w:rFonts w:ascii="仿宋_GB2312" w:eastAsia="仿宋_GB2312" w:hAnsiTheme="minorEastAsia"/>
          <w:sz w:val="28"/>
          <w:szCs w:val="32"/>
        </w:rPr>
      </w:pPr>
    </w:p>
    <w:p w14:paraId="3ADC22ED">
      <w:pPr>
        <w:jc w:val="left"/>
        <w:rPr>
          <w:rFonts w:ascii="仿宋_GB2312" w:eastAsia="仿宋_GB2312" w:hAnsiTheme="minorEastAsia"/>
          <w:sz w:val="28"/>
          <w:szCs w:val="32"/>
        </w:rPr>
      </w:pPr>
    </w:p>
    <w:p w14:paraId="070E3E86">
      <w:pPr>
        <w:jc w:val="center"/>
        <w:rPr>
          <w:rFonts w:ascii="黑体" w:hAnsi="黑体" w:eastAsia="黑体"/>
          <w:sz w:val="28"/>
          <w:szCs w:val="28"/>
        </w:rPr>
      </w:pPr>
    </w:p>
    <w:p w14:paraId="669452BB">
      <w:pPr>
        <w:jc w:val="center"/>
        <w:rPr>
          <w:rFonts w:ascii="黑体" w:hAnsi="黑体" w:eastAsia="黑体"/>
          <w:sz w:val="28"/>
          <w:szCs w:val="28"/>
        </w:rPr>
      </w:pPr>
    </w:p>
    <w:p w14:paraId="3B93FEAF">
      <w:pPr>
        <w:jc w:val="center"/>
        <w:rPr>
          <w:rFonts w:ascii="黑体" w:hAnsi="黑体" w:eastAsia="黑体"/>
          <w:sz w:val="28"/>
          <w:szCs w:val="28"/>
        </w:rPr>
      </w:pPr>
    </w:p>
    <w:p w14:paraId="7A8323FB">
      <w:pPr>
        <w:rPr>
          <w:sz w:val="72"/>
          <w:szCs w:val="72"/>
        </w:rPr>
      </w:pPr>
    </w:p>
    <w:p w14:paraId="12F5B4C1">
      <w:pPr>
        <w:jc w:val="center"/>
        <w:rPr>
          <w:b/>
          <w:bCs/>
          <w:sz w:val="72"/>
          <w:szCs w:val="72"/>
        </w:rPr>
      </w:pPr>
      <w:r>
        <w:rPr>
          <w:rFonts w:hint="eastAsia"/>
          <w:b/>
          <w:bCs/>
          <w:sz w:val="72"/>
          <w:szCs w:val="72"/>
        </w:rPr>
        <w:t>第二部分</w:t>
      </w:r>
    </w:p>
    <w:p w14:paraId="212BA793">
      <w:pPr>
        <w:jc w:val="center"/>
        <w:rPr>
          <w:b/>
          <w:bCs/>
          <w:sz w:val="72"/>
          <w:szCs w:val="72"/>
        </w:rPr>
      </w:pPr>
    </w:p>
    <w:p w14:paraId="6C09B507">
      <w:pPr>
        <w:jc w:val="center"/>
        <w:rPr>
          <w:b/>
          <w:bCs/>
          <w:sz w:val="72"/>
          <w:szCs w:val="72"/>
        </w:rPr>
      </w:pPr>
      <w:r>
        <w:rPr>
          <w:rFonts w:hint="eastAsia"/>
          <w:b/>
          <w:bCs/>
          <w:sz w:val="72"/>
          <w:szCs w:val="72"/>
        </w:rPr>
        <w:t>部门决算表</w:t>
      </w:r>
    </w:p>
    <w:p w14:paraId="72F26401">
      <w:pPr>
        <w:jc w:val="center"/>
        <w:rPr>
          <w:b/>
          <w:bCs/>
          <w:sz w:val="72"/>
          <w:szCs w:val="72"/>
        </w:rPr>
      </w:pPr>
    </w:p>
    <w:p w14:paraId="7D962810">
      <w:pPr>
        <w:jc w:val="center"/>
        <w:rPr>
          <w:b/>
          <w:bCs/>
          <w:sz w:val="72"/>
          <w:szCs w:val="72"/>
        </w:rPr>
      </w:pPr>
      <w:r>
        <w:rPr>
          <w:rFonts w:hint="eastAsia"/>
          <w:b/>
          <w:bCs/>
          <w:sz w:val="72"/>
          <w:szCs w:val="72"/>
        </w:rPr>
        <w:t>(部门决算公示表附后)</w:t>
      </w:r>
    </w:p>
    <w:p w14:paraId="6F9276C8">
      <w:pPr>
        <w:jc w:val="center"/>
        <w:rPr>
          <w:sz w:val="72"/>
          <w:szCs w:val="72"/>
        </w:rPr>
      </w:pPr>
    </w:p>
    <w:p w14:paraId="4EC96581">
      <w:pPr>
        <w:jc w:val="center"/>
        <w:rPr>
          <w:sz w:val="72"/>
          <w:szCs w:val="72"/>
        </w:rPr>
      </w:pPr>
    </w:p>
    <w:p w14:paraId="6EA329AA">
      <w:pPr>
        <w:jc w:val="center"/>
        <w:rPr>
          <w:sz w:val="72"/>
          <w:szCs w:val="72"/>
        </w:rPr>
      </w:pPr>
    </w:p>
    <w:p w14:paraId="7CE2C4E1">
      <w:pPr>
        <w:jc w:val="center"/>
        <w:rPr>
          <w:sz w:val="72"/>
          <w:szCs w:val="72"/>
        </w:rPr>
      </w:pPr>
    </w:p>
    <w:p w14:paraId="3CD0945B">
      <w:pPr>
        <w:jc w:val="left"/>
        <w:rPr>
          <w:sz w:val="32"/>
          <w:szCs w:val="32"/>
        </w:rPr>
      </w:pPr>
    </w:p>
    <w:p w14:paraId="7778507F">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14:paraId="6597A152">
      <w:pPr>
        <w:pStyle w:val="19"/>
        <w:rPr>
          <w:sz w:val="72"/>
          <w:szCs w:val="72"/>
        </w:rPr>
      </w:pPr>
    </w:p>
    <w:p w14:paraId="6894D478">
      <w:pPr>
        <w:pStyle w:val="19"/>
        <w:rPr>
          <w:sz w:val="72"/>
          <w:szCs w:val="72"/>
        </w:rPr>
      </w:pPr>
    </w:p>
    <w:p w14:paraId="78F7E67D">
      <w:pPr>
        <w:pStyle w:val="19"/>
        <w:rPr>
          <w:sz w:val="72"/>
          <w:szCs w:val="72"/>
        </w:rPr>
      </w:pPr>
    </w:p>
    <w:p w14:paraId="1EE822DD">
      <w:pPr>
        <w:pStyle w:val="19"/>
        <w:rPr>
          <w:sz w:val="72"/>
          <w:szCs w:val="72"/>
        </w:rPr>
      </w:pPr>
    </w:p>
    <w:p w14:paraId="652D3B26">
      <w:pPr>
        <w:pStyle w:val="19"/>
        <w:jc w:val="center"/>
        <w:rPr>
          <w:sz w:val="72"/>
          <w:szCs w:val="72"/>
        </w:rPr>
      </w:pPr>
    </w:p>
    <w:p w14:paraId="5978A176">
      <w:pPr>
        <w:pStyle w:val="19"/>
        <w:jc w:val="center"/>
        <w:rPr>
          <w:sz w:val="72"/>
          <w:szCs w:val="72"/>
        </w:rPr>
      </w:pPr>
    </w:p>
    <w:p w14:paraId="0B8A0F9D">
      <w:pPr>
        <w:pStyle w:val="19"/>
        <w:jc w:val="center"/>
        <w:rPr>
          <w:sz w:val="72"/>
          <w:szCs w:val="72"/>
        </w:rPr>
      </w:pPr>
      <w:r>
        <w:rPr>
          <w:rFonts w:hint="eastAsia"/>
          <w:sz w:val="72"/>
          <w:szCs w:val="72"/>
        </w:rPr>
        <w:t>第三部分</w:t>
      </w:r>
    </w:p>
    <w:p w14:paraId="0DB5313F">
      <w:pPr>
        <w:pStyle w:val="19"/>
        <w:jc w:val="center"/>
        <w:rPr>
          <w:sz w:val="70"/>
          <w:szCs w:val="70"/>
        </w:rPr>
      </w:pPr>
    </w:p>
    <w:p w14:paraId="05C18123">
      <w:pPr>
        <w:pStyle w:val="19"/>
        <w:jc w:val="center"/>
        <w:rPr>
          <w:sz w:val="70"/>
          <w:szCs w:val="70"/>
        </w:rPr>
      </w:pPr>
      <w:r>
        <w:rPr>
          <w:sz w:val="70"/>
          <w:szCs w:val="70"/>
        </w:rPr>
        <w:t>20</w:t>
      </w:r>
      <w:r>
        <w:rPr>
          <w:rFonts w:hint="eastAsia"/>
          <w:sz w:val="70"/>
          <w:szCs w:val="70"/>
        </w:rPr>
        <w:t>20年度部门决算情况说明</w:t>
      </w:r>
    </w:p>
    <w:p w14:paraId="00A27A5F">
      <w:pPr>
        <w:widowControl/>
        <w:jc w:val="left"/>
        <w:rPr>
          <w:rFonts w:ascii="黑体" w:eastAsia="黑体" w:cs="黑体"/>
          <w:color w:val="000000"/>
          <w:kern w:val="0"/>
          <w:sz w:val="70"/>
          <w:szCs w:val="70"/>
        </w:rPr>
      </w:pPr>
      <w:r>
        <w:rPr>
          <w:sz w:val="70"/>
          <w:szCs w:val="70"/>
        </w:rPr>
        <w:br w:type="page"/>
      </w:r>
    </w:p>
    <w:p w14:paraId="5C1980F2">
      <w:pPr>
        <w:pStyle w:val="19"/>
        <w:rPr>
          <w:rFonts w:asciiTheme="minorEastAsia" w:hAnsiTheme="minorEastAsia" w:eastAsiaTheme="minorEastAsia"/>
          <w:sz w:val="32"/>
          <w:szCs w:val="32"/>
        </w:rPr>
      </w:pPr>
    </w:p>
    <w:p w14:paraId="38F0D6FE">
      <w:pPr>
        <w:pStyle w:val="19"/>
        <w:rPr>
          <w:rFonts w:hAnsi="黑体"/>
          <w:b/>
          <w:sz w:val="32"/>
          <w:szCs w:val="32"/>
        </w:rPr>
      </w:pPr>
      <w:r>
        <w:rPr>
          <w:rFonts w:hint="eastAsia" w:hAnsi="黑体"/>
          <w:b/>
          <w:sz w:val="32"/>
          <w:szCs w:val="32"/>
        </w:rPr>
        <w:t>一、收入支出决算总体情况说明</w:t>
      </w:r>
    </w:p>
    <w:p w14:paraId="416E3864">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收入总计894.10万元。与2019年相比，增加163.11万元，增加22%。支出总计863.42万元，与上年相比，增加132.43万元，增加18%。收入有增加的主要是因为增加了疫情防控政府性基金收入以及上年度结余资金，支出增加原因是扩大了对农林水合农村改革的支出。</w:t>
      </w:r>
    </w:p>
    <w:p w14:paraId="364ED068">
      <w:pPr>
        <w:pStyle w:val="19"/>
        <w:rPr>
          <w:rFonts w:hAnsi="黑体"/>
          <w:b/>
          <w:sz w:val="32"/>
          <w:szCs w:val="32"/>
        </w:rPr>
      </w:pPr>
      <w:r>
        <w:rPr>
          <w:rFonts w:hint="eastAsia" w:hAnsi="黑体"/>
          <w:b/>
          <w:sz w:val="32"/>
          <w:szCs w:val="32"/>
        </w:rPr>
        <w:t>二、收入决算情况说明</w:t>
      </w:r>
    </w:p>
    <w:p w14:paraId="57CA47DA">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894.10万元，其中：财政拨款收入648.74万元，占73%；政府性基金预算财政拨款收入27.7万元，占3%，上级补助收入0万元，占0%；事业收入0万元，占0%；经营收入0万元，占0%；附属单位上缴收入0万元，占0%；其他收入0万元，占0%，年初结转和结余217.66万元，占24%。</w:t>
      </w:r>
    </w:p>
    <w:p w14:paraId="52B978E4">
      <w:pPr>
        <w:pStyle w:val="19"/>
        <w:rPr>
          <w:rFonts w:hAnsi="黑体"/>
          <w:b/>
          <w:sz w:val="32"/>
          <w:szCs w:val="32"/>
        </w:rPr>
      </w:pPr>
      <w:r>
        <w:rPr>
          <w:rFonts w:hint="eastAsia" w:hAnsi="黑体"/>
          <w:b/>
          <w:sz w:val="32"/>
          <w:szCs w:val="32"/>
        </w:rPr>
        <w:t>三、支出决算情况说明</w:t>
      </w:r>
    </w:p>
    <w:p w14:paraId="16E1C3CB">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cstheme="minorBidi"/>
          <w:color w:val="auto"/>
          <w:kern w:val="2"/>
          <w:sz w:val="32"/>
          <w:szCs w:val="32"/>
        </w:rPr>
        <w:t>863.42万</w:t>
      </w:r>
      <w:r>
        <w:rPr>
          <w:rFonts w:hint="eastAsia" w:asciiTheme="minorEastAsia" w:hAnsiTheme="minorEastAsia" w:eastAsiaTheme="minorEastAsia"/>
          <w:sz w:val="32"/>
          <w:szCs w:val="32"/>
        </w:rPr>
        <w:t>元，其中：基本支出372.28万元，占43%；项目支出491.14元，占57%；上缴上级支出0万元，占0%；经营支出0万元，占0%；对附属单位补助支出0万元，占0%。</w:t>
      </w:r>
    </w:p>
    <w:p w14:paraId="43F308A9">
      <w:pPr>
        <w:pStyle w:val="19"/>
        <w:rPr>
          <w:rFonts w:hAnsi="黑体"/>
          <w:b/>
          <w:sz w:val="32"/>
          <w:szCs w:val="32"/>
        </w:rPr>
      </w:pPr>
      <w:r>
        <w:rPr>
          <w:rFonts w:hint="eastAsia" w:hAnsi="黑体"/>
          <w:b/>
          <w:sz w:val="32"/>
          <w:szCs w:val="32"/>
        </w:rPr>
        <w:t>四、财政拨款收入支出决算总体情况说明</w:t>
      </w:r>
    </w:p>
    <w:p w14:paraId="1E2E81E7">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收入总计676.44万元，与2019年相比，减少54.55万元,减少7%。支出总计863.42万元，与上年相比，增加132.43万元，增加18%。收入略有减少的主要是因为缩减了行政运行及财政事务支出，支出增加是因为扩大了对农林水及农村改革方面的支出。</w:t>
      </w:r>
    </w:p>
    <w:p w14:paraId="4C6DF04B">
      <w:pPr>
        <w:pStyle w:val="19"/>
        <w:rPr>
          <w:rFonts w:hAnsi="黑体"/>
          <w:b/>
          <w:sz w:val="32"/>
          <w:szCs w:val="32"/>
        </w:rPr>
      </w:pPr>
      <w:r>
        <w:rPr>
          <w:rFonts w:hint="eastAsia" w:hAnsi="黑体"/>
          <w:b/>
          <w:sz w:val="32"/>
          <w:szCs w:val="32"/>
        </w:rPr>
        <w:t>五、一般公共预算财政拨款支出决算情况说明</w:t>
      </w:r>
    </w:p>
    <w:p w14:paraId="4BB4A854">
      <w:pPr>
        <w:pStyle w:val="1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14:paraId="606806BC">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863.42万元，占本年支出合计的100%，与2019年相比，财政拨款支出增加132.43万元，增加18%，主要是因为增加了对人居环境整治、综合服务平台建设，以及因机构改革新装修政务中心等方面的支出。</w:t>
      </w:r>
    </w:p>
    <w:p w14:paraId="736A8A5A">
      <w:pPr>
        <w:pStyle w:val="1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14:paraId="156975E4">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863.42万元，主要用于以下方面：一般公共服务（类）支出566.78万元，占66%；社会保障和就业（类）支出45.38万元，占5%;卫生健康（类）支出7.66万元，占1%；农林水（类）支出208.83万元，占24%；住房保障（类）支出7.08万元，占1%；抗疫特别国债安排支出27.70万元，占3%。</w:t>
      </w:r>
    </w:p>
    <w:p w14:paraId="4597C915">
      <w:pPr>
        <w:pStyle w:val="1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14:paraId="27477522">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2020年度财政拨款支出年初预算数为465.16万元，支出决算数为863.42万元，完成年初预算的186%，与年初预算安排的差额主要是年终预算追加安排的支出。其中：</w:t>
      </w:r>
    </w:p>
    <w:p w14:paraId="2005150D">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w:t>
      </w:r>
    </w:p>
    <w:p w14:paraId="6C5BAD63">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年初预算为231.87万元，支出决算为566.78万元，完成年初预算的244%，决算数大于年初预算数的主要原因是：人员异动及2019年奖金于2020年发放。</w:t>
      </w:r>
    </w:p>
    <w:p w14:paraId="626C846F">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2.社会保障和就业支出</w:t>
      </w:r>
    </w:p>
    <w:p w14:paraId="2CBD75F5">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年初预算为38.71万元，支出决算为45.38万元，完成年初预算的117%，决算数大于年初预算数的主要原因是：养老保险调整基数带来的增加变化。</w:t>
      </w:r>
    </w:p>
    <w:p w14:paraId="12FCAF13">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3.卫生健康支出</w:t>
      </w:r>
    </w:p>
    <w:p w14:paraId="0F27B30D">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年初预算为7.66万元，支出决算为7.66万元，完成年初预算的100%。</w:t>
      </w:r>
    </w:p>
    <w:p w14:paraId="363A8ED9">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4.农林水支出</w:t>
      </w:r>
    </w:p>
    <w:p w14:paraId="72257952">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年初预算为179.84万元，支出决算为208.83万元，完成年初预算的116%，决算数大于年初预算数的主要原因是：追加对农村综合改革的支出。</w:t>
      </w:r>
    </w:p>
    <w:p w14:paraId="5FB2C159">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5.住房保障支出</w:t>
      </w:r>
    </w:p>
    <w:p w14:paraId="0E74DCAE">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年初预算为7.08万元，支出决算为7.08万元，完成年初预算的100%。</w:t>
      </w:r>
    </w:p>
    <w:p w14:paraId="43119CAA">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6.抗疫特别国债安排的支出</w:t>
      </w:r>
    </w:p>
    <w:p w14:paraId="635EA803">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年初预算为0万元，支出决算为27.7万元，决算数大于年初预算数的主要原因是：抗击疫情支出。</w:t>
      </w:r>
    </w:p>
    <w:p w14:paraId="5D0F8A7A">
      <w:pPr>
        <w:pStyle w:val="19"/>
        <w:rPr>
          <w:rFonts w:hAnsi="黑体"/>
          <w:b/>
          <w:sz w:val="32"/>
          <w:szCs w:val="32"/>
        </w:rPr>
      </w:pPr>
      <w:r>
        <w:rPr>
          <w:rFonts w:hint="eastAsia" w:hAnsi="黑体"/>
          <w:b/>
          <w:sz w:val="32"/>
          <w:szCs w:val="32"/>
        </w:rPr>
        <w:t>六、一般公共预算财政拨款基本支出决算情况说明</w:t>
      </w:r>
    </w:p>
    <w:p w14:paraId="1902A3A2">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372.29万元，其中：人员经费295.22万元，占基本支出的79%,主要包括基本工资、津贴补贴、奖金、绩效工资、机关事业单位基本养老保险缴费、职工基本医疗保险缴费、其他社会保障缴费、住房公积金、其他工资福利支出、抚恤金、生活补助、医疗补助、对其他个人和家庭的补助；公用经费77.06万元，占基本支出的21%，主要包括办公费、印刷费、水费、电费、差旅费、维修费、会议费、培训费、公务接待费、劳务费、福利费、公务用车运行维护费、其他交通费用。</w:t>
      </w:r>
    </w:p>
    <w:p w14:paraId="5B7D70B7">
      <w:pPr>
        <w:pStyle w:val="19"/>
        <w:rPr>
          <w:rFonts w:hAnsi="黑体"/>
          <w:b/>
          <w:sz w:val="32"/>
          <w:szCs w:val="32"/>
        </w:rPr>
      </w:pPr>
      <w:r>
        <w:rPr>
          <w:rFonts w:hint="eastAsia" w:hAnsi="黑体"/>
          <w:b/>
          <w:sz w:val="32"/>
          <w:szCs w:val="32"/>
        </w:rPr>
        <w:t>七、一般公共预算财政拨款三公经费支出决算情况说明</w:t>
      </w:r>
    </w:p>
    <w:p w14:paraId="00141D75">
      <w:pPr>
        <w:pStyle w:val="1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14:paraId="38244BA8">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“三公”经费财政拨款支出预算为9万元，支出决算为7.55万元，完成预算的83.89%，其中：</w:t>
      </w:r>
    </w:p>
    <w:p w14:paraId="6B0C18B7">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公务接待费支出预算为4.5万元，支出决算为3.55万元，完成预算的79%，与上年相比减少1.48万元，减少29%,减少的主要原因是缩减了公务接待开支。</w:t>
      </w:r>
    </w:p>
    <w:p w14:paraId="4C34BE52">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公务用车购置费及运行维护费支出预算为4.5万元，支出决算为4万元，完成预算的88.89%，与上年相比减少0.17万元，减少4%,减少的主要原因是严格控制了车辆运行。</w:t>
      </w:r>
    </w:p>
    <w:p w14:paraId="71DEC6BA">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因公出国（境）费支出预算为0万元，支出决算为0万元，完成预算度0%。</w:t>
      </w:r>
    </w:p>
    <w:p w14:paraId="5D92999F">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三公经费总体支出减少的原因主要是我镇较好的落实了上级要求，厉行节约，压缩一般性行政经费，严格三公经费支出的审核把关和规范三公经费支出程序。</w:t>
      </w:r>
    </w:p>
    <w:p w14:paraId="3890CE5F">
      <w:pPr>
        <w:pStyle w:val="1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14:paraId="24D15A26">
      <w:pPr>
        <w:pStyle w:val="1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2020年度“三公”经费财政拨款支出决算中，公务接待费支出决算3.55万元，占47%,公务用车购置费及运行维护费支出决算4万元，占53%。其中：</w:t>
      </w:r>
    </w:p>
    <w:p w14:paraId="297C16A4">
      <w:pPr>
        <w:pStyle w:val="1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1、公务接待费支出决算为3.55万元，国内公务接待的批次85次、总人数896人，主要是接待上级机关来我镇检查工作发生的接待支出。</w:t>
      </w:r>
    </w:p>
    <w:p w14:paraId="33FB689F">
      <w:pPr>
        <w:ind w:firstLine="800" w:firstLineChars="250"/>
        <w:rPr>
          <w:rFonts w:asciiTheme="minorEastAsia" w:hAnsiTheme="minorEastAsia"/>
          <w:sz w:val="32"/>
          <w:szCs w:val="32"/>
        </w:rPr>
      </w:pPr>
      <w:r>
        <w:rPr>
          <w:rFonts w:hint="eastAsia" w:asciiTheme="minorEastAsia" w:hAnsiTheme="minorEastAsia"/>
          <w:sz w:val="32"/>
          <w:szCs w:val="32"/>
        </w:rPr>
        <w:t>2、公务用车购置费及运行维护费支出决算为4万元，其中：公务用车购置费0万元</w:t>
      </w:r>
      <w:r>
        <w:rPr>
          <w:rFonts w:hint="eastAsia" w:asciiTheme="minorEastAsia" w:hAnsiTheme="minorEastAsia"/>
          <w:color w:val="000000" w:themeColor="text1"/>
          <w:sz w:val="32"/>
          <w:szCs w:val="32"/>
        </w:rPr>
        <w:t>。</w:t>
      </w:r>
      <w:r>
        <w:rPr>
          <w:rFonts w:hint="eastAsia" w:asciiTheme="minorEastAsia" w:hAnsiTheme="minorEastAsia"/>
          <w:sz w:val="32"/>
          <w:szCs w:val="32"/>
        </w:rPr>
        <w:t>公务用车运行维护费4万元，主要是用于支付公务用车维修费及加油费，截止2020年12月31日，我单位开支财政拨款的公务用车保有量为1辆，本年度无新增车辆。</w:t>
      </w:r>
    </w:p>
    <w:p w14:paraId="5B34743E">
      <w:pPr>
        <w:ind w:firstLine="800" w:firstLineChars="250"/>
        <w:rPr>
          <w:rFonts w:asciiTheme="minorEastAsia" w:hAnsiTheme="minorEastAsia"/>
          <w:sz w:val="32"/>
          <w:szCs w:val="32"/>
        </w:rPr>
      </w:pPr>
      <w:r>
        <w:rPr>
          <w:rFonts w:hint="eastAsia" w:asciiTheme="minorEastAsia" w:hAnsiTheme="minorEastAsia"/>
          <w:sz w:val="32"/>
          <w:szCs w:val="32"/>
        </w:rPr>
        <w:t xml:space="preserve">3、本年度无因公出国（境）情况。   </w:t>
      </w:r>
    </w:p>
    <w:p w14:paraId="67A7BAB1">
      <w:pPr>
        <w:pStyle w:val="19"/>
        <w:rPr>
          <w:rFonts w:hAnsi="黑体"/>
          <w:b/>
          <w:sz w:val="32"/>
          <w:szCs w:val="32"/>
        </w:rPr>
      </w:pPr>
      <w:r>
        <w:rPr>
          <w:rFonts w:hint="eastAsia" w:hAnsi="黑体"/>
          <w:b/>
          <w:sz w:val="32"/>
          <w:szCs w:val="32"/>
        </w:rPr>
        <w:t>八、政府性基金预算收入支出决算情况</w:t>
      </w:r>
    </w:p>
    <w:p w14:paraId="20269097">
      <w:pPr>
        <w:pStyle w:val="19"/>
        <w:ind w:firstLine="787" w:firstLineChars="246"/>
        <w:rPr>
          <w:rFonts w:hAnsi="黑体"/>
          <w:b/>
          <w:sz w:val="32"/>
          <w:szCs w:val="32"/>
        </w:rPr>
      </w:pPr>
      <w:r>
        <w:rPr>
          <w:rFonts w:hint="eastAsia" w:asciiTheme="minorEastAsia" w:hAnsiTheme="minorEastAsia" w:eastAsiaTheme="minorEastAsia" w:cstheme="minorBidi"/>
          <w:color w:val="auto"/>
          <w:kern w:val="2"/>
          <w:sz w:val="32"/>
          <w:szCs w:val="32"/>
        </w:rPr>
        <w:t>2020年度本单位有政府性基金收支。2020年，收到衡南县财政局预算股拨付中央直达抗疫国债资金27.7万元，拨付各村及居委会疫情防控资金2万元；拨付咸塘镇卫生院疫情防控工作经费3.7万元；拨付其他疫情防控支出22万元（其中疫情防控物资支出7.85万元，疫情期间防控宣传广告制作费用3.13万元，疫情期间防控宣传用车支出4.15万元，疫情期间疫情控制防护材料支出6.87万元）。</w:t>
      </w:r>
    </w:p>
    <w:p w14:paraId="71C6D8C6">
      <w:pPr>
        <w:pStyle w:val="19"/>
        <w:rPr>
          <w:rFonts w:hAnsi="黑体"/>
          <w:b/>
          <w:sz w:val="32"/>
          <w:szCs w:val="32"/>
        </w:rPr>
      </w:pPr>
      <w:r>
        <w:rPr>
          <w:rFonts w:hint="eastAsia" w:hAnsi="黑体"/>
          <w:b/>
          <w:sz w:val="32"/>
          <w:szCs w:val="32"/>
        </w:rPr>
        <w:t>九、国有资本经营预算财政拨款支出决算情况</w:t>
      </w:r>
    </w:p>
    <w:p w14:paraId="3E08B4B4">
      <w:pPr>
        <w:pStyle w:val="19"/>
        <w:ind w:firstLine="640" w:firstLineChars="200"/>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本单位2020年没有国有资本经营预算财政拨款支出。</w:t>
      </w:r>
    </w:p>
    <w:p w14:paraId="766A5660">
      <w:pPr>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十、机关运行经费支出情况</w:t>
      </w:r>
    </w:p>
    <w:p w14:paraId="5A265A16">
      <w:pPr>
        <w:pStyle w:val="19"/>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本部门2020 年度机关运行经费支出77.06万元，比年初预算数减少6.14万元，减少7%。主要原因是：减少了公务接待开支与公务用车运行维护费开支。</w:t>
      </w:r>
    </w:p>
    <w:p w14:paraId="4B5C18BA">
      <w:pPr>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十一、一般性支出情况</w:t>
      </w:r>
    </w:p>
    <w:p w14:paraId="65C7BD4D">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会议费支出情况：2020年本部门开支会议费23.99万元，比上年减少19.22万元，减少44.48%。增减变化的主要原因是：压缩会议支出，合并召开相关会议。</w:t>
      </w:r>
    </w:p>
    <w:p w14:paraId="7C938DA3">
      <w:pPr>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十二、政府采购支出情况</w:t>
      </w:r>
    </w:p>
    <w:p w14:paraId="095F1EF5">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本部门2020年度政府采购支出</w:t>
      </w:r>
      <w:r>
        <w:rPr>
          <w:rFonts w:hint="eastAsia" w:cs="黑体" w:asciiTheme="minorEastAsia" w:hAnsiTheme="minorEastAsia"/>
          <w:kern w:val="0"/>
          <w:sz w:val="32"/>
          <w:szCs w:val="32"/>
        </w:rPr>
        <w:t>总额9.24万元，其</w:t>
      </w:r>
      <w:r>
        <w:rPr>
          <w:rFonts w:hint="eastAsia" w:cs="黑体" w:asciiTheme="minorEastAsia" w:hAnsiTheme="minorEastAsia"/>
          <w:color w:val="000000"/>
          <w:kern w:val="0"/>
          <w:sz w:val="32"/>
          <w:szCs w:val="32"/>
        </w:rPr>
        <w:t>中：政府采购货物支出9.24万元（通用设备0.99万元、家具、用具、装具及其他8.25万元）、政府采购工程支出0万元、政府采购服务支出0万元。</w:t>
      </w:r>
    </w:p>
    <w:p w14:paraId="7E85619D">
      <w:pPr>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十三、国有资产占用情况</w:t>
      </w:r>
    </w:p>
    <w:p w14:paraId="25E99CC5">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截至2020年12月31日，本单位共有车辆1辆。</w:t>
      </w:r>
    </w:p>
    <w:p w14:paraId="1F69E433">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2020年末固定资产429.25万元，其中房屋及建筑物334.70万元、专用设备9.91万元、通用设备65.86万元、家具、用具、装具及其他18.77万元。</w:t>
      </w:r>
    </w:p>
    <w:p w14:paraId="389F1CE5">
      <w:pPr>
        <w:pStyle w:val="19"/>
        <w:rPr>
          <w:rFonts w:hAnsi="黑体"/>
          <w:b/>
          <w:sz w:val="32"/>
          <w:szCs w:val="32"/>
        </w:rPr>
      </w:pPr>
      <w:r>
        <w:rPr>
          <w:rFonts w:hint="eastAsia" w:hAnsi="黑体"/>
          <w:b/>
          <w:sz w:val="32"/>
          <w:szCs w:val="32"/>
        </w:rPr>
        <w:t>十四、关于2020年度预算绩效情况说明</w:t>
      </w:r>
    </w:p>
    <w:p w14:paraId="30D1286E">
      <w:pPr>
        <w:widowControl/>
        <w:jc w:val="left"/>
        <w:rPr>
          <w:rFonts w:asciiTheme="minorEastAsia" w:hAnsiTheme="minorEastAsia"/>
          <w:sz w:val="32"/>
          <w:szCs w:val="32"/>
        </w:rPr>
      </w:pPr>
      <w:r>
        <w:rPr>
          <w:rFonts w:hint="eastAsia" w:asciiTheme="minorEastAsia" w:hAnsiTheme="minorEastAsia"/>
          <w:sz w:val="32"/>
          <w:szCs w:val="32"/>
        </w:rPr>
        <w:t>（一）预算绩效管理工作开展情况</w:t>
      </w:r>
    </w:p>
    <w:p w14:paraId="341AFAF5">
      <w:pPr>
        <w:widowControl/>
        <w:ind w:firstLine="960" w:firstLineChars="300"/>
        <w:jc w:val="left"/>
        <w:rPr>
          <w:rFonts w:ascii="宋体" w:hAnsi="宋体" w:eastAsia="宋体" w:cs="宋体"/>
          <w:sz w:val="24"/>
          <w:szCs w:val="24"/>
        </w:rPr>
      </w:pPr>
      <w:r>
        <w:rPr>
          <w:rFonts w:hint="eastAsia" w:asciiTheme="minorEastAsia" w:hAnsiTheme="minorEastAsia"/>
          <w:sz w:val="32"/>
          <w:szCs w:val="32"/>
        </w:rPr>
        <w:t>2020 年我镇预算管理各项指标控制较好。主要从以下几个方面加强预 算管理：一是进一步规范财务管理。今年，根据中央八项规定</w:t>
      </w:r>
      <w:bookmarkStart w:id="0" w:name="_GoBack"/>
      <w:bookmarkEnd w:id="0"/>
      <w:r>
        <w:rPr>
          <w:rFonts w:hint="eastAsia" w:asciiTheme="minorEastAsia" w:hAnsiTheme="minorEastAsia"/>
          <w:sz w:val="32"/>
          <w:szCs w:val="32"/>
        </w:rPr>
        <w:t>精神以及财 务管理方面的法律、法规和审计等部门的意见，我办对机关财务管理制度 进一步进行了完善。同时，在财务开支把关方面认真执行相关文件并严格财务开支审批程序，加强对差旅费、会议费、接待费、公务用车运行经费 等各项开支的管理。重点保障机关运转及重点工作的需要，大力压缩一般 性支出，提高财政资金使用效益。 二是依法依规公开部门预决算。根据全县部门预决算公开工作统一安 排部署，我部公开了 2020年部门预算和“三公”经费预算，社会反响良好， 圆满完成了“三公”经费预算公开工作。</w:t>
      </w:r>
    </w:p>
    <w:p w14:paraId="1808F5D9">
      <w:pPr>
        <w:pStyle w:val="6"/>
        <w:widowControl/>
        <w:spacing w:line="27" w:lineRule="atLeast"/>
        <w:jc w:val="both"/>
        <w:rPr>
          <w:rFonts w:cs="黑体" w:asciiTheme="minorEastAsia" w:hAnsiTheme="minorEastAsia"/>
          <w:color w:val="000000"/>
          <w:sz w:val="32"/>
          <w:szCs w:val="32"/>
        </w:rPr>
      </w:pPr>
      <w:r>
        <w:rPr>
          <w:rFonts w:hint="eastAsia" w:asciiTheme="minorEastAsia" w:hAnsiTheme="minorEastAsia" w:cstheme="minorBidi"/>
          <w:kern w:val="2"/>
          <w:sz w:val="32"/>
          <w:szCs w:val="32"/>
        </w:rPr>
        <w:t>（二）部门整体支出绩效自评结果</w:t>
      </w:r>
    </w:p>
    <w:p w14:paraId="18147B5D">
      <w:pPr>
        <w:pStyle w:val="6"/>
        <w:widowControl/>
        <w:spacing w:line="27" w:lineRule="atLeast"/>
        <w:ind w:firstLine="960" w:firstLineChars="300"/>
        <w:jc w:val="both"/>
        <w:rPr>
          <w:rFonts w:cs="黑体" w:asciiTheme="minorEastAsia" w:hAnsiTheme="minorEastAsia"/>
          <w:color w:val="000000"/>
          <w:sz w:val="32"/>
          <w:szCs w:val="32"/>
        </w:rPr>
      </w:pPr>
      <w:r>
        <w:rPr>
          <w:rFonts w:hint="eastAsia" w:cs="黑体" w:asciiTheme="minorEastAsia" w:hAnsiTheme="minorEastAsia"/>
          <w:color w:val="000000"/>
          <w:sz w:val="32"/>
          <w:szCs w:val="32"/>
        </w:rPr>
        <w:t>2020年本单位根据年初工作规划及财政预算计划，积极履职、强化管理，较好的完成了年度工作目标。通过加强预算收支管理、不断建立健全内部管理制度、梳理内部管理流程，部门整体支出管理情况得到提升。本单位2020年度部门整体支出绩效评价自评得分为96.4分。</w:t>
      </w:r>
    </w:p>
    <w:p w14:paraId="56E29068">
      <w:pPr>
        <w:ind w:firstLine="640" w:firstLineChars="200"/>
        <w:rPr>
          <w:rFonts w:cs="黑体" w:asciiTheme="minorEastAsia" w:hAnsiTheme="minorEastAsia"/>
          <w:color w:val="000000"/>
          <w:kern w:val="0"/>
          <w:sz w:val="32"/>
          <w:szCs w:val="32"/>
        </w:rPr>
      </w:pPr>
    </w:p>
    <w:p w14:paraId="4B898B6C">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14:paraId="1FD8514B">
      <w:pPr>
        <w:ind w:firstLine="640" w:firstLineChars="200"/>
        <w:rPr>
          <w:rFonts w:cs="黑体" w:asciiTheme="minorEastAsia" w:hAnsiTheme="minorEastAsia"/>
          <w:color w:val="000000"/>
          <w:kern w:val="0"/>
          <w:sz w:val="32"/>
          <w:szCs w:val="32"/>
        </w:rPr>
      </w:pPr>
    </w:p>
    <w:p w14:paraId="287675D2">
      <w:pPr>
        <w:pStyle w:val="19"/>
        <w:jc w:val="center"/>
        <w:rPr>
          <w:sz w:val="72"/>
          <w:szCs w:val="72"/>
        </w:rPr>
      </w:pPr>
    </w:p>
    <w:p w14:paraId="3BF05290">
      <w:pPr>
        <w:pStyle w:val="19"/>
        <w:jc w:val="center"/>
        <w:rPr>
          <w:sz w:val="72"/>
          <w:szCs w:val="72"/>
        </w:rPr>
      </w:pPr>
    </w:p>
    <w:p w14:paraId="3984B413">
      <w:pPr>
        <w:pStyle w:val="19"/>
        <w:jc w:val="center"/>
        <w:rPr>
          <w:sz w:val="72"/>
          <w:szCs w:val="72"/>
        </w:rPr>
      </w:pPr>
    </w:p>
    <w:p w14:paraId="3E6EA673">
      <w:pPr>
        <w:pStyle w:val="19"/>
        <w:jc w:val="center"/>
        <w:rPr>
          <w:sz w:val="72"/>
          <w:szCs w:val="72"/>
        </w:rPr>
      </w:pPr>
    </w:p>
    <w:p w14:paraId="3ABBF8CF">
      <w:pPr>
        <w:pStyle w:val="19"/>
        <w:rPr>
          <w:sz w:val="72"/>
          <w:szCs w:val="72"/>
        </w:rPr>
      </w:pPr>
    </w:p>
    <w:p w14:paraId="5A8C7DB4">
      <w:pPr>
        <w:pStyle w:val="19"/>
        <w:jc w:val="center"/>
        <w:rPr>
          <w:sz w:val="72"/>
          <w:szCs w:val="72"/>
        </w:rPr>
      </w:pPr>
    </w:p>
    <w:p w14:paraId="5FBF6A3B">
      <w:pPr>
        <w:pStyle w:val="19"/>
        <w:jc w:val="center"/>
        <w:rPr>
          <w:sz w:val="72"/>
          <w:szCs w:val="72"/>
        </w:rPr>
      </w:pPr>
      <w:r>
        <w:rPr>
          <w:rFonts w:hint="eastAsia"/>
          <w:sz w:val="72"/>
          <w:szCs w:val="72"/>
        </w:rPr>
        <w:t>第四部分</w:t>
      </w:r>
    </w:p>
    <w:p w14:paraId="4B07398B">
      <w:pPr>
        <w:jc w:val="center"/>
        <w:rPr>
          <w:rFonts w:ascii="黑体" w:eastAsia="黑体" w:cs="黑体"/>
          <w:color w:val="000000"/>
          <w:kern w:val="0"/>
          <w:sz w:val="70"/>
          <w:szCs w:val="70"/>
        </w:rPr>
      </w:pPr>
    </w:p>
    <w:p w14:paraId="62E4301F">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14:paraId="008CE1E0">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14:paraId="6509921C">
      <w:pPr>
        <w:ind w:firstLine="640" w:firstLineChars="200"/>
        <w:jc w:val="left"/>
        <w:rPr>
          <w:rFonts w:cs="黑体" w:asciiTheme="minorEastAsia" w:hAnsiTheme="minorEastAsia"/>
          <w:color w:val="000000"/>
          <w:kern w:val="0"/>
          <w:sz w:val="32"/>
          <w:szCs w:val="32"/>
        </w:rPr>
      </w:pPr>
    </w:p>
    <w:p w14:paraId="66EFA026">
      <w:pPr>
        <w:widowControl/>
        <w:ind w:firstLine="560" w:firstLineChars="200"/>
        <w:jc w:val="left"/>
        <w:rPr>
          <w:color w:val="333333"/>
          <w:sz w:val="28"/>
          <w:szCs w:val="28"/>
        </w:rPr>
      </w:pPr>
      <w:r>
        <w:rPr>
          <w:rFonts w:hint="eastAsia"/>
          <w:color w:val="333333"/>
          <w:sz w:val="28"/>
          <w:szCs w:val="28"/>
        </w:rPr>
        <w:t>一、财政拨款收入：指财政部门核拨给单位的财政预算资金。</w:t>
      </w:r>
    </w:p>
    <w:p w14:paraId="3BC58FB3">
      <w:pPr>
        <w:widowControl/>
        <w:jc w:val="left"/>
        <w:rPr>
          <w:rFonts w:ascii="黑体" w:eastAsia="黑体" w:cs="黑体"/>
          <w:color w:val="000000"/>
          <w:kern w:val="0"/>
          <w:sz w:val="70"/>
          <w:szCs w:val="70"/>
        </w:rPr>
      </w:pPr>
      <w:r>
        <w:rPr>
          <w:rFonts w:hint="eastAsia"/>
          <w:color w:val="333333"/>
          <w:sz w:val="28"/>
          <w:szCs w:val="28"/>
        </w:rPr>
        <w:t>二、  事业收入：指事业单位开展专业业务活动及辅助活动所取得的收入。 </w:t>
      </w:r>
    </w:p>
    <w:p w14:paraId="5B2446E0">
      <w:pPr>
        <w:pStyle w:val="6"/>
        <w:shd w:val="clear" w:color="auto" w:fill="FFFFFF"/>
        <w:rPr>
          <w:color w:val="333333"/>
          <w:sz w:val="28"/>
          <w:szCs w:val="28"/>
        </w:rPr>
      </w:pPr>
      <w:r>
        <w:rPr>
          <w:rFonts w:hint="eastAsia"/>
          <w:color w:val="333333"/>
          <w:sz w:val="28"/>
          <w:szCs w:val="28"/>
        </w:rPr>
        <w:t>三、附属单位上缴收入：指事业单位附属独立核算单位按有关规定上缴的收入。 </w:t>
      </w:r>
    </w:p>
    <w:p w14:paraId="78FA9FFF">
      <w:pPr>
        <w:pStyle w:val="6"/>
        <w:shd w:val="clear" w:color="auto" w:fill="FFFFFF"/>
        <w:rPr>
          <w:color w:val="333333"/>
          <w:sz w:val="28"/>
          <w:szCs w:val="28"/>
        </w:rPr>
      </w:pPr>
      <w:r>
        <w:rPr>
          <w:rFonts w:hint="eastAsia"/>
          <w:color w:val="333333"/>
          <w:sz w:val="28"/>
          <w:szCs w:val="28"/>
        </w:rPr>
        <w:t>四、其他收入：指单位取得的除上述“财政拨款收入”、“事业收入”、“附属单位上缴收入”等以外的收入。 </w:t>
      </w:r>
    </w:p>
    <w:p w14:paraId="353BE122">
      <w:pPr>
        <w:pStyle w:val="6"/>
        <w:shd w:val="clear" w:color="auto" w:fill="FFFFFF"/>
        <w:rPr>
          <w:color w:val="333333"/>
          <w:sz w:val="28"/>
          <w:szCs w:val="28"/>
        </w:rPr>
      </w:pPr>
      <w:r>
        <w:rPr>
          <w:rFonts w:hint="eastAsia"/>
          <w:color w:val="333333"/>
          <w:sz w:val="28"/>
          <w:szCs w:val="28"/>
        </w:rPr>
        <w:t>五、年初结转和结余：指以前年度尚未完成、结转到本年仍按有关规定继续使用的资金。 </w:t>
      </w:r>
    </w:p>
    <w:p w14:paraId="5E183CB9">
      <w:pPr>
        <w:pStyle w:val="6"/>
        <w:shd w:val="clear" w:color="auto" w:fill="FFFFFF"/>
        <w:rPr>
          <w:color w:val="333333"/>
          <w:sz w:val="28"/>
          <w:szCs w:val="28"/>
        </w:rPr>
      </w:pPr>
      <w:r>
        <w:rPr>
          <w:rFonts w:hint="eastAsia"/>
          <w:color w:val="333333"/>
          <w:sz w:val="28"/>
          <w:szCs w:val="28"/>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14:paraId="02B67DF8">
      <w:pPr>
        <w:pStyle w:val="6"/>
        <w:shd w:val="clear" w:color="auto" w:fill="FFFFFF"/>
        <w:rPr>
          <w:color w:val="333333"/>
          <w:sz w:val="28"/>
          <w:szCs w:val="28"/>
        </w:rPr>
      </w:pPr>
      <w:r>
        <w:rPr>
          <w:rFonts w:hint="eastAsia"/>
          <w:color w:val="333333"/>
          <w:sz w:val="28"/>
          <w:szCs w:val="28"/>
        </w:rPr>
        <w:t>七、结余分配：指事业单位按规定提取的职工福利基金、事业基金和缴纳的所得税，以及建设单位按规定应交回的基本建设竣工项目结余资金。 </w:t>
      </w:r>
    </w:p>
    <w:p w14:paraId="5159B102">
      <w:pPr>
        <w:pStyle w:val="6"/>
        <w:shd w:val="clear" w:color="auto" w:fill="FFFFFF"/>
        <w:rPr>
          <w:color w:val="333333"/>
          <w:sz w:val="28"/>
          <w:szCs w:val="28"/>
        </w:rPr>
      </w:pPr>
      <w:r>
        <w:rPr>
          <w:rFonts w:hint="eastAsia"/>
          <w:color w:val="333333"/>
          <w:sz w:val="28"/>
          <w:szCs w:val="28"/>
        </w:rPr>
        <w:t>八、年末结转和结余：指本年度或以前年度预算安排、因客观条件发生变化无法按原计划实施，需延迟到以后年度按有关规定继续使用的资金。 </w:t>
      </w:r>
    </w:p>
    <w:p w14:paraId="5A98F63D">
      <w:pPr>
        <w:pStyle w:val="6"/>
        <w:shd w:val="clear" w:color="auto" w:fill="FFFFFF"/>
        <w:rPr>
          <w:color w:val="333333"/>
          <w:sz w:val="28"/>
          <w:szCs w:val="28"/>
        </w:rPr>
      </w:pPr>
      <w:r>
        <w:rPr>
          <w:rFonts w:hint="eastAsia"/>
          <w:color w:val="333333"/>
          <w:sz w:val="28"/>
          <w:szCs w:val="28"/>
        </w:rPr>
        <w:t>九、基本支出：指为保障机构正常运转、完成日常工作任务而发生的人员支出和公用支出。 </w:t>
      </w:r>
    </w:p>
    <w:p w14:paraId="1ADCF688">
      <w:pPr>
        <w:pStyle w:val="6"/>
        <w:shd w:val="clear" w:color="auto" w:fill="FFFFFF"/>
        <w:rPr>
          <w:color w:val="333333"/>
          <w:sz w:val="28"/>
          <w:szCs w:val="28"/>
        </w:rPr>
      </w:pPr>
      <w:r>
        <w:rPr>
          <w:rFonts w:hint="eastAsia"/>
          <w:color w:val="333333"/>
          <w:sz w:val="28"/>
          <w:szCs w:val="28"/>
        </w:rPr>
        <w:t>十、项目支出：指在基本支出之外，为完成特定行政任务和事业发展目标所发生的支出。 </w:t>
      </w:r>
    </w:p>
    <w:p w14:paraId="5F746DAC">
      <w:pPr>
        <w:pStyle w:val="6"/>
        <w:shd w:val="clear" w:color="auto" w:fill="FFFFFF"/>
        <w:rPr>
          <w:color w:val="333333"/>
          <w:sz w:val="28"/>
          <w:szCs w:val="28"/>
        </w:rPr>
      </w:pPr>
      <w:r>
        <w:rPr>
          <w:rFonts w:hint="eastAsia"/>
          <w:color w:val="333333"/>
          <w:sz w:val="28"/>
          <w:szCs w:val="28"/>
        </w:rPr>
        <w:t>十一、　“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14:paraId="0BFD5FFC">
      <w:pPr>
        <w:widowControl/>
        <w:jc w:val="left"/>
        <w:rPr>
          <w:rFonts w:cs="黑体" w:asciiTheme="minorEastAsia" w:hAnsiTheme="minorEastAsia"/>
          <w:color w:val="000000"/>
          <w:kern w:val="0"/>
          <w:sz w:val="32"/>
          <w:szCs w:val="32"/>
        </w:rPr>
      </w:pP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r>
        <w:rPr>
          <w:rFonts w:hint="eastAsia" w:cs="黑体" w:asciiTheme="minorEastAsia" w:hAnsiTheme="minorEastAsia"/>
          <w:color w:val="000000"/>
          <w:kern w:val="0"/>
          <w:sz w:val="32"/>
          <w:szCs w:val="32"/>
        </w:rPr>
        <w:br w:type="page"/>
      </w:r>
    </w:p>
    <w:p w14:paraId="08AF1459">
      <w:pPr>
        <w:pStyle w:val="19"/>
        <w:jc w:val="center"/>
        <w:rPr>
          <w:sz w:val="72"/>
          <w:szCs w:val="72"/>
        </w:rPr>
      </w:pPr>
    </w:p>
    <w:p w14:paraId="352F50D7">
      <w:pPr>
        <w:pStyle w:val="19"/>
        <w:jc w:val="center"/>
        <w:rPr>
          <w:sz w:val="72"/>
          <w:szCs w:val="72"/>
        </w:rPr>
      </w:pPr>
    </w:p>
    <w:p w14:paraId="49B39EAD">
      <w:pPr>
        <w:pStyle w:val="19"/>
        <w:jc w:val="center"/>
        <w:rPr>
          <w:sz w:val="72"/>
          <w:szCs w:val="72"/>
        </w:rPr>
      </w:pPr>
    </w:p>
    <w:p w14:paraId="5114F401">
      <w:pPr>
        <w:pStyle w:val="19"/>
        <w:jc w:val="center"/>
        <w:rPr>
          <w:sz w:val="72"/>
          <w:szCs w:val="72"/>
        </w:rPr>
      </w:pPr>
    </w:p>
    <w:p w14:paraId="4E4BCED9">
      <w:pPr>
        <w:pStyle w:val="19"/>
        <w:jc w:val="center"/>
        <w:rPr>
          <w:sz w:val="72"/>
          <w:szCs w:val="72"/>
        </w:rPr>
      </w:pPr>
    </w:p>
    <w:p w14:paraId="0B1218C8">
      <w:pPr>
        <w:pStyle w:val="19"/>
        <w:jc w:val="center"/>
        <w:rPr>
          <w:sz w:val="72"/>
          <w:szCs w:val="72"/>
        </w:rPr>
      </w:pPr>
    </w:p>
    <w:p w14:paraId="10305192">
      <w:pPr>
        <w:pStyle w:val="19"/>
        <w:jc w:val="center"/>
        <w:rPr>
          <w:sz w:val="72"/>
          <w:szCs w:val="72"/>
        </w:rPr>
      </w:pPr>
      <w:r>
        <w:rPr>
          <w:rFonts w:hint="eastAsia"/>
          <w:sz w:val="72"/>
          <w:szCs w:val="72"/>
        </w:rPr>
        <w:t>第五部分</w:t>
      </w:r>
    </w:p>
    <w:p w14:paraId="25E1B384">
      <w:pPr>
        <w:jc w:val="center"/>
        <w:rPr>
          <w:rFonts w:ascii="黑体" w:eastAsia="黑体" w:cs="黑体"/>
          <w:color w:val="000000"/>
          <w:kern w:val="0"/>
          <w:sz w:val="70"/>
          <w:szCs w:val="70"/>
        </w:rPr>
      </w:pPr>
    </w:p>
    <w:p w14:paraId="1A1AED19">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14:paraId="71D7A07C">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14:paraId="680B8B06">
      <w:pPr>
        <w:jc w:val="center"/>
        <w:rPr>
          <w:rFonts w:ascii="黑体" w:eastAsia="黑体" w:cs="黑体"/>
          <w:color w:val="000000"/>
          <w:kern w:val="0"/>
          <w:sz w:val="70"/>
          <w:szCs w:val="70"/>
        </w:rPr>
      </w:pPr>
    </w:p>
    <w:p w14:paraId="62D4CFAE">
      <w:pPr>
        <w:widowControl/>
        <w:spacing w:line="540" w:lineRule="atLeast"/>
        <w:jc w:val="center"/>
        <w:rPr>
          <w:rFonts w:ascii="仿宋" w:hAnsi="仿宋" w:eastAsia="仿宋" w:cs="仿宋"/>
          <w:b/>
          <w:bCs/>
          <w:sz w:val="36"/>
          <w:szCs w:val="36"/>
        </w:rPr>
      </w:pPr>
      <w:r>
        <w:rPr>
          <w:rFonts w:hint="eastAsia" w:ascii="仿宋" w:hAnsi="仿宋" w:eastAsia="仿宋" w:cs="仿宋"/>
          <w:b/>
          <w:bCs/>
          <w:color w:val="000000"/>
          <w:kern w:val="0"/>
          <w:sz w:val="36"/>
          <w:szCs w:val="36"/>
        </w:rPr>
        <w:t>咸塘镇2020年部门整体支出绩效自评报告</w:t>
      </w:r>
    </w:p>
    <w:p w14:paraId="0B403F32">
      <w:pPr>
        <w:ind w:firstLine="560" w:firstLineChars="200"/>
        <w:jc w:val="left"/>
        <w:rPr>
          <w:rFonts w:ascii="仿宋" w:hAnsi="仿宋" w:eastAsia="仿宋"/>
          <w:bCs/>
          <w:color w:val="383838"/>
          <w:sz w:val="32"/>
          <w:shd w:val="clear" w:color="auto" w:fill="FFFFFF"/>
        </w:rPr>
      </w:pPr>
      <w:r>
        <w:rPr>
          <w:rFonts w:hint="eastAsia" w:ascii="仿宋" w:hAnsi="仿宋" w:eastAsia="仿宋" w:cs="仿宋"/>
          <w:color w:val="000000"/>
          <w:kern w:val="0"/>
          <w:sz w:val="28"/>
          <w:szCs w:val="28"/>
        </w:rPr>
        <w:t> </w:t>
      </w:r>
      <w:r>
        <w:rPr>
          <w:rFonts w:hint="eastAsia" w:ascii="仿宋" w:hAnsi="仿宋" w:eastAsia="仿宋"/>
          <w:bCs/>
          <w:color w:val="383838"/>
          <w:sz w:val="32"/>
          <w:shd w:val="clear" w:color="auto" w:fill="FFFFFF"/>
        </w:rPr>
        <w:t>为加强财政预算资金管理，进一步规范预算资金使用，提高财政资金使用效益，根据《衡南县财政局关于开展2020年度财政资金绩效自评工作的通知》（清财绩[2021]66号）要求，本单位对2020年度本单位财政性资金整体使用情况进行了绩效自评，现将具体绩效评价情况报告如下：</w:t>
      </w:r>
    </w:p>
    <w:p w14:paraId="18EFC666">
      <w:pPr>
        <w:spacing w:line="600" w:lineRule="exact"/>
        <w:ind w:left="420" w:leftChars="200"/>
        <w:rPr>
          <w:rFonts w:ascii="黑体" w:eastAsia="黑体"/>
          <w:sz w:val="32"/>
          <w:szCs w:val="32"/>
        </w:rPr>
      </w:pPr>
      <w:r>
        <w:rPr>
          <w:rFonts w:hint="eastAsia" w:ascii="黑体" w:eastAsia="黑体"/>
          <w:sz w:val="32"/>
          <w:szCs w:val="32"/>
        </w:rPr>
        <w:t>一、单位基本情况</w:t>
      </w:r>
    </w:p>
    <w:p w14:paraId="642CA557">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咸塘镇人民政府为全额财政拨款单位，纳入财政会计集中核算和国库集中支付体系，财务制度执行《预算法》、《行政单位会计制度》。</w:t>
      </w:r>
    </w:p>
    <w:p w14:paraId="6D6888C3">
      <w:pPr>
        <w:numPr>
          <w:ilvl w:val="0"/>
          <w:numId w:val="2"/>
        </w:numPr>
        <w:spacing w:line="600" w:lineRule="exact"/>
        <w:ind w:left="630"/>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、部门职能</w:t>
      </w:r>
    </w:p>
    <w:p w14:paraId="3134054D">
      <w:pPr>
        <w:ind w:firstLine="640" w:firstLineChars="200"/>
        <w:jc w:val="left"/>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1、负责党的路线、方针、政策和国家法律、法规在本行政区域内的宣传、贯彻、落实。加强基层党组织和政权建设，为本地区经济的发展和社会稳定提供政治、社会环境和组织保证。</w:t>
      </w:r>
    </w:p>
    <w:p w14:paraId="67B70067">
      <w:pPr>
        <w:ind w:firstLine="640" w:firstLineChars="200"/>
        <w:jc w:val="left"/>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2、负责制定本行政区域内经济建设和各项社会事业发展的规划，并组织实施。依法管理经济和社会事务，促进本片区两个文明建设。负责本行政区域内的民主与法制建设工作，维护和保障公民的各项合法权利。</w:t>
      </w:r>
    </w:p>
    <w:p w14:paraId="59248775">
      <w:pPr>
        <w:ind w:firstLine="640" w:firstLineChars="200"/>
        <w:jc w:val="left"/>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3、负责咸塘镇党委、人大、政府、政协联络工委、纪律委员会、人民武装及共青团、妇联等群团组织的日常工作。</w:t>
      </w:r>
    </w:p>
    <w:p w14:paraId="0DB62A9F">
      <w:pPr>
        <w:ind w:firstLine="640" w:firstLineChars="200"/>
        <w:jc w:val="left"/>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4、负责完成上级机关交办的其他工作任务。</w:t>
      </w:r>
    </w:p>
    <w:p w14:paraId="0C707E86">
      <w:pPr>
        <w:spacing w:line="600" w:lineRule="exact"/>
        <w:ind w:left="638" w:leftChars="304"/>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（二）、基本情况。</w:t>
      </w:r>
    </w:p>
    <w:p w14:paraId="1402A213">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本镇辖有8个村，2个居委会，政府机关现有在编财政供养人员96人，其中政府本级22人，三中心一大队一站74人；享受遗嘱补助人员7人；政府工勤人员1人；政府公务用车1辆。</w:t>
      </w:r>
    </w:p>
    <w:p w14:paraId="7EB60272">
      <w:pPr>
        <w:spacing w:line="600" w:lineRule="exact"/>
        <w:ind w:left="638" w:leftChars="304"/>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（三）、部门主要工作任务及实施情况。</w:t>
      </w:r>
    </w:p>
    <w:p w14:paraId="343D8FA1">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本单位较好地完成了2020年初设定的工作任务，首先在确保本单位行政运行正常运转的情况下，压缩商品服务支出，将资金流入到单位建设之中，为工作高效率、高质量、高水平开展提供资金需求。同时各项专项项目也得到了有序开展，项目资金到账时便第一时间拨付到位，确保项目正常运转。</w:t>
      </w:r>
    </w:p>
    <w:p w14:paraId="68158F0E">
      <w:pPr>
        <w:spacing w:line="600" w:lineRule="exact"/>
        <w:ind w:firstLine="640" w:firstLineChars="200"/>
      </w:pPr>
      <w:r>
        <w:rPr>
          <w:rFonts w:hint="eastAsia" w:ascii="黑体" w:eastAsia="黑体"/>
          <w:sz w:val="32"/>
          <w:szCs w:val="32"/>
        </w:rPr>
        <w:t>二、部门整体支出管理及使用情况</w:t>
      </w:r>
    </w:p>
    <w:p w14:paraId="3E32E3D6">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（一）部门预算决算收支情况</w:t>
      </w:r>
    </w:p>
    <w:p w14:paraId="4504AB3D">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2020年年初预算收入465.16万元，其中：工资福利支出177.98万元，一般商品和服务支出83.20万元，对个人和家庭的补助3.94万元，项目支出200.04万元。</w:t>
      </w:r>
    </w:p>
    <w:p w14:paraId="038F56A8">
      <w:pPr>
        <w:shd w:val="solid" w:color="FFFFFF" w:fill="auto"/>
        <w:autoSpaceDN w:val="0"/>
        <w:ind w:firstLine="640" w:firstLineChars="200"/>
      </w:pPr>
      <w:r>
        <w:rPr>
          <w:rFonts w:hint="eastAsia" w:ascii="仿宋" w:hAnsi="仿宋" w:eastAsia="仿宋"/>
          <w:bCs/>
          <w:color w:val="383838"/>
          <w:sz w:val="32"/>
          <w:shd w:val="clear" w:color="auto" w:fill="FFFFFF"/>
        </w:rPr>
        <w:t>2020年决算收入676.44万元。本年度总支出863.42万元，其中：工资福利支出387.28万元，调整预算209.3万元，原因是本年度存在人员异动，进行的预算追加；一般商品和服务支出95.52万元，对个人和家庭的补助21.96万元；项目支出358.66万元。</w:t>
      </w:r>
    </w:p>
    <w:p w14:paraId="43A558D2">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（二）支出分类情况。</w:t>
      </w:r>
    </w:p>
    <w:p w14:paraId="7271E2F8">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1.基本支出</w:t>
      </w:r>
    </w:p>
    <w:p w14:paraId="7D9B575A">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基本支出为保障单位机构正常运转、完成日常工作任务而发生的各项支出，包括用于基本工资、津贴补贴等人员经费以及办公费、印刷费、水电费等日常公用经费。</w:t>
      </w:r>
    </w:p>
    <w:p w14:paraId="430B7B90">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2020年年初预算批复的</w:t>
      </w:r>
      <w:r>
        <w:rPr>
          <w:rFonts w:hint="eastAsia" w:ascii="仿宋" w:hAnsi="仿宋" w:eastAsia="仿宋"/>
          <w:bCs/>
          <w:color w:val="383838"/>
          <w:sz w:val="32"/>
          <w:shd w:val="clear" w:color="auto" w:fill="FFFFFF"/>
        </w:rPr>
        <w:t>基本支出为265.12万元，2020年决算基本支出372.29万元，其中：工资福利支出283.59万元，一般商品和服务支出67.82万元，对个人和家庭的补助11.63万元，资本性支出9.24万元。</w:t>
      </w:r>
    </w:p>
    <w:p w14:paraId="384553C4">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2.“三公”经费情况</w:t>
      </w:r>
    </w:p>
    <w:p w14:paraId="37AAD603">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2020年“三公”经费完成7.55万元，比上年增-1.65万元，下降17.93%，增减变化的主要原因是：支出控制。公务接待费完成3.55元，比上年减少1.48元，下降29.35%，增减变化的主要原因是：支出的严格控制及招待费记入相应的会议费中；公务用车购置及运行维护费完成4.0万元，比上年减少0.17万元，下降4.08%，增减变化的主要原因是：支出的严格控制。</w:t>
      </w:r>
    </w:p>
    <w:p w14:paraId="5517C24C">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 xml:space="preserve">本单位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会议费和培训费严格按年初计划和制度规定的标准执行。各项费用报账严格履行经手人签字、分管领导签字、财政所所长签字、单位负责人签字的程序，重大事项严格遵守：“三重一大”制度，“三公”经费较好地控制在预算范围之内。                                                                                                                                                                                                                                                                                                                                                                                                                                                                                                                                                                     </w:t>
      </w:r>
    </w:p>
    <w:p w14:paraId="7A8762B1">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2.项目支出</w:t>
      </w:r>
    </w:p>
    <w:p w14:paraId="0412E585">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w:t>
      </w:r>
      <w:r>
        <w:rPr>
          <w:rFonts w:hint="eastAsia" w:ascii="仿宋" w:hAnsi="仿宋" w:eastAsia="仿宋" w:cs="仿宋"/>
          <w:color w:val="333333"/>
          <w:spacing w:val="-2"/>
          <w:sz w:val="28"/>
          <w:szCs w:val="28"/>
        </w:rPr>
        <w:t>20</w:t>
      </w:r>
      <w:r>
        <w:rPr>
          <w:rFonts w:hint="eastAsia" w:ascii="仿宋" w:hAnsi="仿宋" w:eastAsia="仿宋" w:cs="Times New Roman"/>
          <w:bCs/>
          <w:color w:val="383838"/>
          <w:sz w:val="32"/>
          <w:shd w:val="clear" w:color="auto" w:fill="FFFFFF"/>
        </w:rPr>
        <w:t>年年初预算批复的项目支出为200.04万元，2020年决算项目支出491.14万元。其中村级转移支付203.33万元，抗疫国债支出27.7万元，社会保障和就业支出10.33万元，一般公共服务支出244.28万元（新农村建设56.95万元，乡村道路建设61.44万元，农村基础设施建设125.89万元）</w:t>
      </w:r>
    </w:p>
    <w:p w14:paraId="01B05809">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项目的开展主要根据县委县政府的安排，绩效总目标和阶段性目标都已按照计划完成，未逾期。所有开支均按照我单位财务管理制度执行，资金的使用严格把关。</w:t>
      </w:r>
    </w:p>
    <w:p w14:paraId="4BFC1EB7">
      <w:pPr>
        <w:numPr>
          <w:ilvl w:val="0"/>
          <w:numId w:val="3"/>
        </w:numPr>
        <w:spacing w:line="600" w:lineRule="exact"/>
        <w:ind w:firstLine="640" w:firstLineChars="200"/>
        <w:rPr>
          <w:rFonts w:ascii="黑体" w:eastAsia="黑体"/>
          <w:sz w:val="32"/>
          <w:szCs w:val="32"/>
        </w:rPr>
      </w:pPr>
      <w:r>
        <w:rPr>
          <w:rFonts w:hint="eastAsia" w:ascii="黑体" w:eastAsia="黑体"/>
          <w:sz w:val="32"/>
          <w:szCs w:val="32"/>
        </w:rPr>
        <w:t>部门整体支出绩效情况</w:t>
      </w:r>
    </w:p>
    <w:p w14:paraId="400AF551">
      <w:pPr>
        <w:spacing w:line="600" w:lineRule="exact"/>
        <w:ind w:left="420" w:leftChars="200"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2020年本单位根据年初工作规划及财政预算计划，积极履职、强化管理，较好的完成了年度工作目标。通过加强预算收支管理、不断建立健全内部管理制度、梳理内部管理流程，部门整体支出管理情况得到提升。本单位2020年度部门整体支出绩效评价自评得分为96.4分。</w:t>
      </w:r>
    </w:p>
    <w:p w14:paraId="04D962FC">
      <w:pPr>
        <w:pStyle w:val="4"/>
      </w:pPr>
    </w:p>
    <w:p w14:paraId="7E523B74">
      <w:pPr>
        <w:numPr>
          <w:ilvl w:val="0"/>
          <w:numId w:val="3"/>
        </w:numPr>
        <w:spacing w:line="600" w:lineRule="exact"/>
        <w:ind w:firstLine="640" w:firstLineChars="200"/>
        <w:rPr>
          <w:rFonts w:ascii="黑体" w:eastAsia="黑体"/>
          <w:sz w:val="32"/>
          <w:szCs w:val="32"/>
        </w:rPr>
      </w:pPr>
      <w:r>
        <w:rPr>
          <w:rFonts w:hint="eastAsia" w:ascii="黑体" w:eastAsia="黑体"/>
          <w:sz w:val="32"/>
          <w:szCs w:val="32"/>
        </w:rPr>
        <w:t>存在的问题</w:t>
      </w:r>
    </w:p>
    <w:p w14:paraId="216C68A0">
      <w:pPr>
        <w:pStyle w:val="6"/>
        <w:widowControl/>
        <w:spacing w:line="33" w:lineRule="atLeast"/>
        <w:ind w:firstLine="420"/>
        <w:jc w:val="both"/>
        <w:rPr>
          <w:rFonts w:ascii="仿宋" w:hAnsi="仿宋" w:eastAsia="仿宋"/>
          <w:bCs/>
          <w:color w:val="383838"/>
          <w:kern w:val="2"/>
          <w:sz w:val="32"/>
          <w:szCs w:val="24"/>
          <w:shd w:val="clear" w:color="auto" w:fill="FFFFFF"/>
        </w:rPr>
      </w:pPr>
      <w:r>
        <w:rPr>
          <w:rFonts w:hint="eastAsia" w:ascii="仿宋" w:hAnsi="仿宋" w:eastAsia="仿宋"/>
          <w:bCs/>
          <w:color w:val="383838"/>
          <w:kern w:val="2"/>
          <w:sz w:val="32"/>
          <w:szCs w:val="24"/>
          <w:shd w:val="clear" w:color="auto" w:fill="FFFFFF"/>
        </w:rPr>
        <w:t>1.预决算项目支出编制需进一步明确、精细化。</w:t>
      </w:r>
    </w:p>
    <w:p w14:paraId="13475176">
      <w:pPr>
        <w:pStyle w:val="6"/>
        <w:widowControl/>
        <w:spacing w:line="33" w:lineRule="atLeast"/>
        <w:ind w:firstLine="420"/>
        <w:jc w:val="both"/>
      </w:pPr>
      <w:r>
        <w:rPr>
          <w:rFonts w:hint="eastAsia" w:ascii="仿宋" w:hAnsi="仿宋" w:eastAsia="仿宋"/>
          <w:bCs/>
          <w:color w:val="383838"/>
          <w:kern w:val="2"/>
          <w:sz w:val="32"/>
          <w:szCs w:val="24"/>
          <w:shd w:val="clear" w:color="auto" w:fill="FFFFFF"/>
        </w:rPr>
        <w:t>2. 随着对预、决算编制工作水平要求越来越高，数据编制要求越来越精准、规范；时间紧、任务大；加之现行决算工作与实际账务处理工作间衔接还存在一定差异；会计人员业务明显增加，人员紧缺，加之业务操作水平有限，实际操作中确实感到力不从心 。</w:t>
      </w:r>
    </w:p>
    <w:p w14:paraId="20FA4DFA">
      <w:pPr>
        <w:spacing w:line="600" w:lineRule="exact"/>
        <w:ind w:firstLine="640" w:firstLineChars="200"/>
        <w:rPr>
          <w:rFonts w:ascii="黑体" w:eastAsia="黑体"/>
          <w:sz w:val="32"/>
          <w:szCs w:val="32"/>
        </w:rPr>
      </w:pPr>
      <w:r>
        <w:rPr>
          <w:rFonts w:hint="eastAsia" w:ascii="黑体" w:eastAsia="黑体"/>
          <w:sz w:val="32"/>
          <w:szCs w:val="32"/>
        </w:rPr>
        <w:t>五、相关建议</w:t>
      </w:r>
    </w:p>
    <w:p w14:paraId="09D56649">
      <w:pPr>
        <w:pStyle w:val="6"/>
        <w:widowControl/>
        <w:spacing w:line="33" w:lineRule="atLeast"/>
        <w:ind w:firstLine="640" w:firstLineChars="200"/>
        <w:jc w:val="both"/>
        <w:rPr>
          <w:rFonts w:ascii="仿宋" w:hAnsi="仿宋" w:eastAsia="仿宋"/>
          <w:bCs/>
          <w:color w:val="383838"/>
          <w:kern w:val="2"/>
          <w:sz w:val="32"/>
          <w:szCs w:val="24"/>
          <w:shd w:val="clear" w:color="auto" w:fill="FFFFFF"/>
        </w:rPr>
      </w:pPr>
      <w:r>
        <w:rPr>
          <w:rFonts w:hint="eastAsia" w:ascii="仿宋" w:hAnsi="仿宋" w:eastAsia="仿宋"/>
          <w:bCs/>
          <w:color w:val="383838"/>
          <w:kern w:val="2"/>
          <w:sz w:val="32"/>
          <w:szCs w:val="24"/>
          <w:shd w:val="clear" w:color="auto" w:fill="FFFFFF"/>
        </w:rPr>
        <w:t>加强内部机构对绩效管理工作的重视，加强内部制度管理，提高管理职能，进一步提高工作效率与业务操作水平。</w:t>
      </w:r>
    </w:p>
    <w:p w14:paraId="58CDBDEC">
      <w:pPr>
        <w:pStyle w:val="6"/>
        <w:widowControl/>
        <w:spacing w:line="33" w:lineRule="atLeast"/>
        <w:ind w:firstLine="420"/>
        <w:jc w:val="right"/>
        <w:rPr>
          <w:rFonts w:ascii="仿宋" w:hAnsi="仿宋" w:eastAsia="仿宋"/>
          <w:bCs/>
          <w:color w:val="383838"/>
          <w:kern w:val="2"/>
          <w:sz w:val="32"/>
          <w:szCs w:val="24"/>
          <w:shd w:val="clear" w:color="auto" w:fill="FFFFFF"/>
        </w:rPr>
      </w:pPr>
    </w:p>
    <w:p w14:paraId="49CAB001">
      <w:pPr>
        <w:pStyle w:val="6"/>
        <w:widowControl/>
        <w:wordWrap w:val="0"/>
        <w:spacing w:line="33" w:lineRule="atLeast"/>
        <w:ind w:firstLine="420"/>
        <w:jc w:val="right"/>
        <w:rPr>
          <w:rFonts w:ascii="仿宋" w:hAnsi="仿宋" w:eastAsia="仿宋"/>
          <w:bCs/>
          <w:color w:val="383838"/>
          <w:kern w:val="2"/>
          <w:sz w:val="32"/>
          <w:szCs w:val="24"/>
          <w:shd w:val="clear" w:color="auto" w:fill="FFFFFF"/>
        </w:rPr>
      </w:pPr>
    </w:p>
    <w:p w14:paraId="081707C8">
      <w:pPr>
        <w:ind w:firstLine="640" w:firstLineChars="200"/>
        <w:jc w:val="center"/>
        <w:rPr>
          <w:rFonts w:cs="黑体" w:asciiTheme="minorEastAsia" w:hAnsiTheme="minorEastAsia"/>
          <w:b/>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E2CAA7"/>
    <w:multiLevelType w:val="singleLevel"/>
    <w:tmpl w:val="42E2CAA7"/>
    <w:lvl w:ilvl="0" w:tentative="0">
      <w:start w:val="3"/>
      <w:numFmt w:val="chineseCounting"/>
      <w:suff w:val="nothing"/>
      <w:lvlText w:val="%1、"/>
      <w:lvlJc w:val="left"/>
      <w:rPr>
        <w:rFonts w:hint="eastAsia"/>
      </w:rPr>
    </w:lvl>
  </w:abstractNum>
  <w:abstractNum w:abstractNumId="1">
    <w:nsid w:val="55EFAA59"/>
    <w:multiLevelType w:val="singleLevel"/>
    <w:tmpl w:val="55EFAA59"/>
    <w:lvl w:ilvl="0" w:tentative="0">
      <w:start w:val="1"/>
      <w:numFmt w:val="chineseCounting"/>
      <w:suff w:val="nothing"/>
      <w:lvlText w:val="（%1）"/>
      <w:lvlJc w:val="left"/>
      <w:pPr>
        <w:ind w:left="-8"/>
      </w:pPr>
      <w:rPr>
        <w:rFonts w:hint="eastAsia"/>
      </w:rPr>
    </w:lvl>
  </w:abstractNum>
  <w:abstractNum w:abstractNumId="2">
    <w:nsid w:val="697FDFE1"/>
    <w:multiLevelType w:val="singleLevel"/>
    <w:tmpl w:val="697FDFE1"/>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506F9"/>
    <w:rsid w:val="00011BD4"/>
    <w:rsid w:val="0002229B"/>
    <w:rsid w:val="000273BD"/>
    <w:rsid w:val="000415B7"/>
    <w:rsid w:val="00045382"/>
    <w:rsid w:val="000658A3"/>
    <w:rsid w:val="00074155"/>
    <w:rsid w:val="00083B24"/>
    <w:rsid w:val="000848A8"/>
    <w:rsid w:val="000A3F69"/>
    <w:rsid w:val="000C552A"/>
    <w:rsid w:val="00137889"/>
    <w:rsid w:val="00152C6D"/>
    <w:rsid w:val="00162D39"/>
    <w:rsid w:val="00163CFF"/>
    <w:rsid w:val="00197F6B"/>
    <w:rsid w:val="001A001F"/>
    <w:rsid w:val="001A67DB"/>
    <w:rsid w:val="001D51E5"/>
    <w:rsid w:val="001F0C3B"/>
    <w:rsid w:val="001F7606"/>
    <w:rsid w:val="00214427"/>
    <w:rsid w:val="00214B26"/>
    <w:rsid w:val="00265724"/>
    <w:rsid w:val="00266B8F"/>
    <w:rsid w:val="0027426B"/>
    <w:rsid w:val="002C09A3"/>
    <w:rsid w:val="002C123E"/>
    <w:rsid w:val="002F5A6B"/>
    <w:rsid w:val="003479BD"/>
    <w:rsid w:val="003768D5"/>
    <w:rsid w:val="00381123"/>
    <w:rsid w:val="00394E3F"/>
    <w:rsid w:val="003F1808"/>
    <w:rsid w:val="00425AD7"/>
    <w:rsid w:val="004506F9"/>
    <w:rsid w:val="00452710"/>
    <w:rsid w:val="004717A2"/>
    <w:rsid w:val="00483A33"/>
    <w:rsid w:val="00491741"/>
    <w:rsid w:val="00500E5F"/>
    <w:rsid w:val="005122EF"/>
    <w:rsid w:val="00517C33"/>
    <w:rsid w:val="00523644"/>
    <w:rsid w:val="0054069E"/>
    <w:rsid w:val="005767CC"/>
    <w:rsid w:val="00590D9F"/>
    <w:rsid w:val="00595D26"/>
    <w:rsid w:val="005A74E6"/>
    <w:rsid w:val="005D4D55"/>
    <w:rsid w:val="005E2CFB"/>
    <w:rsid w:val="00604FDF"/>
    <w:rsid w:val="0062378F"/>
    <w:rsid w:val="006263FC"/>
    <w:rsid w:val="00636501"/>
    <w:rsid w:val="00651EEC"/>
    <w:rsid w:val="00653438"/>
    <w:rsid w:val="006A2C82"/>
    <w:rsid w:val="006A351B"/>
    <w:rsid w:val="006B0422"/>
    <w:rsid w:val="006C1B53"/>
    <w:rsid w:val="006D7730"/>
    <w:rsid w:val="006E5284"/>
    <w:rsid w:val="006F3EB5"/>
    <w:rsid w:val="00702E34"/>
    <w:rsid w:val="00704395"/>
    <w:rsid w:val="0071546B"/>
    <w:rsid w:val="00720FF1"/>
    <w:rsid w:val="00723BF2"/>
    <w:rsid w:val="00725550"/>
    <w:rsid w:val="00812ED5"/>
    <w:rsid w:val="008277D9"/>
    <w:rsid w:val="00845F8A"/>
    <w:rsid w:val="0086599D"/>
    <w:rsid w:val="008A3E8D"/>
    <w:rsid w:val="008B0BEB"/>
    <w:rsid w:val="009237C4"/>
    <w:rsid w:val="00950252"/>
    <w:rsid w:val="00963E22"/>
    <w:rsid w:val="00967F5D"/>
    <w:rsid w:val="009A0F95"/>
    <w:rsid w:val="009B3ADF"/>
    <w:rsid w:val="009C3B52"/>
    <w:rsid w:val="00A0208F"/>
    <w:rsid w:val="00A13D3F"/>
    <w:rsid w:val="00A42218"/>
    <w:rsid w:val="00A70249"/>
    <w:rsid w:val="00AB65D5"/>
    <w:rsid w:val="00AB774B"/>
    <w:rsid w:val="00B33BEA"/>
    <w:rsid w:val="00B4253E"/>
    <w:rsid w:val="00B47A04"/>
    <w:rsid w:val="00B57C9F"/>
    <w:rsid w:val="00B707B2"/>
    <w:rsid w:val="00B70E50"/>
    <w:rsid w:val="00B72C29"/>
    <w:rsid w:val="00B845B3"/>
    <w:rsid w:val="00B85D8B"/>
    <w:rsid w:val="00BC02AC"/>
    <w:rsid w:val="00BE20F2"/>
    <w:rsid w:val="00BE3674"/>
    <w:rsid w:val="00BF1C75"/>
    <w:rsid w:val="00C165AF"/>
    <w:rsid w:val="00C3049A"/>
    <w:rsid w:val="00C31B1E"/>
    <w:rsid w:val="00C77645"/>
    <w:rsid w:val="00CB4EB5"/>
    <w:rsid w:val="00CE04C3"/>
    <w:rsid w:val="00CE76A0"/>
    <w:rsid w:val="00CF0755"/>
    <w:rsid w:val="00D148C6"/>
    <w:rsid w:val="00D15327"/>
    <w:rsid w:val="00D2542E"/>
    <w:rsid w:val="00D6654C"/>
    <w:rsid w:val="00D82932"/>
    <w:rsid w:val="00DD06FF"/>
    <w:rsid w:val="00DD5FE9"/>
    <w:rsid w:val="00E00C7A"/>
    <w:rsid w:val="00E361BD"/>
    <w:rsid w:val="00E55B68"/>
    <w:rsid w:val="00E62147"/>
    <w:rsid w:val="00E73B6E"/>
    <w:rsid w:val="00EA59D4"/>
    <w:rsid w:val="00F14EBC"/>
    <w:rsid w:val="00F62D4B"/>
    <w:rsid w:val="00F673C9"/>
    <w:rsid w:val="00F70B79"/>
    <w:rsid w:val="00F74360"/>
    <w:rsid w:val="00F77551"/>
    <w:rsid w:val="00F90C71"/>
    <w:rsid w:val="00FB462F"/>
    <w:rsid w:val="00FD65A9"/>
    <w:rsid w:val="00FE16FA"/>
    <w:rsid w:val="00FE328A"/>
    <w:rsid w:val="00FE726F"/>
    <w:rsid w:val="030B745C"/>
    <w:rsid w:val="079538FA"/>
    <w:rsid w:val="0A733E75"/>
    <w:rsid w:val="0C354529"/>
    <w:rsid w:val="0E365091"/>
    <w:rsid w:val="0E5A7FAA"/>
    <w:rsid w:val="10815D80"/>
    <w:rsid w:val="123E443D"/>
    <w:rsid w:val="13B456AF"/>
    <w:rsid w:val="15DD1699"/>
    <w:rsid w:val="1831080D"/>
    <w:rsid w:val="18B157AB"/>
    <w:rsid w:val="19545A12"/>
    <w:rsid w:val="19D86CC3"/>
    <w:rsid w:val="1A7E033A"/>
    <w:rsid w:val="1C611502"/>
    <w:rsid w:val="1E5C596F"/>
    <w:rsid w:val="20757D20"/>
    <w:rsid w:val="224A458F"/>
    <w:rsid w:val="238C0CE3"/>
    <w:rsid w:val="274C53E8"/>
    <w:rsid w:val="275B052A"/>
    <w:rsid w:val="2A2C24F5"/>
    <w:rsid w:val="2A8242BD"/>
    <w:rsid w:val="2ADB5B0A"/>
    <w:rsid w:val="2BD46FE0"/>
    <w:rsid w:val="31044EBB"/>
    <w:rsid w:val="31F300EE"/>
    <w:rsid w:val="32EA3499"/>
    <w:rsid w:val="34710DF0"/>
    <w:rsid w:val="372815A3"/>
    <w:rsid w:val="394D75ED"/>
    <w:rsid w:val="39BC4DA7"/>
    <w:rsid w:val="3BF371E8"/>
    <w:rsid w:val="3C342A2D"/>
    <w:rsid w:val="3CB4474E"/>
    <w:rsid w:val="3EBF6479"/>
    <w:rsid w:val="3F7600FB"/>
    <w:rsid w:val="3FC2530F"/>
    <w:rsid w:val="4A692F4D"/>
    <w:rsid w:val="4B8B38D3"/>
    <w:rsid w:val="4BDA4FE6"/>
    <w:rsid w:val="4C392DFB"/>
    <w:rsid w:val="4DC735FA"/>
    <w:rsid w:val="50C94BB9"/>
    <w:rsid w:val="517F0DCD"/>
    <w:rsid w:val="51BF628C"/>
    <w:rsid w:val="52DD07FF"/>
    <w:rsid w:val="57254895"/>
    <w:rsid w:val="58D043B6"/>
    <w:rsid w:val="59984378"/>
    <w:rsid w:val="5CE94BC6"/>
    <w:rsid w:val="60E8140D"/>
    <w:rsid w:val="6A211629"/>
    <w:rsid w:val="6C616E39"/>
    <w:rsid w:val="6D8C1A5F"/>
    <w:rsid w:val="6FD368A6"/>
    <w:rsid w:val="73095836"/>
    <w:rsid w:val="75072A9E"/>
    <w:rsid w:val="76762143"/>
    <w:rsid w:val="777373C2"/>
    <w:rsid w:val="796A71FE"/>
    <w:rsid w:val="7B092035"/>
    <w:rsid w:val="7BF61F85"/>
    <w:rsid w:val="7F150AFF"/>
    <w:rsid w:val="7F4B0C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02"/>
      <w:ind w:left="112"/>
    </w:pPr>
    <w:rPr>
      <w:sz w:val="28"/>
      <w:szCs w:val="28"/>
    </w:rPr>
  </w:style>
  <w:style w:type="paragraph" w:styleId="3">
    <w:name w:val="Balloon Text"/>
    <w:basedOn w:val="1"/>
    <w:link w:val="21"/>
    <w:semiHidden/>
    <w:unhideWhenUsed/>
    <w:qFormat/>
    <w:uiPriority w:val="99"/>
    <w:rPr>
      <w:sz w:val="18"/>
      <w:szCs w:val="18"/>
    </w:rPr>
  </w:style>
  <w:style w:type="paragraph" w:styleId="4">
    <w:name w:val="footer"/>
    <w:basedOn w:val="1"/>
    <w:link w:val="18"/>
    <w:unhideWhenUsed/>
    <w:qFormat/>
    <w:uiPriority w:val="99"/>
    <w:pPr>
      <w:tabs>
        <w:tab w:val="center" w:pos="4153"/>
        <w:tab w:val="right" w:pos="8306"/>
      </w:tabs>
      <w:snapToGrid w:val="0"/>
      <w:jc w:val="left"/>
    </w:pPr>
    <w:rPr>
      <w:sz w:val="18"/>
      <w:szCs w:val="18"/>
    </w:rPr>
  </w:style>
  <w:style w:type="paragraph" w:styleId="5">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jc w:val="left"/>
    </w:pPr>
    <w:rPr>
      <w:rFonts w:cs="Times New Roman"/>
      <w:kern w:val="0"/>
      <w:sz w:val="24"/>
    </w:rPr>
  </w:style>
  <w:style w:type="character" w:styleId="9">
    <w:name w:val="FollowedHyperlink"/>
    <w:basedOn w:val="8"/>
    <w:semiHidden/>
    <w:unhideWhenUsed/>
    <w:qFormat/>
    <w:uiPriority w:val="99"/>
    <w:rPr>
      <w:color w:val="4A4A4A"/>
      <w:u w:val="none"/>
    </w:rPr>
  </w:style>
  <w:style w:type="character" w:styleId="10">
    <w:name w:val="Emphasis"/>
    <w:basedOn w:val="8"/>
    <w:qFormat/>
    <w:uiPriority w:val="20"/>
  </w:style>
  <w:style w:type="character" w:styleId="11">
    <w:name w:val="HTML Definition"/>
    <w:basedOn w:val="8"/>
    <w:semiHidden/>
    <w:unhideWhenUsed/>
    <w:qFormat/>
    <w:uiPriority w:val="99"/>
  </w:style>
  <w:style w:type="character" w:styleId="12">
    <w:name w:val="HTML Acronym"/>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semiHidden/>
    <w:unhideWhenUsed/>
    <w:qFormat/>
    <w:uiPriority w:val="99"/>
    <w:rPr>
      <w:color w:val="4A4A4A"/>
      <w:u w:val="non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customStyle="1" w:styleId="17">
    <w:name w:val="页眉 Char"/>
    <w:basedOn w:val="8"/>
    <w:link w:val="5"/>
    <w:qFormat/>
    <w:uiPriority w:val="99"/>
    <w:rPr>
      <w:sz w:val="18"/>
      <w:szCs w:val="18"/>
    </w:rPr>
  </w:style>
  <w:style w:type="character" w:customStyle="1" w:styleId="18">
    <w:name w:val="页脚 Char"/>
    <w:basedOn w:val="8"/>
    <w:link w:val="4"/>
    <w:qFormat/>
    <w:uiPriority w:val="99"/>
    <w:rPr>
      <w:sz w:val="18"/>
      <w:szCs w:val="18"/>
    </w:rPr>
  </w:style>
  <w:style w:type="paragraph" w:customStyle="1" w:styleId="19">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20">
    <w:name w:val="List Paragraph"/>
    <w:basedOn w:val="1"/>
    <w:qFormat/>
    <w:uiPriority w:val="34"/>
    <w:pPr>
      <w:ind w:firstLine="420" w:firstLineChars="200"/>
    </w:pPr>
  </w:style>
  <w:style w:type="character" w:customStyle="1" w:styleId="21">
    <w:name w:val="批注框文本 Char"/>
    <w:basedOn w:val="8"/>
    <w:link w:val="3"/>
    <w:semiHidden/>
    <w:qFormat/>
    <w:uiPriority w:val="99"/>
    <w:rPr>
      <w:sz w:val="18"/>
      <w:szCs w:val="18"/>
    </w:rPr>
  </w:style>
  <w:style w:type="character" w:customStyle="1" w:styleId="22">
    <w:name w:val="hover23"/>
    <w:basedOn w:val="8"/>
    <w:qFormat/>
    <w:uiPriority w:val="0"/>
    <w:rPr>
      <w:color w:val="1258AD"/>
      <w:u w:val="none"/>
      <w:bdr w:val="single" w:color="1258AD" w:sz="6" w:space="0"/>
    </w:rPr>
  </w:style>
  <w:style w:type="character" w:customStyle="1" w:styleId="23">
    <w:name w:val="layui-this"/>
    <w:basedOn w:val="8"/>
    <w:qFormat/>
    <w:uiPriority w:val="0"/>
    <w:rPr>
      <w:bdr w:val="single" w:color="EEEEEE" w:sz="6" w:space="0"/>
      <w:shd w:val="clear" w:color="auto" w:fill="FFFFFF"/>
    </w:rPr>
  </w:style>
  <w:style w:type="character" w:customStyle="1" w:styleId="24">
    <w:name w:val="first-child"/>
    <w:basedOn w:val="8"/>
    <w:qFormat/>
    <w:uiPriority w:val="0"/>
  </w:style>
  <w:style w:type="character" w:customStyle="1" w:styleId="25">
    <w:name w:val="hover20"/>
    <w:basedOn w:val="8"/>
    <w:qFormat/>
    <w:uiPriority w:val="0"/>
    <w:rPr>
      <w:color w:val="1258AD"/>
      <w:u w:val="none"/>
      <w:bdr w:val="single" w:color="1258AD" w:sz="6" w:space="0"/>
    </w:rPr>
  </w:style>
  <w:style w:type="character" w:customStyle="1" w:styleId="26">
    <w:name w:val="hover"/>
    <w:basedOn w:val="8"/>
    <w:qFormat/>
    <w:uiPriority w:val="0"/>
    <w:rPr>
      <w:color w:val="1258AD"/>
      <w:u w:val="none"/>
      <w:bdr w:val="single" w:color="1258AD" w:sz="6" w:space="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D1EB35-607E-4372-A5E6-C213DAB801F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871</Words>
  <Characters>886</Characters>
  <Lines>12</Lines>
  <Paragraphs>16</Paragraphs>
  <TotalTime>12</TotalTime>
  <ScaleCrop>false</ScaleCrop>
  <LinksUpToDate>false</LinksUpToDate>
  <CharactersWithSpaces>886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cp:lastModifiedBy>
  <cp:lastPrinted>2020-07-15T07:25:00Z</cp:lastPrinted>
  <dcterms:modified xsi:type="dcterms:W3CDTF">2025-08-29T07:20:54Z</dcterms:modified>
  <cp:revision>232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A1A8C5E2F4704FD1A445F9BA04C8E703</vt:lpwstr>
  </property>
  <property fmtid="{D5CDD505-2E9C-101B-9397-08002B2CF9AE}" pid="4" name="KSOTemplateDocerSaveRecord">
    <vt:lpwstr>eyJoZGlkIjoiMDgyOTcyNjg2OWFiMTYwMWFlOWJjZjI0MWRlOTIxYjEifQ==</vt:lpwstr>
  </property>
</Properties>
</file>