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jc w:val="center"/>
        <w:rPr>
          <w:sz w:val="56"/>
          <w:szCs w:val="56"/>
        </w:rPr>
      </w:pPr>
    </w:p>
    <w:p>
      <w:pPr>
        <w:pStyle w:val="11"/>
        <w:jc w:val="center"/>
        <w:rPr>
          <w:sz w:val="56"/>
          <w:szCs w:val="56"/>
        </w:rPr>
      </w:pPr>
    </w:p>
    <w:p>
      <w:pPr>
        <w:pStyle w:val="11"/>
        <w:jc w:val="center"/>
        <w:rPr>
          <w:sz w:val="84"/>
          <w:szCs w:val="84"/>
        </w:rPr>
      </w:pPr>
    </w:p>
    <w:p>
      <w:pPr>
        <w:pStyle w:val="11"/>
        <w:jc w:val="center"/>
        <w:rPr>
          <w:sz w:val="84"/>
          <w:szCs w:val="84"/>
        </w:rPr>
      </w:pPr>
    </w:p>
    <w:p>
      <w:pPr>
        <w:pStyle w:val="11"/>
        <w:jc w:val="center"/>
        <w:rPr>
          <w:rFonts w:ascii="宋体" w:hAnsi="宋体" w:eastAsia="宋体" w:cs="宋体"/>
          <w:b/>
          <w:bCs/>
          <w:sz w:val="84"/>
          <w:szCs w:val="84"/>
        </w:rPr>
      </w:pPr>
      <w:r>
        <w:rPr>
          <w:rFonts w:hint="eastAsia" w:ascii="宋体" w:hAnsi="宋体" w:eastAsia="宋体" w:cs="宋体"/>
          <w:b/>
          <w:bCs/>
          <w:sz w:val="84"/>
          <w:szCs w:val="84"/>
        </w:rPr>
        <w:t>2020年度</w:t>
      </w:r>
    </w:p>
    <w:p>
      <w:pPr>
        <w:pStyle w:val="11"/>
        <w:jc w:val="center"/>
        <w:rPr>
          <w:rFonts w:ascii="宋体" w:hAnsi="宋体" w:eastAsia="宋体" w:cs="宋体"/>
          <w:b/>
          <w:bCs/>
          <w:sz w:val="84"/>
          <w:szCs w:val="84"/>
        </w:rPr>
      </w:pPr>
      <w:r>
        <w:rPr>
          <w:rFonts w:hint="eastAsia" w:ascii="宋体" w:hAnsi="宋体" w:eastAsia="宋体" w:cs="宋体"/>
          <w:b/>
          <w:bCs/>
          <w:sz w:val="84"/>
          <w:szCs w:val="84"/>
        </w:rPr>
        <w:t>衡南县硫市镇人民政府</w:t>
      </w:r>
    </w:p>
    <w:p>
      <w:pPr>
        <w:pStyle w:val="11"/>
        <w:jc w:val="center"/>
        <w:rPr>
          <w:rFonts w:ascii="宋体" w:hAnsi="宋体" w:eastAsia="宋体" w:cs="宋体"/>
          <w:b/>
          <w:bCs/>
          <w:sz w:val="84"/>
          <w:szCs w:val="84"/>
        </w:rPr>
      </w:pPr>
      <w:r>
        <w:rPr>
          <w:rFonts w:hint="eastAsia" w:ascii="宋体" w:hAnsi="宋体" w:eastAsia="宋体" w:cs="宋体"/>
          <w:b/>
          <w:bCs/>
          <w:sz w:val="84"/>
          <w:szCs w:val="84"/>
        </w:rPr>
        <w:t>部门决算</w:t>
      </w:r>
    </w:p>
    <w:p>
      <w:pPr>
        <w:pStyle w:val="11"/>
        <w:jc w:val="center"/>
        <w:rPr>
          <w:sz w:val="56"/>
          <w:szCs w:val="56"/>
        </w:rPr>
      </w:pPr>
    </w:p>
    <w:p>
      <w:pPr>
        <w:pStyle w:val="11"/>
        <w:jc w:val="center"/>
        <w:rPr>
          <w:sz w:val="56"/>
          <w:szCs w:val="56"/>
        </w:rPr>
      </w:pPr>
    </w:p>
    <w:p>
      <w:pPr>
        <w:pStyle w:val="11"/>
        <w:jc w:val="center"/>
        <w:rPr>
          <w:sz w:val="56"/>
          <w:szCs w:val="56"/>
        </w:rPr>
      </w:pPr>
    </w:p>
    <w:p>
      <w:pPr>
        <w:pStyle w:val="11"/>
        <w:jc w:val="center"/>
        <w:rPr>
          <w:sz w:val="56"/>
          <w:szCs w:val="56"/>
        </w:rPr>
      </w:pPr>
    </w:p>
    <w:p>
      <w:pPr>
        <w:pStyle w:val="11"/>
        <w:jc w:val="center"/>
        <w:rPr>
          <w:sz w:val="56"/>
          <w:szCs w:val="56"/>
        </w:rPr>
      </w:pPr>
    </w:p>
    <w:p>
      <w:pPr>
        <w:pStyle w:val="11"/>
        <w:spacing w:line="540" w:lineRule="exact"/>
        <w:jc w:val="center"/>
        <w:rPr>
          <w:sz w:val="56"/>
          <w:szCs w:val="56"/>
        </w:rPr>
      </w:pPr>
    </w:p>
    <w:p>
      <w:pPr>
        <w:pStyle w:val="11"/>
        <w:spacing w:line="540" w:lineRule="exact"/>
        <w:jc w:val="center"/>
        <w:rPr>
          <w:sz w:val="56"/>
          <w:szCs w:val="56"/>
        </w:rPr>
      </w:pPr>
    </w:p>
    <w:p>
      <w:pPr>
        <w:pStyle w:val="11"/>
        <w:spacing w:line="540" w:lineRule="exact"/>
        <w:jc w:val="center"/>
        <w:rPr>
          <w:sz w:val="56"/>
          <w:szCs w:val="56"/>
        </w:rPr>
      </w:pPr>
    </w:p>
    <w:p>
      <w:pPr>
        <w:pStyle w:val="11"/>
        <w:spacing w:line="540" w:lineRule="exact"/>
        <w:jc w:val="center"/>
        <w:rPr>
          <w:sz w:val="56"/>
          <w:szCs w:val="56"/>
        </w:rPr>
      </w:pPr>
    </w:p>
    <w:p>
      <w:pPr>
        <w:pStyle w:val="11"/>
        <w:spacing w:line="540" w:lineRule="exact"/>
        <w:jc w:val="center"/>
        <w:rPr>
          <w:sz w:val="56"/>
          <w:szCs w:val="56"/>
        </w:rPr>
      </w:pPr>
    </w:p>
    <w:p>
      <w:pPr>
        <w:pStyle w:val="11"/>
        <w:spacing w:line="520" w:lineRule="exact"/>
        <w:jc w:val="center"/>
        <w:rPr>
          <w:sz w:val="56"/>
          <w:szCs w:val="56"/>
        </w:rPr>
      </w:pPr>
      <w:r>
        <w:rPr>
          <w:rFonts w:hint="eastAsia"/>
          <w:sz w:val="56"/>
          <w:szCs w:val="56"/>
        </w:rPr>
        <w:t>目录</w:t>
      </w:r>
    </w:p>
    <w:p>
      <w:pPr>
        <w:pStyle w:val="11"/>
        <w:spacing w:line="520" w:lineRule="exact"/>
        <w:rPr>
          <w:rFonts w:ascii="仿宋_GB2312" w:hAnsi="仿宋_GB2312" w:cs="仿宋_GB2312"/>
          <w:b/>
          <w:sz w:val="28"/>
          <w:szCs w:val="28"/>
        </w:rPr>
      </w:pPr>
      <w:r>
        <w:rPr>
          <w:rFonts w:hint="eastAsia"/>
          <w:b/>
          <w:sz w:val="28"/>
          <w:szCs w:val="28"/>
        </w:rPr>
        <w:t>第一部分硫市镇人民政府概况</w:t>
      </w:r>
    </w:p>
    <w:p>
      <w:pPr>
        <w:pStyle w:val="11"/>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1"/>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1"/>
        <w:spacing w:line="520" w:lineRule="exact"/>
        <w:rPr>
          <w:rFonts w:hAnsi="仿宋_GB2312"/>
          <w:b/>
          <w:sz w:val="28"/>
          <w:szCs w:val="28"/>
        </w:rPr>
      </w:pPr>
    </w:p>
    <w:p>
      <w:pPr>
        <w:pStyle w:val="11"/>
        <w:spacing w:line="520" w:lineRule="exact"/>
        <w:rPr>
          <w:rFonts w:ascii="仿宋_GB2312" w:hAnsi="仿宋_GB2312" w:cs="仿宋_GB2312"/>
          <w:b/>
          <w:sz w:val="28"/>
          <w:szCs w:val="28"/>
        </w:rPr>
      </w:pPr>
      <w:r>
        <w:rPr>
          <w:rFonts w:hint="eastAsia" w:hAnsi="仿宋_GB2312"/>
          <w:b/>
          <w:sz w:val="28"/>
          <w:szCs w:val="28"/>
        </w:rPr>
        <w:t>第二部分 2020年度部门决算表</w:t>
      </w:r>
    </w:p>
    <w:p>
      <w:pPr>
        <w:pStyle w:val="11"/>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1"/>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1"/>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1"/>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1"/>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1"/>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1"/>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1"/>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1"/>
        <w:spacing w:line="52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1"/>
        <w:spacing w:line="520" w:lineRule="exact"/>
        <w:rPr>
          <w:rFonts w:hAnsi="仿宋_GB2312"/>
          <w:b/>
          <w:sz w:val="28"/>
          <w:szCs w:val="28"/>
        </w:rPr>
      </w:pPr>
    </w:p>
    <w:p>
      <w:pPr>
        <w:pStyle w:val="11"/>
        <w:spacing w:line="520" w:lineRule="exact"/>
        <w:rPr>
          <w:rFonts w:ascii="仿宋_GB2312" w:hAnsi="仿宋_GB2312" w:cs="仿宋_GB2312"/>
          <w:b/>
          <w:sz w:val="28"/>
          <w:szCs w:val="28"/>
        </w:rPr>
      </w:pPr>
      <w:r>
        <w:rPr>
          <w:rFonts w:hint="eastAsia" w:hAnsi="仿宋_GB2312"/>
          <w:b/>
          <w:sz w:val="28"/>
          <w:szCs w:val="28"/>
        </w:rPr>
        <w:t>第三部分 2020年度部门决算情况说明</w:t>
      </w:r>
    </w:p>
    <w:p>
      <w:pPr>
        <w:pStyle w:val="11"/>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2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九、国有资本经营预算财政拨款支出决算情况</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十、关于机关运行经费支出说明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十一、一般性支出情况说明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十二、关于政府采购支出说明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十三、关于国有资产占用情况说明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十四、关于2020年度预算绩效情况说明</w:t>
      </w:r>
    </w:p>
    <w:p>
      <w:pPr>
        <w:autoSpaceDE w:val="0"/>
        <w:autoSpaceDN w:val="0"/>
        <w:adjustRightInd w:val="0"/>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第四部分名词解释</w:t>
      </w:r>
    </w:p>
    <w:p>
      <w:pPr>
        <w:spacing w:line="52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第五部分附件</w:t>
      </w: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jc w:val="center"/>
        <w:rPr>
          <w:sz w:val="72"/>
          <w:szCs w:val="72"/>
        </w:rPr>
      </w:pPr>
    </w:p>
    <w:p>
      <w:pPr>
        <w:pStyle w:val="2"/>
        <w:jc w:val="center"/>
        <w:rPr>
          <w:sz w:val="72"/>
          <w:szCs w:val="72"/>
        </w:rPr>
      </w:pPr>
    </w:p>
    <w:p>
      <w:pPr>
        <w:pStyle w:val="2"/>
        <w:jc w:val="center"/>
        <w:rPr>
          <w:sz w:val="72"/>
          <w:szCs w:val="72"/>
        </w:rPr>
      </w:pPr>
    </w:p>
    <w:p>
      <w:pPr>
        <w:pStyle w:val="2"/>
        <w:jc w:val="center"/>
        <w:rPr>
          <w:sz w:val="72"/>
          <w:szCs w:val="72"/>
        </w:rPr>
      </w:pPr>
    </w:p>
    <w:p>
      <w:pPr>
        <w:pStyle w:val="2"/>
        <w:jc w:val="center"/>
        <w:rPr>
          <w:sz w:val="72"/>
          <w:szCs w:val="72"/>
        </w:rPr>
      </w:pPr>
    </w:p>
    <w:p>
      <w:pPr>
        <w:pStyle w:val="2"/>
        <w:jc w:val="both"/>
        <w:rPr>
          <w:sz w:val="72"/>
          <w:szCs w:val="72"/>
        </w:rPr>
      </w:pPr>
    </w:p>
    <w:p>
      <w:pPr>
        <w:pStyle w:val="2"/>
        <w:jc w:val="center"/>
        <w:rPr>
          <w:sz w:val="72"/>
          <w:szCs w:val="72"/>
        </w:rPr>
      </w:pPr>
      <w:r>
        <w:rPr>
          <w:rFonts w:hint="eastAsia"/>
          <w:sz w:val="72"/>
          <w:szCs w:val="72"/>
        </w:rPr>
        <w:t>第一部分</w:t>
      </w:r>
    </w:p>
    <w:p>
      <w:pPr>
        <w:pStyle w:val="2"/>
        <w:jc w:val="center"/>
        <w:rPr>
          <w:sz w:val="72"/>
          <w:szCs w:val="72"/>
        </w:rPr>
      </w:pPr>
    </w:p>
    <w:p>
      <w:pPr>
        <w:pStyle w:val="2"/>
        <w:jc w:val="center"/>
        <w:rPr>
          <w:sz w:val="72"/>
          <w:szCs w:val="72"/>
        </w:rPr>
      </w:pPr>
      <w:r>
        <w:rPr>
          <w:rFonts w:hint="eastAsia"/>
          <w:sz w:val="72"/>
          <w:szCs w:val="72"/>
        </w:rPr>
        <w:t>硫市镇人民政府概况</w:t>
      </w:r>
    </w:p>
    <w:p>
      <w:pPr>
        <w:pStyle w:val="11"/>
        <w:jc w:val="center"/>
        <w:rPr>
          <w:sz w:val="84"/>
          <w:szCs w:val="84"/>
        </w:rPr>
      </w:pPr>
    </w:p>
    <w:p>
      <w:pPr>
        <w:pStyle w:val="11"/>
        <w:jc w:val="center"/>
        <w:rPr>
          <w:sz w:val="84"/>
          <w:szCs w:val="84"/>
        </w:rPr>
      </w:pPr>
    </w:p>
    <w:p>
      <w:pPr>
        <w:pStyle w:val="11"/>
        <w:jc w:val="center"/>
        <w:rPr>
          <w:sz w:val="84"/>
          <w:szCs w:val="84"/>
        </w:rPr>
      </w:pPr>
    </w:p>
    <w:p>
      <w:pPr>
        <w:pStyle w:val="11"/>
        <w:jc w:val="center"/>
        <w:rPr>
          <w:sz w:val="84"/>
          <w:szCs w:val="84"/>
        </w:rPr>
      </w:pPr>
    </w:p>
    <w:p>
      <w:pPr>
        <w:pStyle w:val="11"/>
        <w:jc w:val="center"/>
        <w:rPr>
          <w:sz w:val="84"/>
          <w:szCs w:val="84"/>
        </w:rPr>
      </w:pPr>
    </w:p>
    <w:p>
      <w:pPr>
        <w:pStyle w:val="11"/>
        <w:jc w:val="both"/>
        <w:rPr>
          <w:sz w:val="22"/>
          <w:szCs w:val="22"/>
        </w:rPr>
      </w:pPr>
    </w:p>
    <w:p>
      <w:pPr>
        <w:pStyle w:val="11"/>
        <w:jc w:val="both"/>
        <w:rPr>
          <w:sz w:val="22"/>
          <w:szCs w:val="22"/>
        </w:rPr>
      </w:pPr>
    </w:p>
    <w:p>
      <w:pPr>
        <w:pStyle w:val="11"/>
        <w:jc w:val="both"/>
        <w:rPr>
          <w:sz w:val="22"/>
          <w:szCs w:val="22"/>
        </w:rPr>
      </w:pPr>
    </w:p>
    <w:p>
      <w:pPr>
        <w:pStyle w:val="11"/>
        <w:jc w:val="both"/>
        <w:rPr>
          <w:sz w:val="22"/>
          <w:szCs w:val="22"/>
        </w:rPr>
      </w:pPr>
    </w:p>
    <w:p>
      <w:pPr>
        <w:pStyle w:val="11"/>
        <w:jc w:val="both"/>
        <w:rPr>
          <w:sz w:val="22"/>
          <w:szCs w:val="22"/>
        </w:rPr>
      </w:pPr>
    </w:p>
    <w:p>
      <w:pPr>
        <w:pStyle w:val="12"/>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pStyle w:val="6"/>
        <w:numPr>
          <w:ilvl w:val="0"/>
          <w:numId w:val="2"/>
        </w:numPr>
        <w:shd w:val="clear" w:color="auto" w:fill="FFFFFF"/>
        <w:spacing w:before="0" w:beforeAutospacing="0" w:after="0" w:afterAutospacing="0"/>
        <w:ind w:firstLine="560" w:firstLineChars="200"/>
        <w:rPr>
          <w:color w:val="000000"/>
          <w:sz w:val="28"/>
          <w:szCs w:val="28"/>
        </w:rPr>
      </w:pPr>
      <w:r>
        <w:rPr>
          <w:rFonts w:hint="eastAsia"/>
          <w:color w:val="000000"/>
          <w:sz w:val="28"/>
          <w:szCs w:val="28"/>
        </w:rPr>
        <w:t>负责党的路线、方针、政策和国家法律、法规在本行政区域内的宣传、贯彻、落实。加强基层党组织和政权建设，为本地区经济的发展和社会稳定提供政治、社会环境和组织保证。</w:t>
      </w:r>
    </w:p>
    <w:p>
      <w:pPr>
        <w:pStyle w:val="6"/>
        <w:numPr>
          <w:ilvl w:val="0"/>
          <w:numId w:val="2"/>
        </w:numPr>
        <w:shd w:val="clear" w:color="auto" w:fill="FFFFFF"/>
        <w:spacing w:before="0" w:beforeAutospacing="0" w:after="0" w:afterAutospacing="0"/>
        <w:ind w:firstLine="560" w:firstLineChars="200"/>
        <w:rPr>
          <w:color w:val="000000"/>
          <w:sz w:val="28"/>
          <w:szCs w:val="28"/>
        </w:rPr>
      </w:pPr>
      <w:r>
        <w:rPr>
          <w:rFonts w:hint="eastAsia"/>
          <w:color w:val="000000"/>
          <w:sz w:val="28"/>
          <w:szCs w:val="28"/>
        </w:rPr>
        <w:t>负责制定本行政区域内经济建设和各项社会事业发展的规划，并组织实施。依法管理经济和社会事务，促进本片区两个文明建设。负责本行政区域内的民主与法制建设工作，维护和保障公民的各项合法权利。</w:t>
      </w:r>
    </w:p>
    <w:p>
      <w:pPr>
        <w:pStyle w:val="6"/>
        <w:shd w:val="clear" w:color="auto" w:fill="FFFFFF"/>
        <w:spacing w:before="0" w:beforeAutospacing="0" w:after="0" w:afterAutospacing="0"/>
        <w:ind w:firstLine="635" w:firstLineChars="227"/>
        <w:rPr>
          <w:rFonts w:ascii="Times New Roman" w:hAnsi="Times New Roman" w:cs="Times New Roman" w:eastAsiaTheme="minorEastAsia"/>
          <w:color w:val="000000"/>
          <w:sz w:val="28"/>
          <w:szCs w:val="28"/>
        </w:rPr>
      </w:pPr>
      <w:r>
        <w:rPr>
          <w:rFonts w:ascii="Times New Roman" w:hAnsi="Times New Roman" w:eastAsia="Helvetica" w:cs="Times New Roman"/>
          <w:color w:val="000000"/>
          <w:sz w:val="28"/>
          <w:szCs w:val="28"/>
        </w:rPr>
        <w:t>3、负责</w:t>
      </w:r>
      <w:r>
        <w:rPr>
          <w:rFonts w:hint="eastAsia" w:ascii="Times New Roman" w:hAnsi="Times New Roman" w:cs="Times New Roman"/>
          <w:color w:val="000000"/>
          <w:sz w:val="28"/>
          <w:szCs w:val="28"/>
        </w:rPr>
        <w:t>硫市</w:t>
      </w:r>
      <w:r>
        <w:rPr>
          <w:rFonts w:ascii="Times New Roman" w:hAnsi="Times New Roman" w:eastAsia="Helvetica" w:cs="Times New Roman"/>
          <w:color w:val="000000"/>
          <w:sz w:val="28"/>
          <w:szCs w:val="28"/>
        </w:rPr>
        <w:t>镇党委、</w:t>
      </w:r>
      <w:r>
        <w:rPr>
          <w:rFonts w:hint="eastAsia" w:ascii="Times New Roman" w:hAnsi="Times New Roman" w:cs="Times New Roman"/>
          <w:color w:val="000000"/>
          <w:sz w:val="28"/>
          <w:szCs w:val="28"/>
        </w:rPr>
        <w:t>人大、</w:t>
      </w:r>
      <w:r>
        <w:rPr>
          <w:rFonts w:ascii="Times New Roman" w:hAnsi="Times New Roman" w:eastAsia="Helvetica" w:cs="Times New Roman"/>
          <w:color w:val="000000"/>
          <w:sz w:val="28"/>
          <w:szCs w:val="28"/>
        </w:rPr>
        <w:t>政府、政协联络工委、纪律委员会、人民武装及共青团、妇联等群团组织的日常工作。</w:t>
      </w:r>
    </w:p>
    <w:p>
      <w:pPr>
        <w:pStyle w:val="6"/>
        <w:shd w:val="clear" w:color="auto" w:fill="FFFFFF"/>
        <w:spacing w:before="0" w:beforeAutospacing="0" w:after="0" w:afterAutospacing="0"/>
        <w:ind w:firstLine="635" w:firstLineChars="227"/>
        <w:rPr>
          <w:rFonts w:ascii="Arial" w:hAnsi="Arial" w:cs="Arial"/>
          <w:color w:val="333333"/>
          <w:sz w:val="28"/>
          <w:szCs w:val="28"/>
        </w:rPr>
      </w:pPr>
      <w:r>
        <w:rPr>
          <w:rFonts w:ascii="Times New Roman" w:hAnsi="Times New Roman" w:eastAsia="Helvetica" w:cs="Times New Roman"/>
          <w:color w:val="000000"/>
          <w:sz w:val="28"/>
          <w:szCs w:val="28"/>
        </w:rPr>
        <w:t>4</w:t>
      </w:r>
      <w:r>
        <w:rPr>
          <w:rFonts w:hint="eastAsia"/>
          <w:color w:val="000000"/>
          <w:sz w:val="28"/>
          <w:szCs w:val="28"/>
        </w:rPr>
        <w:t>、负责完成上级机关交办的其他工作任务。</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rPr>
          <w:rFonts w:asciiTheme="minorEastAsia" w:hAnsiTheme="minorEastAsia"/>
          <w:bCs/>
          <w:kern w:val="0"/>
          <w:sz w:val="28"/>
          <w:szCs w:val="28"/>
        </w:rPr>
      </w:pPr>
      <w:r>
        <w:rPr>
          <w:rFonts w:hint="eastAsia" w:asciiTheme="minorEastAsia" w:hAnsiTheme="minorEastAsia"/>
          <w:bCs/>
          <w:kern w:val="0"/>
          <w:sz w:val="28"/>
          <w:szCs w:val="28"/>
        </w:rPr>
        <w:t>（一）内设机构设置。硫市镇人民政府内设机构包括：硫市镇人民政府本级和硫市镇硫市镇财政所</w:t>
      </w:r>
    </w:p>
    <w:p>
      <w:pPr>
        <w:widowControl/>
        <w:spacing w:line="600" w:lineRule="exact"/>
        <w:rPr>
          <w:rFonts w:asciiTheme="minorEastAsia" w:hAnsiTheme="minorEastAsia"/>
          <w:bCs/>
          <w:kern w:val="0"/>
          <w:sz w:val="28"/>
          <w:szCs w:val="28"/>
        </w:rPr>
      </w:pPr>
      <w:r>
        <w:rPr>
          <w:rFonts w:hint="eastAsia" w:asciiTheme="minorEastAsia" w:hAnsiTheme="minorEastAsia"/>
          <w:bCs/>
          <w:kern w:val="0"/>
          <w:sz w:val="28"/>
          <w:szCs w:val="28"/>
        </w:rPr>
        <w:t>（二）决算单位构成。硫市镇人民政府2020年部门决算汇总公开单位构成包括：硫市镇人民政府本级</w:t>
      </w:r>
    </w:p>
    <w:p>
      <w:pPr>
        <w:jc w:val="left"/>
        <w:rPr>
          <w:rFonts w:ascii="仿宋_GB2312" w:eastAsia="仿宋_GB2312" w:hAnsiTheme="minorEastAsia"/>
          <w:sz w:val="28"/>
          <w:szCs w:val="32"/>
        </w:rPr>
      </w:pPr>
    </w:p>
    <w:p>
      <w:pPr>
        <w:jc w:val="center"/>
        <w:rPr>
          <w:sz w:val="72"/>
          <w:szCs w:val="72"/>
        </w:rPr>
      </w:pPr>
    </w:p>
    <w:p>
      <w:pPr>
        <w:pStyle w:val="2"/>
        <w:rPr>
          <w:sz w:val="72"/>
          <w:szCs w:val="72"/>
        </w:rPr>
      </w:pPr>
    </w:p>
    <w:p>
      <w:pPr>
        <w:pStyle w:val="2"/>
        <w:rPr>
          <w:sz w:val="72"/>
          <w:szCs w:val="72"/>
        </w:rPr>
      </w:pPr>
    </w:p>
    <w:p>
      <w:pPr>
        <w:pStyle w:val="2"/>
        <w:rPr>
          <w:sz w:val="72"/>
          <w:szCs w:val="72"/>
        </w:rPr>
      </w:pPr>
    </w:p>
    <w:p>
      <w:pPr>
        <w:pStyle w:val="2"/>
        <w:rPr>
          <w:sz w:val="72"/>
          <w:szCs w:val="72"/>
        </w:rPr>
      </w:pPr>
    </w:p>
    <w:p>
      <w:pPr>
        <w:pStyle w:val="2"/>
        <w:rPr>
          <w:sz w:val="72"/>
          <w:szCs w:val="72"/>
        </w:rPr>
      </w:pPr>
    </w:p>
    <w:p>
      <w:pPr>
        <w:pStyle w:val="2"/>
        <w:rPr>
          <w:sz w:val="72"/>
          <w:szCs w:val="72"/>
        </w:rPr>
      </w:pPr>
    </w:p>
    <w:p>
      <w:pPr>
        <w:pStyle w:val="2"/>
        <w:rPr>
          <w:sz w:val="72"/>
          <w:szCs w:val="72"/>
        </w:rPr>
      </w:pPr>
    </w:p>
    <w:p>
      <w:pPr>
        <w:pStyle w:val="2"/>
        <w:rPr>
          <w:sz w:val="72"/>
          <w:szCs w:val="72"/>
        </w:rPr>
      </w:pPr>
    </w:p>
    <w:p>
      <w:pPr>
        <w:pStyle w:val="2"/>
        <w:rPr>
          <w:sz w:val="72"/>
          <w:szCs w:val="72"/>
        </w:rPr>
      </w:pPr>
    </w:p>
    <w:p>
      <w:pPr>
        <w:jc w:val="center"/>
        <w:rPr>
          <w:b/>
          <w:bCs/>
          <w:sz w:val="72"/>
          <w:szCs w:val="72"/>
        </w:rPr>
      </w:pPr>
      <w:r>
        <w:rPr>
          <w:rFonts w:hint="eastAsia"/>
          <w:b/>
          <w:bCs/>
          <w:sz w:val="72"/>
          <w:szCs w:val="72"/>
        </w:rPr>
        <w:t>第二部分</w:t>
      </w:r>
    </w:p>
    <w:p>
      <w:pPr>
        <w:jc w:val="center"/>
        <w:rPr>
          <w:b/>
          <w:bCs/>
          <w:sz w:val="72"/>
          <w:szCs w:val="72"/>
        </w:rPr>
      </w:pPr>
    </w:p>
    <w:p>
      <w:pPr>
        <w:jc w:val="center"/>
        <w:rPr>
          <w:b/>
          <w:bCs/>
          <w:sz w:val="72"/>
          <w:szCs w:val="72"/>
        </w:rPr>
      </w:pPr>
      <w:r>
        <w:rPr>
          <w:rFonts w:hint="eastAsia"/>
          <w:b/>
          <w:bCs/>
          <w:sz w:val="72"/>
          <w:szCs w:val="72"/>
        </w:rPr>
        <w:t>部门决算表</w:t>
      </w:r>
    </w:p>
    <w:p>
      <w:pPr>
        <w:jc w:val="center"/>
        <w:rPr>
          <w:b/>
          <w:bCs/>
          <w:sz w:val="72"/>
          <w:szCs w:val="72"/>
        </w:rPr>
      </w:pPr>
    </w:p>
    <w:p>
      <w:pPr>
        <w:jc w:val="center"/>
        <w:rPr>
          <w:rFonts w:ascii="Times New Roman" w:hAnsi="Times New Roman" w:cs="Times New Roman"/>
          <w:b/>
          <w:bCs/>
          <w:sz w:val="72"/>
          <w:szCs w:val="72"/>
        </w:rPr>
      </w:pPr>
      <w:r>
        <w:rPr>
          <w:rFonts w:ascii="Times New Roman" w:hAnsi="Times New Roman" w:cs="Times New Roman"/>
          <w:b/>
          <w:bCs/>
          <w:sz w:val="72"/>
          <w:szCs w:val="72"/>
        </w:rPr>
        <w:t>(部门决算公示表附后)</w:t>
      </w:r>
    </w:p>
    <w:p>
      <w:pPr>
        <w:jc w:val="center"/>
        <w:rPr>
          <w:sz w:val="72"/>
          <w:szCs w:val="72"/>
        </w:rPr>
      </w:pPr>
    </w:p>
    <w:p>
      <w:pPr>
        <w:pStyle w:val="2"/>
        <w:rPr>
          <w:sz w:val="72"/>
          <w:szCs w:val="72"/>
        </w:rPr>
      </w:pPr>
    </w:p>
    <w:p>
      <w:pPr>
        <w:pStyle w:val="2"/>
        <w:rPr>
          <w:sz w:val="72"/>
          <w:szCs w:val="72"/>
        </w:rPr>
      </w:pPr>
    </w:p>
    <w:p>
      <w:pPr>
        <w:pStyle w:val="2"/>
        <w:rPr>
          <w:sz w:val="72"/>
          <w:szCs w:val="72"/>
        </w:rPr>
      </w:pPr>
    </w:p>
    <w:p>
      <w:pPr>
        <w:pStyle w:val="2"/>
        <w:rPr>
          <w:sz w:val="72"/>
          <w:szCs w:val="72"/>
        </w:rPr>
      </w:pPr>
    </w:p>
    <w:p>
      <w:pPr>
        <w:pStyle w:val="2"/>
        <w:rPr>
          <w:sz w:val="72"/>
          <w:szCs w:val="72"/>
        </w:rPr>
      </w:pPr>
    </w:p>
    <w:p>
      <w:pPr>
        <w:jc w:val="center"/>
        <w:rPr>
          <w:sz w:val="72"/>
          <w:szCs w:val="72"/>
        </w:rPr>
      </w:pPr>
    </w:p>
    <w:p>
      <w:pPr>
        <w:jc w:val="center"/>
        <w:rPr>
          <w:sz w:val="72"/>
          <w:szCs w:val="72"/>
        </w:rPr>
      </w:pPr>
    </w:p>
    <w:p>
      <w:pPr>
        <w:pStyle w:val="11"/>
        <w:jc w:val="center"/>
        <w:rPr>
          <w:sz w:val="72"/>
          <w:szCs w:val="72"/>
        </w:rPr>
      </w:pPr>
    </w:p>
    <w:p>
      <w:pPr>
        <w:pStyle w:val="11"/>
        <w:jc w:val="center"/>
        <w:rPr>
          <w:sz w:val="72"/>
          <w:szCs w:val="72"/>
        </w:rPr>
      </w:pPr>
    </w:p>
    <w:p>
      <w:pPr>
        <w:jc w:val="center"/>
        <w:rPr>
          <w:sz w:val="72"/>
          <w:szCs w:val="72"/>
        </w:rPr>
      </w:pPr>
    </w:p>
    <w:p>
      <w:pPr>
        <w:pStyle w:val="2"/>
        <w:rPr>
          <w:sz w:val="72"/>
          <w:szCs w:val="72"/>
        </w:rPr>
      </w:pPr>
    </w:p>
    <w:p>
      <w:pPr>
        <w:pStyle w:val="2"/>
        <w:rPr>
          <w:sz w:val="72"/>
          <w:szCs w:val="72"/>
        </w:rPr>
      </w:pPr>
    </w:p>
    <w:p>
      <w:pPr>
        <w:pStyle w:val="2"/>
        <w:rPr>
          <w:sz w:val="72"/>
          <w:szCs w:val="72"/>
        </w:rPr>
      </w:pPr>
    </w:p>
    <w:p>
      <w:pPr>
        <w:pStyle w:val="2"/>
        <w:rPr>
          <w:sz w:val="72"/>
          <w:szCs w:val="72"/>
        </w:rPr>
      </w:pPr>
    </w:p>
    <w:p>
      <w:pPr>
        <w:jc w:val="center"/>
        <w:rPr>
          <w:b/>
          <w:bCs/>
          <w:sz w:val="72"/>
          <w:szCs w:val="72"/>
        </w:rPr>
      </w:pPr>
      <w:r>
        <w:rPr>
          <w:rFonts w:hint="eastAsia"/>
          <w:b/>
          <w:bCs/>
          <w:sz w:val="72"/>
          <w:szCs w:val="72"/>
        </w:rPr>
        <w:t>第三部分</w:t>
      </w:r>
    </w:p>
    <w:p>
      <w:pPr>
        <w:jc w:val="center"/>
        <w:rPr>
          <w:b/>
          <w:bCs/>
          <w:sz w:val="72"/>
          <w:szCs w:val="72"/>
        </w:rPr>
      </w:pPr>
    </w:p>
    <w:p>
      <w:pPr>
        <w:jc w:val="center"/>
        <w:rPr>
          <w:sz w:val="72"/>
          <w:szCs w:val="72"/>
        </w:rPr>
      </w:pPr>
      <w:r>
        <w:rPr>
          <w:rFonts w:ascii="Times New Roman" w:hAnsi="Times New Roman" w:cs="Times New Roman"/>
          <w:b/>
          <w:bCs/>
          <w:sz w:val="72"/>
          <w:szCs w:val="72"/>
        </w:rPr>
        <w:t>2020</w:t>
      </w:r>
      <w:r>
        <w:rPr>
          <w:rFonts w:hint="eastAsia"/>
          <w:b/>
          <w:bCs/>
          <w:sz w:val="72"/>
          <w:szCs w:val="72"/>
        </w:rPr>
        <w:t>年度部门决算情况说明</w:t>
      </w:r>
    </w:p>
    <w:p>
      <w:pPr>
        <w:widowControl/>
        <w:jc w:val="left"/>
        <w:rPr>
          <w:rFonts w:ascii="黑体" w:eastAsia="黑体" w:cs="黑体"/>
          <w:color w:val="000000"/>
          <w:kern w:val="0"/>
          <w:sz w:val="70"/>
          <w:szCs w:val="70"/>
        </w:rPr>
      </w:pPr>
      <w:r>
        <w:rPr>
          <w:sz w:val="70"/>
          <w:szCs w:val="70"/>
        </w:rPr>
        <w:br w:type="page"/>
      </w:r>
    </w:p>
    <w:p>
      <w:pPr>
        <w:pStyle w:val="11"/>
        <w:rPr>
          <w:rFonts w:hAnsi="黑体"/>
          <w:b/>
          <w:sz w:val="32"/>
          <w:szCs w:val="32"/>
        </w:rPr>
      </w:pPr>
    </w:p>
    <w:p>
      <w:pPr>
        <w:pStyle w:val="11"/>
        <w:rPr>
          <w:rFonts w:hAnsi="黑体"/>
          <w:b/>
          <w:sz w:val="32"/>
          <w:szCs w:val="32"/>
        </w:rPr>
      </w:pPr>
      <w:r>
        <w:rPr>
          <w:rFonts w:hint="eastAsia" w:hAnsi="黑体"/>
          <w:b/>
          <w:sz w:val="32"/>
          <w:szCs w:val="32"/>
        </w:rPr>
        <w:t>一、收入支出决算总体情况说明</w:t>
      </w:r>
    </w:p>
    <w:p>
      <w:pPr>
        <w:spacing w:line="600" w:lineRule="exact"/>
        <w:ind w:firstLine="1134"/>
        <w:rPr>
          <w:rFonts w:asciiTheme="minorEastAsia" w:hAnsiTheme="minorEastAsia"/>
          <w:sz w:val="32"/>
          <w:szCs w:val="32"/>
        </w:rPr>
      </w:pPr>
      <w:r>
        <w:rPr>
          <w:rFonts w:ascii="Times New Roman" w:hAnsi="Times New Roman" w:eastAsia="仿宋" w:cs="Times New Roman"/>
          <w:sz w:val="32"/>
          <w:szCs w:val="32"/>
        </w:rPr>
        <w:t>2020年度收、支总计</w:t>
      </w:r>
      <w:r>
        <w:rPr>
          <w:rFonts w:hint="eastAsia" w:ascii="Times New Roman" w:hAnsi="Times New Roman" w:eastAsia="仿宋" w:cs="Times New Roman"/>
          <w:sz w:val="32"/>
          <w:szCs w:val="32"/>
        </w:rPr>
        <w:t>2559.80</w:t>
      </w:r>
      <w:r>
        <w:rPr>
          <w:rFonts w:ascii="Times New Roman" w:hAnsi="Times New Roman" w:eastAsia="仿宋" w:cs="Times New Roman"/>
          <w:sz w:val="32"/>
          <w:szCs w:val="32"/>
        </w:rPr>
        <w:t>万元。与2019年相比，减少706.88万元，减少29.27</w:t>
      </w:r>
      <w:r>
        <w:rPr>
          <w:rFonts w:ascii="Times New Roman" w:hAnsi="Times New Roman" w:eastAsia="仿宋" w:cs="Times New Roman"/>
          <w:sz w:val="32"/>
          <w:szCs w:val="32"/>
          <w:lang w:val="zh-CN"/>
        </w:rPr>
        <w:t>%</w:t>
      </w:r>
      <w:r>
        <w:rPr>
          <w:rFonts w:ascii="Times New Roman" w:hAnsi="Times New Roman" w:eastAsia="仿宋" w:cs="Times New Roman"/>
          <w:sz w:val="32"/>
          <w:szCs w:val="32"/>
        </w:rPr>
        <w:t>，主要是因为：其他收入减少，对资金进行进一步合理规划安排。一般公共预算财政拨款收入1221.48万元，比上年1178.79万元，增加3.62</w:t>
      </w:r>
      <w:r>
        <w:rPr>
          <w:rFonts w:ascii="Times New Roman" w:hAnsi="Times New Roman" w:eastAsia="仿宋" w:cs="Times New Roman"/>
          <w:sz w:val="32"/>
          <w:szCs w:val="32"/>
          <w:lang w:val="zh-CN"/>
        </w:rPr>
        <w:t>%，变化的主要原因是：</w:t>
      </w:r>
      <w:r>
        <w:rPr>
          <w:rFonts w:ascii="Times New Roman" w:hAnsi="Times New Roman" w:eastAsia="仿宋" w:cs="Times New Roman"/>
          <w:sz w:val="32"/>
          <w:szCs w:val="32"/>
        </w:rPr>
        <w:t>政策性调整，人员结构变化；其他收入406.31万元，比2019年下降66.87</w:t>
      </w:r>
      <w:r>
        <w:rPr>
          <w:rFonts w:ascii="Times New Roman" w:hAnsi="Times New Roman" w:eastAsia="仿宋" w:cs="Times New Roman"/>
          <w:sz w:val="32"/>
          <w:szCs w:val="32"/>
          <w:lang w:val="zh-CN"/>
        </w:rPr>
        <w:t>%，变化的主要原因是：</w:t>
      </w:r>
      <w:r>
        <w:rPr>
          <w:rFonts w:ascii="Times New Roman" w:hAnsi="Times New Roman" w:eastAsia="仿宋" w:cs="Times New Roman"/>
          <w:sz w:val="32"/>
          <w:szCs w:val="32"/>
        </w:rPr>
        <w:t>落实过紧日子政策，合理科学规划项目，缩减其他收入资金。</w:t>
      </w:r>
    </w:p>
    <w:p>
      <w:pPr>
        <w:pStyle w:val="11"/>
        <w:rPr>
          <w:rFonts w:hAnsi="黑体"/>
          <w:b/>
          <w:sz w:val="32"/>
          <w:szCs w:val="32"/>
        </w:rPr>
      </w:pPr>
      <w:r>
        <w:rPr>
          <w:rFonts w:hint="eastAsia" w:hAnsi="黑体"/>
          <w:b/>
          <w:sz w:val="32"/>
          <w:szCs w:val="32"/>
        </w:rPr>
        <w:t>二、收入决算情况说明</w:t>
      </w:r>
    </w:p>
    <w:p>
      <w:pPr>
        <w:spacing w:line="600" w:lineRule="exact"/>
        <w:ind w:firstLine="1134"/>
        <w:rPr>
          <w:rFonts w:ascii="Times New Roman" w:hAnsi="Times New Roman" w:eastAsia="仿宋" w:cs="Times New Roman"/>
          <w:sz w:val="32"/>
          <w:szCs w:val="32"/>
        </w:rPr>
      </w:pPr>
      <w:r>
        <w:rPr>
          <w:rFonts w:ascii="Times New Roman" w:hAnsi="Times New Roman" w:eastAsia="仿宋" w:cs="Times New Roman"/>
          <w:sz w:val="32"/>
          <w:szCs w:val="32"/>
        </w:rPr>
        <w:t>本年收入合计1708.37万元，其中：财政拨款收入</w:t>
      </w:r>
      <w:r>
        <w:rPr>
          <w:rFonts w:hint="eastAsia" w:ascii="Times New Roman" w:hAnsi="Times New Roman" w:eastAsia="仿宋" w:cs="Times New Roman"/>
          <w:sz w:val="32"/>
          <w:szCs w:val="32"/>
        </w:rPr>
        <w:t>1302.06</w:t>
      </w:r>
      <w:r>
        <w:rPr>
          <w:rFonts w:ascii="Times New Roman" w:hAnsi="Times New Roman" w:eastAsia="仿宋" w:cs="Times New Roman"/>
          <w:sz w:val="32"/>
          <w:szCs w:val="32"/>
        </w:rPr>
        <w:t>万元，占</w:t>
      </w:r>
      <w:r>
        <w:rPr>
          <w:rFonts w:hint="eastAsia" w:ascii="Times New Roman" w:hAnsi="Times New Roman" w:eastAsia="仿宋" w:cs="Times New Roman"/>
          <w:sz w:val="32"/>
          <w:szCs w:val="32"/>
        </w:rPr>
        <w:t>76.22</w:t>
      </w:r>
      <w:r>
        <w:rPr>
          <w:rFonts w:ascii="Times New Roman" w:hAnsi="Times New Roman" w:eastAsia="仿宋" w:cs="Times New Roman"/>
          <w:sz w:val="32"/>
          <w:szCs w:val="32"/>
        </w:rPr>
        <w:t>%，同比上年</w:t>
      </w:r>
      <w:r>
        <w:rPr>
          <w:rFonts w:hint="eastAsia" w:ascii="Times New Roman" w:hAnsi="Times New Roman" w:eastAsia="仿宋" w:cs="Times New Roman"/>
          <w:sz w:val="32"/>
          <w:szCs w:val="32"/>
        </w:rPr>
        <w:t>增加9.53</w:t>
      </w:r>
      <w:r>
        <w:rPr>
          <w:rFonts w:ascii="Times New Roman" w:hAnsi="Times New Roman" w:eastAsia="仿宋" w:cs="Times New Roman"/>
          <w:sz w:val="32"/>
          <w:szCs w:val="32"/>
          <w:lang w:val="zh-CN"/>
        </w:rPr>
        <w:t>%</w:t>
      </w:r>
      <w:r>
        <w:rPr>
          <w:rFonts w:ascii="Times New Roman" w:hAnsi="Times New Roman" w:eastAsia="仿宋" w:cs="Times New Roman"/>
          <w:sz w:val="32"/>
          <w:szCs w:val="32"/>
        </w:rPr>
        <w:t>，主要原因是：</w:t>
      </w:r>
      <w:r>
        <w:rPr>
          <w:rFonts w:hint="eastAsia" w:ascii="Times New Roman" w:hAnsi="Times New Roman" w:eastAsia="仿宋" w:cs="Times New Roman"/>
          <w:sz w:val="32"/>
          <w:szCs w:val="32"/>
        </w:rPr>
        <w:t>增加了政府性基金预算财政拨款收入</w:t>
      </w:r>
      <w:r>
        <w:rPr>
          <w:rFonts w:ascii="Times New Roman" w:hAnsi="Times New Roman" w:eastAsia="仿宋" w:cs="Times New Roman"/>
          <w:sz w:val="32"/>
          <w:szCs w:val="32"/>
        </w:rPr>
        <w:t>；政府性基金预算财政拨款收入80.58万元，占比4.72%，同比上年增加70.59万，主要原因是增加预算用于抗疫特别国债安排支出；上级补助收入0万元，占0%；事业收入0万元，占0%；经营收入0万元，占0%；附属单位上缴收入0万元，占0%；其他收入406.31万元，同比上年减少66.87%。</w:t>
      </w:r>
    </w:p>
    <w:p>
      <w:pPr>
        <w:pStyle w:val="11"/>
        <w:rPr>
          <w:rFonts w:hAnsi="黑体"/>
          <w:b/>
          <w:sz w:val="32"/>
          <w:szCs w:val="32"/>
        </w:rPr>
      </w:pPr>
      <w:r>
        <w:rPr>
          <w:rFonts w:hint="eastAsia" w:hAnsi="黑体"/>
          <w:b/>
          <w:sz w:val="32"/>
          <w:szCs w:val="32"/>
        </w:rPr>
        <w:t>三、支出决算情况说明</w:t>
      </w:r>
    </w:p>
    <w:p>
      <w:pPr>
        <w:pStyle w:val="11"/>
        <w:spacing w:line="64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本年支出合计21</w:t>
      </w:r>
      <w:r>
        <w:rPr>
          <w:rFonts w:hint="eastAsia" w:ascii="Times New Roman" w:hAnsi="Times New Roman" w:eastAsia="仿宋" w:cs="Times New Roman"/>
          <w:sz w:val="32"/>
          <w:szCs w:val="32"/>
        </w:rPr>
        <w:t>07.53</w:t>
      </w:r>
      <w:r>
        <w:rPr>
          <w:rFonts w:ascii="Times New Roman" w:hAnsi="Times New Roman" w:eastAsia="仿宋" w:cs="Times New Roman"/>
          <w:color w:val="auto"/>
          <w:kern w:val="2"/>
          <w:sz w:val="32"/>
          <w:szCs w:val="32"/>
        </w:rPr>
        <w:t>万</w:t>
      </w:r>
      <w:r>
        <w:rPr>
          <w:rFonts w:ascii="Times New Roman" w:hAnsi="Times New Roman" w:eastAsia="仿宋" w:cs="Times New Roman"/>
          <w:sz w:val="32"/>
          <w:szCs w:val="32"/>
        </w:rPr>
        <w:t>元，同比上年减少3.12%。其中：</w:t>
      </w:r>
      <w:r>
        <w:rPr>
          <w:rFonts w:hint="eastAsia" w:ascii="Times New Roman" w:hAnsi="Times New Roman" w:eastAsia="仿宋" w:cs="Times New Roman"/>
          <w:sz w:val="32"/>
          <w:szCs w:val="32"/>
        </w:rPr>
        <w:t>基本支出600.81万元，占比28.50%；项目支出1506.71万元，占比71.5%</w:t>
      </w:r>
      <w:r>
        <w:rPr>
          <w:rFonts w:ascii="Times New Roman" w:hAnsi="Times New Roman" w:eastAsia="仿宋" w:cs="Times New Roman"/>
          <w:sz w:val="32"/>
          <w:szCs w:val="32"/>
        </w:rPr>
        <w:t>。上级上缴支出</w:t>
      </w:r>
      <w:r>
        <w:rPr>
          <w:rFonts w:hint="eastAsia" w:ascii="Times New Roman" w:hAnsi="Times New Roman" w:eastAsia="仿宋" w:cs="Times New Roman"/>
          <w:sz w:val="32"/>
          <w:szCs w:val="32"/>
        </w:rPr>
        <w:t>0万元，占比0%；经营支出0万元，占比0%；对附属单位补助支出0万元，占比0%。</w:t>
      </w:r>
    </w:p>
    <w:p>
      <w:pPr>
        <w:pStyle w:val="11"/>
        <w:spacing w:line="640" w:lineRule="exact"/>
        <w:rPr>
          <w:rFonts w:ascii="Times New Roman" w:hAnsi="Times New Roman" w:eastAsia="仿宋" w:cs="Times New Roman"/>
          <w:sz w:val="32"/>
          <w:szCs w:val="32"/>
        </w:rPr>
      </w:pPr>
      <w:r>
        <w:rPr>
          <w:rFonts w:hint="eastAsia" w:hAnsi="黑体"/>
          <w:b/>
          <w:sz w:val="32"/>
          <w:szCs w:val="32"/>
        </w:rPr>
        <w:t>四、财政拨款收入支出决算总体情况说明</w:t>
      </w:r>
    </w:p>
    <w:p>
      <w:pPr>
        <w:pStyle w:val="6"/>
        <w:shd w:val="clear" w:color="auto" w:fill="FFFFFF"/>
        <w:spacing w:before="0" w:beforeAutospacing="0" w:after="0" w:afterAutospacing="0" w:line="600" w:lineRule="exact"/>
        <w:ind w:firstLine="640" w:firstLineChars="200"/>
        <w:rPr>
          <w:rFonts w:ascii="Times New Roman" w:hAnsi="Times New Roman" w:eastAsia="仿宋" w:cs="Times New Roman"/>
          <w:color w:val="000000"/>
          <w:sz w:val="32"/>
          <w:szCs w:val="32"/>
        </w:rPr>
      </w:pPr>
      <w:r>
        <w:rPr>
          <w:rFonts w:ascii="Times New Roman" w:hAnsi="Times New Roman" w:eastAsia="仿宋" w:cs="Times New Roman"/>
          <w:color w:val="000000"/>
          <w:sz w:val="32"/>
          <w:szCs w:val="32"/>
        </w:rPr>
        <w:t>2020年度财政拨款收、支总计1302.06万元，其中一般公共预算财政拨款支出1221.48万元，占比93.8%；政府性</w:t>
      </w:r>
      <w:r>
        <w:rPr>
          <w:rFonts w:ascii="Times New Roman" w:hAnsi="Times New Roman" w:eastAsia="仿宋" w:cs="Times New Roman"/>
          <w:sz w:val="32"/>
          <w:szCs w:val="32"/>
        </w:rPr>
        <w:t>基金预算财政拨款支出80.58万元，同比上年增加70.59万。总财政拨款收入</w:t>
      </w:r>
      <w:r>
        <w:rPr>
          <w:rFonts w:ascii="Times New Roman" w:hAnsi="Times New Roman" w:eastAsia="仿宋" w:cs="Times New Roman"/>
          <w:color w:val="000000"/>
          <w:sz w:val="32"/>
          <w:szCs w:val="32"/>
        </w:rPr>
        <w:t>与2019年1188.77万元相比，增加113.29万元,增加9.53%，主要是因为：增加</w:t>
      </w:r>
      <w:r>
        <w:rPr>
          <w:rFonts w:ascii="Times New Roman" w:hAnsi="Times New Roman" w:eastAsia="仿宋" w:cs="Times New Roman"/>
          <w:sz w:val="32"/>
          <w:szCs w:val="32"/>
        </w:rPr>
        <w:t>政府性基金预算用于抗疫特别国债安排支出</w:t>
      </w:r>
      <w:r>
        <w:rPr>
          <w:rFonts w:ascii="Times New Roman" w:hAnsi="Times New Roman" w:eastAsia="仿宋" w:cs="Times New Roman"/>
          <w:color w:val="000000"/>
          <w:sz w:val="32"/>
          <w:szCs w:val="32"/>
        </w:rPr>
        <w:t>。</w:t>
      </w:r>
    </w:p>
    <w:p>
      <w:pPr>
        <w:pStyle w:val="11"/>
        <w:spacing w:beforeLines="50" w:afterLines="50"/>
        <w:rPr>
          <w:rFonts w:hAnsi="黑体"/>
          <w:b/>
          <w:sz w:val="32"/>
          <w:szCs w:val="32"/>
        </w:rPr>
      </w:pPr>
      <w:r>
        <w:rPr>
          <w:rFonts w:hint="eastAsia" w:hAnsi="黑体"/>
          <w:b/>
          <w:sz w:val="32"/>
          <w:szCs w:val="32"/>
        </w:rPr>
        <w:t>五、一般公共预算财政拨款支出决算情况说明</w:t>
      </w:r>
    </w:p>
    <w:p>
      <w:pPr>
        <w:pStyle w:val="11"/>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（一）一般公共预算财政拨款支出决算总体情况</w:t>
      </w:r>
    </w:p>
    <w:p>
      <w:pPr>
        <w:pStyle w:val="6"/>
        <w:shd w:val="clear" w:color="auto" w:fill="FFFFFF"/>
        <w:spacing w:before="0" w:beforeAutospacing="0" w:after="0" w:afterAutospacing="0" w:line="640" w:lineRule="exact"/>
        <w:ind w:firstLine="640" w:firstLineChars="200"/>
        <w:rPr>
          <w:rFonts w:ascii="Times New Roman" w:hAnsi="Times New Roman" w:eastAsia="仿宋" w:cs="Times New Roman"/>
          <w:color w:val="000000"/>
          <w:sz w:val="32"/>
          <w:szCs w:val="32"/>
        </w:rPr>
      </w:pPr>
      <w:r>
        <w:rPr>
          <w:rFonts w:ascii="Times New Roman" w:hAnsi="Times New Roman" w:eastAsia="仿宋" w:cs="Times New Roman"/>
          <w:color w:val="000000"/>
          <w:sz w:val="32"/>
          <w:szCs w:val="32"/>
        </w:rPr>
        <w:t>2020年度</w:t>
      </w:r>
      <w:r>
        <w:rPr>
          <w:rFonts w:ascii="Times New Roman" w:hAnsi="Times New Roman" w:eastAsia="仿宋" w:cs="Times New Roman"/>
          <w:bCs/>
          <w:sz w:val="32"/>
          <w:szCs w:val="32"/>
        </w:rPr>
        <w:t>一般公共预算</w:t>
      </w:r>
      <w:r>
        <w:rPr>
          <w:rFonts w:ascii="Times New Roman" w:hAnsi="Times New Roman" w:eastAsia="仿宋" w:cs="Times New Roman"/>
          <w:bCs/>
          <w:color w:val="000000"/>
          <w:sz w:val="32"/>
          <w:szCs w:val="32"/>
        </w:rPr>
        <w:t>财政拨款支出1221.48万元，占本年财政拨款支出合计的93.8%，与2019年相比，</w:t>
      </w:r>
      <w:r>
        <w:rPr>
          <w:rFonts w:ascii="Times New Roman" w:hAnsi="Times New Roman" w:eastAsia="仿宋" w:cs="Times New Roman"/>
          <w:bCs/>
          <w:sz w:val="32"/>
          <w:szCs w:val="32"/>
        </w:rPr>
        <w:t>一般公共预算</w:t>
      </w:r>
      <w:r>
        <w:rPr>
          <w:rFonts w:ascii="Times New Roman" w:hAnsi="Times New Roman" w:eastAsia="仿宋" w:cs="Times New Roman"/>
          <w:bCs/>
          <w:color w:val="000000"/>
          <w:sz w:val="32"/>
          <w:szCs w:val="32"/>
        </w:rPr>
        <w:t>财</w:t>
      </w:r>
      <w:r>
        <w:rPr>
          <w:rFonts w:ascii="Times New Roman" w:hAnsi="Times New Roman" w:eastAsia="仿宋" w:cs="Times New Roman"/>
          <w:color w:val="000000"/>
          <w:sz w:val="32"/>
          <w:szCs w:val="32"/>
        </w:rPr>
        <w:t>政拨款支出增加42.69万元，增加3.62%，主要原因是乡村振兴及人居环境整治项目支出增加，人员结构变动导致单位经费增加。</w:t>
      </w:r>
    </w:p>
    <w:p>
      <w:pPr>
        <w:pStyle w:val="11"/>
        <w:spacing w:beforeLines="50" w:afterLines="5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（二）一般公共预算财政拨款支出决算结构情况</w:t>
      </w:r>
    </w:p>
    <w:p>
      <w:pPr>
        <w:pStyle w:val="11"/>
        <w:spacing w:line="64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2020年度一般公共预算财政拨款支出</w:t>
      </w:r>
      <w:r>
        <w:rPr>
          <w:rFonts w:hint="eastAsia" w:ascii="Times New Roman" w:hAnsi="Times New Roman" w:eastAsia="仿宋" w:cs="Times New Roman"/>
          <w:sz w:val="32"/>
          <w:szCs w:val="32"/>
        </w:rPr>
        <w:t>1221.48</w:t>
      </w:r>
      <w:r>
        <w:rPr>
          <w:rFonts w:ascii="Times New Roman" w:hAnsi="Times New Roman" w:eastAsia="仿宋" w:cs="Times New Roman"/>
          <w:sz w:val="32"/>
          <w:szCs w:val="32"/>
        </w:rPr>
        <w:t>万元，主要用于以下方面：一般公共服务（类）支出555.48万元，占45.48%；社会保障和就业（类）支出67.38万元，占5.52%；卫生健康（类）支出13.55万元，占1.1%；城乡社区支出60万元，占4.9%；农林水（类）支出516.8万元，占42.31%；住房保障（类）支出8.27万元，占0.68%。</w:t>
      </w:r>
    </w:p>
    <w:p>
      <w:pPr>
        <w:pStyle w:val="11"/>
        <w:spacing w:beforeLines="68" w:afterLines="50"/>
        <w:ind w:firstLine="320" w:firstLineChars="100"/>
        <w:rPr>
          <w:rFonts w:asciiTheme="minorEastAsia" w:hAnsiTheme="minorEastAsia" w:eastAsiaTheme="minorEastAsia"/>
          <w:b/>
          <w:sz w:val="32"/>
          <w:szCs w:val="32"/>
        </w:rPr>
      </w:pPr>
      <w:r>
        <w:rPr>
          <w:rFonts w:hint="eastAsia" w:asciiTheme="minorEastAsia" w:hAnsiTheme="minorEastAsia" w:eastAsiaTheme="minorEastAsia"/>
          <w:b/>
          <w:sz w:val="32"/>
          <w:szCs w:val="32"/>
        </w:rPr>
        <w:t>（三）一般公共预算财政拨款支出决算具体情况</w:t>
      </w:r>
    </w:p>
    <w:p>
      <w:pPr>
        <w:pStyle w:val="11"/>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2020年度一般公共预算财政拨款支出年初预算数为784.29万元，支出决算数为1221.48万元，完成年初预算的156%，其中：</w:t>
      </w:r>
    </w:p>
    <w:p>
      <w:pPr>
        <w:pStyle w:val="11"/>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1.一般公共服务</w:t>
      </w:r>
    </w:p>
    <w:p>
      <w:pPr>
        <w:pStyle w:val="11"/>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年初预算为271.51万元，支出决算为</w:t>
      </w:r>
      <w:r>
        <w:rPr>
          <w:rFonts w:ascii="Times New Roman" w:hAnsi="Times New Roman" w:eastAsia="仿宋" w:cs="Times New Roman"/>
          <w:color w:val="auto"/>
          <w:sz w:val="32"/>
          <w:szCs w:val="32"/>
        </w:rPr>
        <w:t>555.48</w:t>
      </w:r>
      <w:r>
        <w:rPr>
          <w:rFonts w:ascii="Times New Roman" w:hAnsi="Times New Roman" w:eastAsia="仿宋" w:cs="Times New Roman"/>
          <w:sz w:val="32"/>
          <w:szCs w:val="32"/>
        </w:rPr>
        <w:t>万元，完成年初预算的205%，决算数大于年初预算数的主要原因是：人员异动及政策性调整。同比上年支出减少79.55万元，下降12.53%，主要原因是人员异动。</w:t>
      </w:r>
    </w:p>
    <w:p>
      <w:pPr>
        <w:pStyle w:val="11"/>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2.社会保障和就业支出</w:t>
      </w:r>
    </w:p>
    <w:p>
      <w:pPr>
        <w:pStyle w:val="11"/>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年初预算为54.54万元，支出决算为67.38万元，完成年初预算的123%，决算数大于年初预算数的主要原因是：人员增加、补缴社保费用。同比上年支出增加26.63万元，上升65.35%。</w:t>
      </w:r>
    </w:p>
    <w:p>
      <w:pPr>
        <w:pStyle w:val="11"/>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3.卫生健康支出</w:t>
      </w:r>
    </w:p>
    <w:p>
      <w:pPr>
        <w:pStyle w:val="11"/>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年初预算为8.87万元，支出决算为13.55万元，完成年初预算的152%，决算数大于年初预算数的主要原因是：增加了用于防疫、基层卫生健康方面的投入。同比上年支出减少3.59万元，下降了20.95%.</w:t>
      </w:r>
    </w:p>
    <w:p>
      <w:pPr>
        <w:pStyle w:val="11"/>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4.农林水支出</w:t>
      </w:r>
    </w:p>
    <w:p>
      <w:pPr>
        <w:pStyle w:val="11"/>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年初预算为441.5万元，支出决算为516.8万元，完成年初预算的117%，决算数大于年初预算数的主要原因是：追加村级集体经济引导项目经费及基础设施建设投入。同比上年支出增加了49.93万元，上升了10.96%。</w:t>
      </w:r>
    </w:p>
    <w:p>
      <w:pPr>
        <w:pStyle w:val="11"/>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7.城乡社区支出</w:t>
      </w:r>
    </w:p>
    <w:p>
      <w:pPr>
        <w:pStyle w:val="11"/>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年初预算为0万元，支出决算为60万元，决算数大于年初预算数的主要原因是：城乡卫生、社区经费支出。</w:t>
      </w:r>
    </w:p>
    <w:p>
      <w:pPr>
        <w:pStyle w:val="11"/>
        <w:numPr>
          <w:ilvl w:val="0"/>
          <w:numId w:val="3"/>
        </w:num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住房保障类支出</w:t>
      </w:r>
    </w:p>
    <w:p>
      <w:pPr>
        <w:pStyle w:val="11"/>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年初预算为7.87万元，支出决算为8.27万元，完成年预算的105%。决算数大于年初预算数的主要原因是：人员异动及有关调整。同比上年</w:t>
      </w:r>
      <w:r>
        <w:rPr>
          <w:rFonts w:hint="eastAsia" w:ascii="Times New Roman" w:hAnsi="Times New Roman" w:eastAsia="仿宋" w:cs="Times New Roman"/>
          <w:sz w:val="32"/>
          <w:szCs w:val="32"/>
        </w:rPr>
        <w:t>支出减</w:t>
      </w:r>
      <w:r>
        <w:rPr>
          <w:rFonts w:ascii="Times New Roman" w:hAnsi="Times New Roman" w:eastAsia="仿宋" w:cs="Times New Roman"/>
          <w:sz w:val="32"/>
          <w:szCs w:val="32"/>
        </w:rPr>
        <w:t>少了00.73万元，下降0.811%。</w:t>
      </w:r>
    </w:p>
    <w:p>
      <w:pPr>
        <w:pStyle w:val="11"/>
        <w:spacing w:line="600" w:lineRule="exact"/>
        <w:rPr>
          <w:rFonts w:ascii="Times New Roman" w:hAnsi="Times New Roman" w:eastAsia="仿宋" w:cs="Times New Roman"/>
          <w:sz w:val="32"/>
          <w:szCs w:val="32"/>
        </w:rPr>
      </w:pPr>
      <w:r>
        <w:rPr>
          <w:rFonts w:hint="eastAsia" w:hAnsi="黑体"/>
          <w:b/>
          <w:sz w:val="32"/>
          <w:szCs w:val="32"/>
        </w:rPr>
        <w:t>六、一般公共预算财政拨款基本支出决算情况说明</w:t>
      </w:r>
    </w:p>
    <w:p>
      <w:pPr>
        <w:pStyle w:val="11"/>
        <w:spacing w:line="64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2020年度财政拨款基本支出600.81万元，</w:t>
      </w:r>
      <w:r>
        <w:rPr>
          <w:rFonts w:hint="eastAsia" w:ascii="Times New Roman" w:hAnsi="Times New Roman" w:eastAsia="仿宋" w:cs="Times New Roman"/>
          <w:sz w:val="32"/>
          <w:szCs w:val="32"/>
        </w:rPr>
        <w:t>同比去年支出减少80.11万元，下降11.76%。</w:t>
      </w:r>
      <w:r>
        <w:rPr>
          <w:rFonts w:ascii="Times New Roman" w:hAnsi="Times New Roman" w:eastAsia="仿宋" w:cs="Times New Roman"/>
          <w:sz w:val="32"/>
          <w:szCs w:val="32"/>
        </w:rPr>
        <w:t>其中：人员经费376.13万元，占基本支出的62.6%,主要包括基本工资、津贴补贴、奖金、绩效工资、机关事业单位基本养老保险缴费、职业年金缴费、职工基本医疗保险缴费、公务员医疗补助缴费、其他社会保障缴费、住房公积金、医疗费、其他工资福利支出、抚恤金、生活补助、其他对个人家庭补助支出；公用经费224.68万元，占基本支出的37.4%，主要包括办公费、水费、电费、邮电费、差旅费、维修（护）费、会议费、培训费、公务接待费、劳务费、工会经费、公务用车运行维护费、其他交通费用、其他商品和服务支出。</w:t>
      </w:r>
    </w:p>
    <w:p>
      <w:pPr>
        <w:pStyle w:val="11"/>
        <w:spacing w:beforeLines="50" w:afterLines="34"/>
        <w:rPr>
          <w:rFonts w:hAnsi="黑体"/>
          <w:b/>
          <w:sz w:val="32"/>
          <w:szCs w:val="32"/>
        </w:rPr>
      </w:pPr>
      <w:r>
        <w:rPr>
          <w:rFonts w:hint="eastAsia" w:hAnsi="黑体"/>
          <w:b/>
          <w:sz w:val="32"/>
          <w:szCs w:val="32"/>
        </w:rPr>
        <w:t>七、一般公共预算财政拨款三公经费支出决算情况说明</w:t>
      </w:r>
    </w:p>
    <w:p>
      <w:pPr>
        <w:pStyle w:val="11"/>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1"/>
        <w:spacing w:line="64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“三公”经费年初预算</w:t>
      </w:r>
      <w:r>
        <w:rPr>
          <w:rFonts w:hint="eastAsia" w:ascii="Times New Roman" w:hAnsi="Times New Roman" w:eastAsia="仿宋" w:cs="Times New Roman"/>
          <w:sz w:val="32"/>
          <w:szCs w:val="32"/>
        </w:rPr>
        <w:t>25</w:t>
      </w:r>
      <w:r>
        <w:rPr>
          <w:rFonts w:ascii="Times New Roman" w:hAnsi="Times New Roman" w:eastAsia="仿宋" w:cs="Times New Roman"/>
          <w:sz w:val="32"/>
          <w:szCs w:val="32"/>
        </w:rPr>
        <w:t>万元，上年决算数27.46万元，本年决算数21万元比上年决算数27.46万元减少23.53%。</w:t>
      </w:r>
    </w:p>
    <w:p>
      <w:pPr>
        <w:pStyle w:val="11"/>
        <w:spacing w:line="64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因公出国（境）费支出预算为0万元，支出决算为0万元，完成预算的0%，决算数与年初预算数持平。与上年一致。</w:t>
      </w:r>
    </w:p>
    <w:p>
      <w:pPr>
        <w:pStyle w:val="11"/>
        <w:spacing w:line="64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公务接待费用本年预算数为</w:t>
      </w:r>
      <w:r>
        <w:rPr>
          <w:rFonts w:hint="eastAsia" w:ascii="Times New Roman" w:hAnsi="Times New Roman" w:eastAsia="仿宋" w:cs="Times New Roman"/>
          <w:sz w:val="32"/>
          <w:szCs w:val="32"/>
        </w:rPr>
        <w:t>15万元，</w:t>
      </w:r>
      <w:r>
        <w:rPr>
          <w:rFonts w:ascii="Times New Roman" w:hAnsi="Times New Roman" w:eastAsia="仿宋" w:cs="Times New Roman"/>
          <w:sz w:val="32"/>
          <w:szCs w:val="32"/>
        </w:rPr>
        <w:t>决算数1</w:t>
      </w:r>
      <w:r>
        <w:rPr>
          <w:rFonts w:hint="eastAsia" w:ascii="Times New Roman" w:hAnsi="Times New Roman" w:eastAsia="仿宋" w:cs="Times New Roman"/>
          <w:sz w:val="32"/>
          <w:szCs w:val="32"/>
        </w:rPr>
        <w:t>2</w:t>
      </w:r>
      <w:r>
        <w:rPr>
          <w:rFonts w:ascii="Times New Roman" w:hAnsi="Times New Roman" w:eastAsia="仿宋" w:cs="Times New Roman"/>
          <w:sz w:val="32"/>
          <w:szCs w:val="32"/>
        </w:rPr>
        <w:t>万元，</w:t>
      </w:r>
      <w:r>
        <w:rPr>
          <w:rFonts w:hint="eastAsia" w:ascii="Times New Roman" w:hAnsi="Times New Roman" w:eastAsia="仿宋" w:cs="Times New Roman"/>
          <w:sz w:val="32"/>
          <w:szCs w:val="32"/>
        </w:rPr>
        <w:t>决算数</w:t>
      </w:r>
      <w:r>
        <w:rPr>
          <w:rFonts w:ascii="Times New Roman" w:hAnsi="Times New Roman" w:eastAsia="仿宋" w:cs="Times New Roman"/>
          <w:sz w:val="32"/>
          <w:szCs w:val="32"/>
        </w:rPr>
        <w:t>小于预算数</w:t>
      </w:r>
      <w:r>
        <w:rPr>
          <w:rFonts w:hint="eastAsia" w:ascii="Times New Roman" w:hAnsi="Times New Roman" w:eastAsia="仿宋" w:cs="Times New Roman"/>
          <w:sz w:val="32"/>
          <w:szCs w:val="32"/>
        </w:rPr>
        <w:t>，</w:t>
      </w:r>
      <w:r>
        <w:rPr>
          <w:rFonts w:ascii="Times New Roman" w:hAnsi="Times New Roman" w:eastAsia="仿宋" w:cs="Times New Roman"/>
          <w:sz w:val="32"/>
          <w:szCs w:val="32"/>
        </w:rPr>
        <w:t>是公务接待次数比往年</w:t>
      </w:r>
      <w:r>
        <w:rPr>
          <w:rFonts w:hint="eastAsia" w:ascii="Times New Roman" w:hAnsi="Times New Roman" w:eastAsia="仿宋" w:cs="Times New Roman"/>
          <w:sz w:val="32"/>
          <w:szCs w:val="32"/>
        </w:rPr>
        <w:t>减少</w:t>
      </w:r>
      <w:r>
        <w:rPr>
          <w:rFonts w:ascii="Times New Roman" w:hAnsi="Times New Roman" w:eastAsia="仿宋" w:cs="Times New Roman"/>
          <w:sz w:val="32"/>
          <w:szCs w:val="32"/>
        </w:rPr>
        <w:t>。</w:t>
      </w:r>
    </w:p>
    <w:p>
      <w:pPr>
        <w:pStyle w:val="11"/>
        <w:spacing w:line="64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公务用车购置费和运行维护费预算数为</w:t>
      </w:r>
      <w:r>
        <w:rPr>
          <w:rFonts w:hint="eastAsia" w:ascii="Times New Roman" w:hAnsi="Times New Roman" w:eastAsia="仿宋" w:cs="Times New Roman"/>
          <w:sz w:val="32"/>
          <w:szCs w:val="32"/>
        </w:rPr>
        <w:t>10万元，</w:t>
      </w:r>
      <w:r>
        <w:rPr>
          <w:rFonts w:ascii="Times New Roman" w:hAnsi="Times New Roman" w:eastAsia="仿宋" w:cs="Times New Roman"/>
          <w:sz w:val="32"/>
          <w:szCs w:val="32"/>
        </w:rPr>
        <w:t>决算数为</w:t>
      </w:r>
      <w:r>
        <w:rPr>
          <w:rFonts w:hint="eastAsia" w:ascii="Times New Roman" w:hAnsi="Times New Roman" w:eastAsia="仿宋" w:cs="Times New Roman"/>
          <w:sz w:val="32"/>
          <w:szCs w:val="32"/>
        </w:rPr>
        <w:t>9万元，</w:t>
      </w:r>
      <w:r>
        <w:rPr>
          <w:rFonts w:ascii="Times New Roman" w:hAnsi="Times New Roman" w:eastAsia="仿宋" w:cs="Times New Roman"/>
          <w:sz w:val="32"/>
          <w:szCs w:val="32"/>
        </w:rPr>
        <w:t>比上年决算数12万元减少</w:t>
      </w:r>
      <w:r>
        <w:rPr>
          <w:rFonts w:hint="eastAsia" w:ascii="Times New Roman" w:hAnsi="Times New Roman" w:eastAsia="仿宋" w:cs="Times New Roman"/>
          <w:sz w:val="32"/>
          <w:szCs w:val="32"/>
        </w:rPr>
        <w:t>3</w:t>
      </w:r>
      <w:r>
        <w:rPr>
          <w:rFonts w:ascii="Times New Roman" w:hAnsi="Times New Roman" w:eastAsia="仿宋" w:cs="Times New Roman"/>
          <w:sz w:val="32"/>
          <w:szCs w:val="32"/>
        </w:rPr>
        <w:t>万元，本项支出减少16%。主要原因是本年没有新增购置车辆</w:t>
      </w:r>
      <w:r>
        <w:rPr>
          <w:rFonts w:hint="eastAsia" w:ascii="Times New Roman" w:hAnsi="Times New Roman" w:eastAsia="仿宋" w:cs="Times New Roman"/>
          <w:sz w:val="32"/>
          <w:szCs w:val="32"/>
        </w:rPr>
        <w:t>，</w:t>
      </w:r>
      <w:r>
        <w:rPr>
          <w:rFonts w:ascii="Times New Roman" w:hAnsi="Times New Roman" w:eastAsia="仿宋" w:cs="Times New Roman"/>
          <w:sz w:val="32"/>
          <w:szCs w:val="32"/>
        </w:rPr>
        <w:t>严格控制公务用车出行成本</w:t>
      </w:r>
      <w:r>
        <w:rPr>
          <w:rFonts w:hint="eastAsia" w:ascii="Times New Roman" w:hAnsi="Times New Roman" w:eastAsia="仿宋" w:cs="Times New Roman"/>
          <w:sz w:val="32"/>
          <w:szCs w:val="32"/>
        </w:rPr>
        <w:t>。</w:t>
      </w:r>
    </w:p>
    <w:p>
      <w:pPr>
        <w:pStyle w:val="11"/>
        <w:numPr>
          <w:ilvl w:val="0"/>
          <w:numId w:val="4"/>
        </w:numPr>
        <w:spacing w:beforeLines="100"/>
        <w:rPr>
          <w:rFonts w:asciiTheme="minorEastAsia" w:hAnsiTheme="minorEastAsia" w:eastAsiaTheme="minorEastAsia"/>
          <w:b/>
          <w:sz w:val="32"/>
          <w:szCs w:val="32"/>
        </w:rPr>
      </w:pPr>
      <w:r>
        <w:rPr>
          <w:rFonts w:hint="eastAsia" w:asciiTheme="minorEastAsia" w:hAnsiTheme="minorEastAsia" w:eastAsiaTheme="minorEastAsia"/>
          <w:b/>
          <w:sz w:val="32"/>
          <w:szCs w:val="32"/>
        </w:rPr>
        <w:t>“三公”经费财政拨款支出决算具体情况说明</w:t>
      </w:r>
    </w:p>
    <w:p>
      <w:pPr>
        <w:pStyle w:val="11"/>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2020年度“三公”经费财政拨款支出决算中，公务接待费支出决算1</w:t>
      </w:r>
      <w:r>
        <w:rPr>
          <w:rFonts w:hint="eastAsia" w:ascii="Times New Roman" w:hAnsi="Times New Roman" w:eastAsia="仿宋" w:cs="Times New Roman"/>
          <w:sz w:val="32"/>
          <w:szCs w:val="32"/>
        </w:rPr>
        <w:t>2</w:t>
      </w:r>
      <w:r>
        <w:rPr>
          <w:rFonts w:ascii="Times New Roman" w:hAnsi="Times New Roman" w:eastAsia="仿宋" w:cs="Times New Roman"/>
          <w:sz w:val="32"/>
          <w:szCs w:val="32"/>
        </w:rPr>
        <w:t>万元，占</w:t>
      </w:r>
      <w:r>
        <w:rPr>
          <w:rFonts w:hint="eastAsia" w:ascii="Times New Roman" w:hAnsi="Times New Roman" w:eastAsia="仿宋" w:cs="Times New Roman"/>
          <w:sz w:val="32"/>
          <w:szCs w:val="32"/>
        </w:rPr>
        <w:t>7.14</w:t>
      </w:r>
      <w:r>
        <w:rPr>
          <w:rFonts w:ascii="Times New Roman" w:hAnsi="Times New Roman" w:eastAsia="仿宋" w:cs="Times New Roman"/>
          <w:sz w:val="32"/>
          <w:szCs w:val="32"/>
        </w:rPr>
        <w:t>%,因公出国（境）费支出决算0万元，占0%,公务用车购置费及运行维护费支出决算9万元，占4</w:t>
      </w:r>
      <w:r>
        <w:rPr>
          <w:rFonts w:hint="eastAsia" w:ascii="Times New Roman" w:hAnsi="Times New Roman" w:eastAsia="仿宋" w:cs="Times New Roman"/>
          <w:sz w:val="32"/>
          <w:szCs w:val="32"/>
        </w:rPr>
        <w:t>2.86</w:t>
      </w:r>
      <w:r>
        <w:rPr>
          <w:rFonts w:ascii="Times New Roman" w:hAnsi="Times New Roman" w:eastAsia="仿宋" w:cs="Times New Roman"/>
          <w:sz w:val="32"/>
          <w:szCs w:val="32"/>
        </w:rPr>
        <w:t>%。其中：</w:t>
      </w:r>
    </w:p>
    <w:p>
      <w:pPr>
        <w:pStyle w:val="11"/>
        <w:spacing w:line="600" w:lineRule="exact"/>
        <w:ind w:firstLine="640" w:firstLineChars="200"/>
        <w:rPr>
          <w:rFonts w:ascii="Times New Roman" w:hAnsi="Times New Roman" w:eastAsia="仿宋" w:cs="Times New Roman"/>
          <w:b/>
          <w:sz w:val="32"/>
          <w:szCs w:val="32"/>
        </w:rPr>
      </w:pPr>
      <w:r>
        <w:rPr>
          <w:rFonts w:ascii="Times New Roman" w:hAnsi="Times New Roman" w:eastAsia="仿宋" w:cs="Times New Roman"/>
          <w:sz w:val="32"/>
          <w:szCs w:val="32"/>
        </w:rPr>
        <w:t>1、因公出国（境）费支出决算为0万元，全年安排因公出国（境）团组0个，累计0人次。</w:t>
      </w:r>
    </w:p>
    <w:p>
      <w:pPr>
        <w:pStyle w:val="11"/>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2、公务接待费支出决算为1</w:t>
      </w:r>
      <w:r>
        <w:rPr>
          <w:rFonts w:hint="eastAsia" w:ascii="Times New Roman" w:hAnsi="Times New Roman" w:eastAsia="仿宋" w:cs="Times New Roman"/>
          <w:sz w:val="32"/>
          <w:szCs w:val="32"/>
        </w:rPr>
        <w:t>2</w:t>
      </w:r>
      <w:r>
        <w:rPr>
          <w:rFonts w:ascii="Times New Roman" w:hAnsi="Times New Roman" w:eastAsia="仿宋" w:cs="Times New Roman"/>
          <w:sz w:val="32"/>
          <w:szCs w:val="32"/>
        </w:rPr>
        <w:t>万元，本年共接待678批次，共接待2415人次，均为国内公务接待。</w:t>
      </w:r>
    </w:p>
    <w:p>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3、公务用车购置费及运行维护费支出决算为9万元，其中：公务用车购置费0万元</w:t>
      </w:r>
      <w:r>
        <w:rPr>
          <w:rFonts w:ascii="Times New Roman" w:hAnsi="Times New Roman" w:eastAsia="仿宋" w:cs="Times New Roman"/>
          <w:color w:val="000000" w:themeColor="text1"/>
          <w:sz w:val="32"/>
          <w:szCs w:val="32"/>
        </w:rPr>
        <w:t>。</w:t>
      </w:r>
      <w:r>
        <w:rPr>
          <w:rFonts w:ascii="Times New Roman" w:hAnsi="Times New Roman" w:eastAsia="仿宋" w:cs="Times New Roman"/>
          <w:sz w:val="32"/>
          <w:szCs w:val="32"/>
        </w:rPr>
        <w:t>公务用车运行维护费9万元，主要是公务车用油、保养、维修支出，截止2020年12月31日，我单位开支财政拨款的公务用车保有量为1辆。</w:t>
      </w:r>
    </w:p>
    <w:p>
      <w:pPr>
        <w:pStyle w:val="11"/>
        <w:rPr>
          <w:rFonts w:hAnsi="黑体"/>
          <w:b/>
          <w:sz w:val="32"/>
          <w:szCs w:val="32"/>
        </w:rPr>
      </w:pPr>
      <w:r>
        <w:rPr>
          <w:rFonts w:hint="eastAsia" w:hAnsi="黑体"/>
          <w:b/>
          <w:sz w:val="32"/>
          <w:szCs w:val="32"/>
        </w:rPr>
        <w:t>九、国有资本经营预算财政拨款支出决算情况</w:t>
      </w:r>
    </w:p>
    <w:p>
      <w:pPr>
        <w:pStyle w:val="11"/>
        <w:ind w:firstLine="640" w:firstLineChars="200"/>
        <w:rPr>
          <w:rFonts w:ascii="Times New Roman" w:hAnsi="Times New Roman" w:eastAsia="仿宋" w:cs="Times New Roman"/>
          <w:color w:val="auto"/>
          <w:kern w:val="2"/>
          <w:sz w:val="32"/>
          <w:szCs w:val="32"/>
        </w:rPr>
      </w:pPr>
      <w:r>
        <w:rPr>
          <w:rFonts w:hint="eastAsia" w:ascii="Times New Roman" w:hAnsi="Times New Roman" w:eastAsia="仿宋" w:cs="Times New Roman"/>
          <w:color w:val="auto"/>
          <w:kern w:val="2"/>
          <w:sz w:val="32"/>
          <w:szCs w:val="32"/>
        </w:rPr>
        <w:t>本单位2020年没有国有资本经营预算财政拨款支出。</w:t>
      </w:r>
    </w:p>
    <w:p>
      <w:pPr>
        <w:pStyle w:val="11"/>
        <w:spacing w:beforeLines="50" w:afterLines="68"/>
        <w:rPr>
          <w:rFonts w:hAnsi="黑体"/>
          <w:b/>
          <w:sz w:val="32"/>
          <w:szCs w:val="32"/>
        </w:rPr>
      </w:pPr>
      <w:r>
        <w:rPr>
          <w:rFonts w:hint="eastAsia" w:hAnsi="黑体"/>
          <w:b/>
          <w:sz w:val="32"/>
          <w:szCs w:val="32"/>
        </w:rPr>
        <w:t>十、政府性基金预算收入支出决算情况</w:t>
      </w:r>
    </w:p>
    <w:p>
      <w:pPr>
        <w:pStyle w:val="11"/>
        <w:spacing w:line="640" w:lineRule="exact"/>
        <w:ind w:firstLine="640" w:firstLineChars="200"/>
        <w:rPr>
          <w:rFonts w:ascii="Times New Roman" w:hAnsi="Times New Roman" w:eastAsia="仿宋" w:cs="Times New Roman"/>
          <w:bCs/>
          <w:color w:val="383838"/>
          <w:sz w:val="32"/>
          <w:szCs w:val="32"/>
          <w:shd w:val="clear" w:color="auto" w:fill="FFFFFF"/>
        </w:rPr>
      </w:pPr>
      <w:r>
        <w:rPr>
          <w:rFonts w:ascii="Times New Roman" w:hAnsi="Times New Roman" w:eastAsia="仿宋" w:cs="Times New Roman"/>
          <w:color w:val="auto"/>
          <w:kern w:val="2"/>
          <w:sz w:val="32"/>
          <w:szCs w:val="32"/>
        </w:rPr>
        <w:t>2020年，为进行疫情防控相关工作，本单位收到衡南县财政局预算股拨付中央直达抗疫国债资金80.58万元，</w:t>
      </w:r>
      <w:r>
        <w:rPr>
          <w:rFonts w:ascii="Times New Roman" w:hAnsi="Times New Roman" w:eastAsia="仿宋" w:cs="Times New Roman"/>
          <w:bCs/>
          <w:color w:val="383838"/>
          <w:sz w:val="32"/>
          <w:szCs w:val="32"/>
          <w:shd w:val="clear" w:color="auto" w:fill="FFFFFF"/>
        </w:rPr>
        <w:t>截止2020年11月，我镇该项资金支出共计824198元，其中：支付疫情宣传资料费、打印费22611元；支付防控工作物资费4237元；支付防疫工作租车费1.22万元；支付疫情防控用餐费8.11万元；支付村、社区防控经费36.4万元；付镇中心卫生院及龙鹤卫生院防控经费共34万元。</w:t>
      </w:r>
    </w:p>
    <w:p>
      <w:pPr>
        <w:pStyle w:val="11"/>
        <w:spacing w:beforeLines="50" w:afterLines="50"/>
        <w:rPr>
          <w:rFonts w:hAnsi="黑体"/>
          <w:b/>
          <w:sz w:val="32"/>
          <w:szCs w:val="32"/>
        </w:rPr>
      </w:pPr>
      <w:r>
        <w:rPr>
          <w:rFonts w:hint="eastAsia" w:hAnsi="黑体"/>
          <w:b/>
          <w:sz w:val="32"/>
          <w:szCs w:val="32"/>
        </w:rPr>
        <w:t>十一、机关运行经费支出说明</w:t>
      </w:r>
    </w:p>
    <w:p>
      <w:pPr>
        <w:widowControl/>
        <w:spacing w:line="64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机关运行经费本年支出224.68万元，与上年的249.47万元相比，递减9.14%。主要变动原因是本年度支出口径与上年度有差异，划分了专项业务支出，譬如信访维稳，安全生产，党建专项，扶贫专项，城乡环境同治，本年度全列入项目支出。同时</w:t>
      </w:r>
      <w:r>
        <w:rPr>
          <w:rFonts w:hint="eastAsia" w:ascii="仿宋" w:hAnsi="仿宋" w:eastAsia="仿宋" w:cs="仿宋"/>
          <w:color w:val="000000"/>
          <w:kern w:val="0"/>
          <w:sz w:val="32"/>
          <w:szCs w:val="32"/>
        </w:rPr>
        <w:t>厉行节约，进一步从严控制机关运行经费开支，削减非刚性支出；受疫情影响，出差次数、公用用车使用次数等都有所减少，相关费用支出减少。</w:t>
      </w:r>
    </w:p>
    <w:p>
      <w:pPr>
        <w:pStyle w:val="11"/>
        <w:spacing w:beforeLines="73"/>
        <w:rPr>
          <w:rFonts w:hAnsi="黑体"/>
          <w:b/>
          <w:sz w:val="32"/>
          <w:szCs w:val="32"/>
        </w:rPr>
      </w:pPr>
      <w:r>
        <w:rPr>
          <w:rFonts w:hint="eastAsia" w:hAnsi="黑体"/>
          <w:b/>
          <w:sz w:val="32"/>
          <w:szCs w:val="32"/>
        </w:rPr>
        <w:t>十二、一般性支出情况</w:t>
      </w:r>
    </w:p>
    <w:p>
      <w:pPr>
        <w:pStyle w:val="11"/>
        <w:spacing w:line="640" w:lineRule="exact"/>
        <w:ind w:firstLine="640" w:firstLineChars="200"/>
        <w:rPr>
          <w:rFonts w:ascii="Times New Roman" w:hAnsi="Times New Roman" w:eastAsia="仿宋" w:cs="Times New Roman"/>
          <w:color w:val="auto"/>
          <w:kern w:val="2"/>
          <w:sz w:val="32"/>
          <w:szCs w:val="32"/>
        </w:rPr>
      </w:pPr>
      <w:r>
        <w:rPr>
          <w:rFonts w:ascii="Times New Roman" w:hAnsi="Times New Roman" w:eastAsia="仿宋" w:cs="Times New Roman"/>
          <w:color w:val="auto"/>
          <w:kern w:val="2"/>
          <w:sz w:val="32"/>
          <w:szCs w:val="32"/>
        </w:rPr>
        <w:t>会议费支出情况：2020年会议费完成14.48万元，比上年减少4.47万元，下降44.66%，增减变化的主要原因是：压缩会议支出，合并会议；培训费支出情况：2020年培训费完成800元，比上年减少5240元，降低86.75%，增减变化的主要原因是：受疫情防控影响，减少聚会、培训可以改为线上。</w:t>
      </w:r>
    </w:p>
    <w:p>
      <w:pPr>
        <w:pStyle w:val="11"/>
        <w:spacing w:beforeLines="50"/>
        <w:rPr>
          <w:rFonts w:hAnsi="黑体"/>
          <w:b/>
          <w:sz w:val="32"/>
          <w:szCs w:val="32"/>
        </w:rPr>
      </w:pPr>
      <w:r>
        <w:rPr>
          <w:rFonts w:hint="eastAsia" w:hAnsi="黑体"/>
          <w:b/>
          <w:sz w:val="32"/>
          <w:szCs w:val="32"/>
        </w:rPr>
        <w:t>十三、关于政府采购支出说明</w:t>
      </w:r>
    </w:p>
    <w:p>
      <w:pPr>
        <w:pStyle w:val="11"/>
        <w:spacing w:line="640" w:lineRule="exact"/>
        <w:ind w:firstLine="640" w:firstLineChars="200"/>
        <w:rPr>
          <w:rFonts w:ascii="Times New Roman" w:hAnsi="Times New Roman" w:eastAsia="仿宋" w:cs="Times New Roman"/>
          <w:b/>
          <w:sz w:val="32"/>
          <w:szCs w:val="32"/>
        </w:rPr>
      </w:pPr>
      <w:r>
        <w:rPr>
          <w:rFonts w:ascii="Times New Roman" w:hAnsi="Times New Roman" w:eastAsia="仿宋" w:cs="Times New Roman"/>
          <w:color w:val="auto"/>
          <w:kern w:val="2"/>
          <w:sz w:val="32"/>
          <w:szCs w:val="32"/>
        </w:rPr>
        <w:t>本年度本单位政府采购支出</w:t>
      </w:r>
      <w:r>
        <w:rPr>
          <w:rFonts w:hint="eastAsia" w:ascii="Times New Roman" w:hAnsi="Times New Roman" w:eastAsia="仿宋" w:cs="Times New Roman"/>
          <w:color w:val="auto"/>
          <w:kern w:val="2"/>
          <w:sz w:val="32"/>
          <w:szCs w:val="32"/>
        </w:rPr>
        <w:t>31</w:t>
      </w:r>
      <w:r>
        <w:rPr>
          <w:rFonts w:ascii="Times New Roman" w:hAnsi="Times New Roman" w:eastAsia="仿宋" w:cs="Times New Roman"/>
          <w:color w:val="auto"/>
          <w:kern w:val="2"/>
          <w:sz w:val="32"/>
          <w:szCs w:val="32"/>
        </w:rPr>
        <w:t>.33万元，均为财政拨款支出。其中货物采购支出16.84万元，占比</w:t>
      </w:r>
      <w:r>
        <w:rPr>
          <w:rFonts w:hint="eastAsia" w:ascii="Times New Roman" w:hAnsi="Times New Roman" w:eastAsia="仿宋" w:cs="Times New Roman"/>
          <w:color w:val="auto"/>
          <w:kern w:val="2"/>
          <w:sz w:val="32"/>
          <w:szCs w:val="32"/>
        </w:rPr>
        <w:t>53.75</w:t>
      </w:r>
      <w:r>
        <w:rPr>
          <w:rFonts w:ascii="Times New Roman" w:hAnsi="Times New Roman" w:eastAsia="仿宋" w:cs="Times New Roman"/>
          <w:color w:val="auto"/>
          <w:kern w:val="2"/>
          <w:sz w:val="32"/>
          <w:szCs w:val="32"/>
        </w:rPr>
        <w:t>%；包括办公桌椅，办公用电脑，打印机等。服务采购支出</w:t>
      </w:r>
      <w:r>
        <w:rPr>
          <w:rFonts w:hint="eastAsia" w:ascii="Times New Roman" w:hAnsi="Times New Roman" w:eastAsia="仿宋" w:cs="Times New Roman"/>
          <w:color w:val="auto"/>
          <w:kern w:val="2"/>
          <w:sz w:val="32"/>
          <w:szCs w:val="32"/>
        </w:rPr>
        <w:t>：</w:t>
      </w:r>
      <w:r>
        <w:rPr>
          <w:rFonts w:ascii="Times New Roman" w:hAnsi="Times New Roman" w:eastAsia="仿宋" w:cs="Times New Roman"/>
          <w:color w:val="auto"/>
          <w:kern w:val="2"/>
          <w:sz w:val="32"/>
          <w:szCs w:val="32"/>
        </w:rPr>
        <w:t>广告宣传服务费</w:t>
      </w:r>
      <w:r>
        <w:rPr>
          <w:rFonts w:hint="eastAsia" w:ascii="Times New Roman" w:hAnsi="Times New Roman" w:eastAsia="仿宋" w:cs="Times New Roman"/>
          <w:color w:val="auto"/>
          <w:kern w:val="2"/>
          <w:sz w:val="32"/>
          <w:szCs w:val="32"/>
        </w:rPr>
        <w:t>14</w:t>
      </w:r>
      <w:r>
        <w:rPr>
          <w:rFonts w:ascii="Times New Roman" w:hAnsi="Times New Roman" w:eastAsia="仿宋" w:cs="Times New Roman"/>
          <w:color w:val="auto"/>
          <w:kern w:val="2"/>
          <w:sz w:val="32"/>
          <w:szCs w:val="32"/>
        </w:rPr>
        <w:t>.49万元，占比</w:t>
      </w:r>
      <w:r>
        <w:rPr>
          <w:rFonts w:hint="eastAsia" w:ascii="Times New Roman" w:hAnsi="Times New Roman" w:eastAsia="仿宋" w:cs="Times New Roman"/>
          <w:color w:val="auto"/>
          <w:kern w:val="2"/>
          <w:sz w:val="32"/>
          <w:szCs w:val="32"/>
        </w:rPr>
        <w:t>46.25</w:t>
      </w:r>
      <w:r>
        <w:rPr>
          <w:rFonts w:ascii="Times New Roman" w:hAnsi="Times New Roman" w:eastAsia="仿宋" w:cs="Times New Roman"/>
          <w:color w:val="auto"/>
          <w:kern w:val="2"/>
          <w:sz w:val="32"/>
          <w:szCs w:val="32"/>
        </w:rPr>
        <w:t>%</w:t>
      </w:r>
      <w:r>
        <w:rPr>
          <w:rFonts w:hint="eastAsia" w:ascii="Times New Roman" w:hAnsi="Times New Roman" w:eastAsia="仿宋" w:cs="Times New Roman"/>
          <w:color w:val="auto"/>
          <w:kern w:val="2"/>
          <w:sz w:val="32"/>
          <w:szCs w:val="32"/>
        </w:rPr>
        <w:t>，主要用于交通保畅及各项工作宣传</w:t>
      </w:r>
      <w:r>
        <w:rPr>
          <w:rFonts w:ascii="Times New Roman" w:hAnsi="Times New Roman" w:eastAsia="仿宋" w:cs="Times New Roman"/>
          <w:color w:val="auto"/>
          <w:kern w:val="2"/>
          <w:sz w:val="32"/>
          <w:szCs w:val="32"/>
        </w:rPr>
        <w:t>。</w:t>
      </w:r>
    </w:p>
    <w:p>
      <w:pPr>
        <w:autoSpaceDE w:val="0"/>
        <w:autoSpaceDN w:val="0"/>
        <w:adjustRightInd w:val="0"/>
        <w:spacing w:beforeLines="29" w:afterLines="29" w:line="520" w:lineRule="exact"/>
        <w:jc w:val="left"/>
        <w:rPr>
          <w:rFonts w:ascii="黑体" w:hAnsi="黑体" w:eastAsia="黑体" w:cs="黑体"/>
          <w:b/>
          <w:color w:val="000000"/>
          <w:kern w:val="0"/>
          <w:sz w:val="32"/>
          <w:szCs w:val="32"/>
        </w:rPr>
      </w:pPr>
      <w:r>
        <w:rPr>
          <w:rFonts w:hint="eastAsia" w:ascii="黑体" w:hAnsi="黑体" w:eastAsia="黑体" w:cs="黑体"/>
          <w:b/>
          <w:color w:val="000000"/>
          <w:kern w:val="0"/>
          <w:sz w:val="32"/>
          <w:szCs w:val="32"/>
        </w:rPr>
        <w:t>十三、关于国有资产占用情况说明</w:t>
      </w:r>
    </w:p>
    <w:p>
      <w:pPr>
        <w:pStyle w:val="11"/>
        <w:spacing w:line="640" w:lineRule="exact"/>
        <w:ind w:firstLine="640" w:firstLineChars="200"/>
        <w:rPr>
          <w:rFonts w:asciiTheme="minorEastAsia" w:hAnsiTheme="minorEastAsia" w:eastAsiaTheme="minorEastAsia" w:cstheme="minorBidi"/>
          <w:color w:val="auto"/>
          <w:kern w:val="2"/>
          <w:sz w:val="32"/>
          <w:szCs w:val="32"/>
        </w:rPr>
      </w:pPr>
      <w:r>
        <w:rPr>
          <w:rFonts w:ascii="Times New Roman" w:hAnsi="Times New Roman" w:eastAsia="仿宋" w:cs="Times New Roman"/>
          <w:color w:val="auto"/>
          <w:kern w:val="2"/>
          <w:sz w:val="32"/>
          <w:szCs w:val="32"/>
        </w:rPr>
        <w:t>截至2020年12月31日，本单位共有车辆1辆，其中，其他用车1辆，其他用车主要是干部下村公务用车；单位价值50万元以上通用设备0台（套）；单位价值100万元以上专用设备0台（套）</w:t>
      </w:r>
      <w:r>
        <w:rPr>
          <w:rFonts w:hint="eastAsia" w:asciiTheme="minorEastAsia" w:hAnsiTheme="minorEastAsia" w:eastAsiaTheme="minorEastAsia" w:cstheme="minorBidi"/>
          <w:color w:val="auto"/>
          <w:kern w:val="2"/>
          <w:sz w:val="32"/>
          <w:szCs w:val="32"/>
        </w:rPr>
        <w:t>。</w:t>
      </w:r>
    </w:p>
    <w:p>
      <w:pPr>
        <w:pStyle w:val="11"/>
        <w:spacing w:beforeLines="50" w:afterLines="50"/>
        <w:rPr>
          <w:rFonts w:hAnsi="黑体"/>
          <w:b/>
          <w:sz w:val="32"/>
          <w:szCs w:val="32"/>
        </w:rPr>
      </w:pPr>
      <w:r>
        <w:rPr>
          <w:rFonts w:hint="eastAsia" w:hAnsi="黑体"/>
          <w:b/>
          <w:sz w:val="32"/>
          <w:szCs w:val="32"/>
        </w:rPr>
        <w:t>十四、关于2020年度预算绩效情况说明</w:t>
      </w:r>
    </w:p>
    <w:p>
      <w:pPr>
        <w:widowControl/>
        <w:spacing w:line="640" w:lineRule="exact"/>
        <w:jc w:val="left"/>
        <w:rPr>
          <w:rFonts w:ascii="Times New Roman" w:hAnsi="Times New Roman" w:eastAsia="仿宋" w:cs="Times New Roman"/>
          <w:sz w:val="32"/>
          <w:szCs w:val="32"/>
        </w:rPr>
      </w:pPr>
      <w:r>
        <w:rPr>
          <w:rFonts w:ascii="Times New Roman" w:hAnsi="Times New Roman" w:eastAsia="仿宋" w:cs="Times New Roman"/>
          <w:sz w:val="32"/>
          <w:szCs w:val="32"/>
        </w:rPr>
        <w:t>（一）预算绩效管理工作开展情况</w:t>
      </w:r>
    </w:p>
    <w:p>
      <w:pPr>
        <w:pStyle w:val="11"/>
        <w:spacing w:line="640" w:lineRule="exact"/>
        <w:ind w:firstLine="640" w:firstLineChars="200"/>
        <w:rPr>
          <w:rFonts w:ascii="Times New Roman" w:hAnsi="Times New Roman" w:eastAsia="仿宋" w:cs="Times New Roman"/>
          <w:color w:val="auto"/>
          <w:kern w:val="2"/>
          <w:sz w:val="32"/>
          <w:szCs w:val="32"/>
        </w:rPr>
      </w:pPr>
      <w:r>
        <w:rPr>
          <w:rFonts w:ascii="Times New Roman" w:hAnsi="Times New Roman" w:eastAsia="仿宋" w:cs="Times New Roman"/>
          <w:color w:val="auto"/>
          <w:kern w:val="2"/>
          <w:sz w:val="32"/>
          <w:szCs w:val="32"/>
        </w:rPr>
        <w:t>我镇对部门整体支出绩效开展了自评。绩效评价结果显示，我镇2020年度绩效目标完成较好，在预算配置、预算执行、预算管理等方面较好的支持了财政中心工作发展。2020年，我镇深入学习贯彻习近平总书记系列重要讲话精神，紧紧围绕县委、县政府决策部署，有效发挥财政职能作用，统筹做好稳增长、促改革、调结构、惠民生、防风险各项工作。全镇财政实力稳步提升，服务发展成效明显，支农力度持续加大，民生保障更加有力，财税改革扎实推进，财政管理日趋规范，党建工作全面加强，较好地服务了全镇经济社会发展大局。</w:t>
      </w:r>
    </w:p>
    <w:p>
      <w:pPr>
        <w:widowControl/>
        <w:spacing w:line="640" w:lineRule="exact"/>
        <w:jc w:val="left"/>
        <w:rPr>
          <w:rFonts w:ascii="Times New Roman" w:hAnsi="Times New Roman" w:eastAsia="仿宋" w:cs="Times New Roman"/>
          <w:sz w:val="32"/>
          <w:szCs w:val="32"/>
        </w:rPr>
      </w:pPr>
      <w:r>
        <w:rPr>
          <w:rFonts w:ascii="Times New Roman" w:hAnsi="Times New Roman" w:eastAsia="仿宋" w:cs="Times New Roman"/>
          <w:sz w:val="32"/>
          <w:szCs w:val="32"/>
        </w:rPr>
        <w:t>（二）部门整体支出绩效自评结果</w:t>
      </w:r>
    </w:p>
    <w:p>
      <w:pPr>
        <w:widowControl/>
        <w:spacing w:line="640" w:lineRule="exact"/>
        <w:ind w:firstLine="640" w:firstLineChars="200"/>
        <w:jc w:val="left"/>
        <w:rPr>
          <w:rFonts w:ascii="Times New Roman" w:hAnsi="Times New Roman" w:eastAsia="仿宋" w:cs="Times New Roman"/>
          <w:sz w:val="32"/>
          <w:szCs w:val="32"/>
        </w:rPr>
      </w:pPr>
      <w:r>
        <w:rPr>
          <w:rFonts w:ascii="Times New Roman" w:hAnsi="Times New Roman" w:eastAsia="仿宋" w:cs="Times New Roman"/>
          <w:sz w:val="32"/>
          <w:szCs w:val="32"/>
        </w:rPr>
        <w:t>2020 年，在县委、县政府的坚强领导下，我镇坚持以习近平新时代中国特色社会主义思想为指导，认真落实中央和省委、省政府重大决策部署，以强化执行力、提升创新力、增强凝聚力为抓手，圆满完成了各项工作任务，在服务省政府统筹推进全省常态化疫情防控和经济社会发展等方面作出了积极贡献，根据部门整体支出绩效评价指标，部门整体支出绩效得分</w:t>
      </w:r>
      <w:r>
        <w:rPr>
          <w:rFonts w:ascii="Times New Roman" w:hAnsi="Times New Roman" w:eastAsia="仿宋" w:cs="Times New Roman"/>
          <w:sz w:val="28"/>
          <w:szCs w:val="28"/>
        </w:rPr>
        <w:t>95.5</w:t>
      </w:r>
      <w:r>
        <w:rPr>
          <w:rFonts w:ascii="Times New Roman" w:hAnsi="Times New Roman" w:eastAsia="仿宋" w:cs="Times New Roman"/>
          <w:sz w:val="32"/>
          <w:szCs w:val="32"/>
        </w:rPr>
        <w:t>分。从评价情况来看，预算执行有效，完成情况较好，基本达到预算绩效目标</w:t>
      </w:r>
    </w:p>
    <w:p>
      <w:pPr>
        <w:pStyle w:val="11"/>
        <w:ind w:firstLine="640" w:firstLineChars="200"/>
        <w:rPr>
          <w:rFonts w:asciiTheme="minorEastAsia" w:hAnsiTheme="minorEastAsia" w:eastAsiaTheme="minorEastAsia" w:cstheme="minorBidi"/>
          <w:color w:val="auto"/>
          <w:kern w:val="2"/>
          <w:sz w:val="32"/>
          <w:szCs w:val="32"/>
        </w:rPr>
      </w:pPr>
    </w:p>
    <w:p>
      <w:pPr>
        <w:widowControl/>
        <w:jc w:val="left"/>
        <w:rPr>
          <w:rFonts w:cs="黑体" w:asciiTheme="minorEastAsia" w:hAnsiTheme="minorEastAsia"/>
          <w:color w:val="000000"/>
          <w:kern w:val="0"/>
          <w:sz w:val="32"/>
          <w:szCs w:val="32"/>
        </w:rPr>
      </w:pPr>
      <w:r>
        <w:rPr>
          <w:rFonts w:cs="黑体" w:asciiTheme="minorEastAsia" w:hAnsiTheme="minorEastAsia"/>
          <w:color w:val="000000"/>
          <w:kern w:val="0"/>
          <w:sz w:val="32"/>
          <w:szCs w:val="32"/>
        </w:rPr>
        <w:br w:type="page"/>
      </w: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rFonts w:asciiTheme="minorHAnsi" w:eastAsiaTheme="minorEastAsia" w:cstheme="minorBidi"/>
          <w:color w:val="auto"/>
          <w:kern w:val="2"/>
          <w:sz w:val="72"/>
          <w:szCs w:val="72"/>
        </w:rPr>
      </w:pPr>
      <w:r>
        <w:rPr>
          <w:rFonts w:hint="eastAsia" w:asciiTheme="minorHAnsi" w:eastAsiaTheme="minorEastAsia" w:cstheme="minorBidi"/>
          <w:color w:val="auto"/>
          <w:kern w:val="2"/>
          <w:sz w:val="72"/>
          <w:szCs w:val="72"/>
        </w:rPr>
        <w:t>第四部分</w:t>
      </w:r>
    </w:p>
    <w:p>
      <w:pPr>
        <w:jc w:val="center"/>
        <w:rPr>
          <w:sz w:val="72"/>
          <w:szCs w:val="72"/>
        </w:rPr>
      </w:pPr>
    </w:p>
    <w:p>
      <w:pPr>
        <w:jc w:val="center"/>
        <w:rPr>
          <w:sz w:val="72"/>
          <w:szCs w:val="72"/>
        </w:rPr>
      </w:pPr>
      <w:r>
        <w:rPr>
          <w:rFonts w:hint="eastAsia"/>
          <w:sz w:val="72"/>
          <w:szCs w:val="72"/>
        </w:rPr>
        <w:t>名词解释</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p>
    <w:p>
      <w:pPr>
        <w:widowControl/>
        <w:jc w:val="left"/>
        <w:rPr>
          <w:color w:val="333333"/>
          <w:sz w:val="28"/>
          <w:szCs w:val="28"/>
        </w:rPr>
      </w:pPr>
    </w:p>
    <w:p>
      <w:pPr>
        <w:pStyle w:val="2"/>
        <w:rPr>
          <w:color w:val="333333"/>
          <w:sz w:val="28"/>
          <w:szCs w:val="28"/>
        </w:rPr>
      </w:pPr>
    </w:p>
    <w:p>
      <w:pPr>
        <w:pStyle w:val="2"/>
        <w:rPr>
          <w:color w:val="333333"/>
          <w:sz w:val="28"/>
          <w:szCs w:val="28"/>
        </w:rPr>
      </w:pPr>
    </w:p>
    <w:p>
      <w:pPr>
        <w:widowControl/>
        <w:numPr>
          <w:ilvl w:val="0"/>
          <w:numId w:val="5"/>
        </w:numPr>
        <w:spacing w:line="640" w:lineRule="exact"/>
        <w:ind w:firstLine="560" w:firstLineChars="200"/>
        <w:jc w:val="left"/>
        <w:rPr>
          <w:rFonts w:ascii="仿宋" w:hAnsi="仿宋" w:eastAsia="仿宋" w:cs="仿宋"/>
          <w:color w:val="333333"/>
          <w:sz w:val="28"/>
          <w:szCs w:val="28"/>
        </w:rPr>
      </w:pPr>
      <w:r>
        <w:rPr>
          <w:rFonts w:hint="eastAsia" w:ascii="仿宋" w:hAnsi="仿宋" w:eastAsia="仿宋" w:cs="仿宋"/>
          <w:color w:val="333333"/>
          <w:sz w:val="28"/>
          <w:szCs w:val="28"/>
        </w:rPr>
        <w:t>财政拨款收入：指财政部门核拨给单位的财政预算资金。</w:t>
      </w:r>
    </w:p>
    <w:p>
      <w:pPr>
        <w:widowControl/>
        <w:spacing w:line="640" w:lineRule="exact"/>
        <w:ind w:firstLine="560" w:firstLineChars="200"/>
        <w:jc w:val="left"/>
        <w:rPr>
          <w:rFonts w:ascii="仿宋" w:hAnsi="仿宋" w:eastAsia="仿宋" w:cs="仿宋"/>
          <w:color w:val="000000"/>
          <w:kern w:val="0"/>
          <w:sz w:val="70"/>
          <w:szCs w:val="70"/>
        </w:rPr>
      </w:pPr>
      <w:r>
        <w:rPr>
          <w:rFonts w:hint="eastAsia" w:ascii="仿宋" w:hAnsi="仿宋" w:eastAsia="仿宋" w:cs="仿宋"/>
          <w:color w:val="333333"/>
          <w:sz w:val="28"/>
          <w:szCs w:val="28"/>
        </w:rPr>
        <w:t>二、事业收入：指事业单位开展专业业务活动及辅助活动所取得的收入。 </w:t>
      </w:r>
    </w:p>
    <w:p>
      <w:pPr>
        <w:pStyle w:val="6"/>
        <w:shd w:val="clear" w:color="auto" w:fill="FFFFFF"/>
        <w:spacing w:before="0" w:beforeAutospacing="0" w:after="0" w:afterAutospacing="0" w:line="640" w:lineRule="exact"/>
        <w:ind w:firstLine="560" w:firstLineChars="200"/>
        <w:rPr>
          <w:rFonts w:ascii="仿宋" w:hAnsi="仿宋" w:eastAsia="仿宋" w:cs="仿宋"/>
          <w:color w:val="333333"/>
          <w:sz w:val="28"/>
          <w:szCs w:val="28"/>
        </w:rPr>
      </w:pPr>
      <w:r>
        <w:rPr>
          <w:rFonts w:hint="eastAsia" w:ascii="仿宋" w:hAnsi="仿宋" w:eastAsia="仿宋" w:cs="仿宋"/>
          <w:color w:val="333333"/>
          <w:sz w:val="28"/>
          <w:szCs w:val="28"/>
        </w:rPr>
        <w:t>三、附属单位上缴收入：指事业单位附属独立核算单位按有关规定上缴的收入。 </w:t>
      </w:r>
    </w:p>
    <w:p>
      <w:pPr>
        <w:pStyle w:val="6"/>
        <w:shd w:val="clear" w:color="auto" w:fill="FFFFFF"/>
        <w:spacing w:before="0" w:beforeAutospacing="0" w:after="0" w:afterAutospacing="0" w:line="640" w:lineRule="exact"/>
        <w:ind w:firstLine="560" w:firstLineChars="200"/>
        <w:rPr>
          <w:rFonts w:ascii="仿宋" w:hAnsi="仿宋" w:eastAsia="仿宋" w:cs="仿宋"/>
          <w:color w:val="333333"/>
          <w:sz w:val="28"/>
          <w:szCs w:val="28"/>
        </w:rPr>
      </w:pPr>
      <w:r>
        <w:rPr>
          <w:rFonts w:hint="eastAsia" w:ascii="仿宋" w:hAnsi="仿宋" w:eastAsia="仿宋" w:cs="仿宋"/>
          <w:color w:val="333333"/>
          <w:sz w:val="28"/>
          <w:szCs w:val="28"/>
        </w:rPr>
        <w:t>四、其他收入：指单位取得的除上述“财政拨款收入”、“事业收入”、“附属单位上缴收入”等以外的收入。 </w:t>
      </w:r>
    </w:p>
    <w:p>
      <w:pPr>
        <w:pStyle w:val="6"/>
        <w:shd w:val="clear" w:color="auto" w:fill="FFFFFF"/>
        <w:spacing w:before="0" w:beforeAutospacing="0" w:after="0" w:afterAutospacing="0" w:line="640" w:lineRule="exact"/>
        <w:ind w:firstLine="560" w:firstLineChars="200"/>
        <w:rPr>
          <w:rFonts w:ascii="仿宋" w:hAnsi="仿宋" w:eastAsia="仿宋" w:cs="仿宋"/>
          <w:color w:val="333333"/>
          <w:sz w:val="28"/>
          <w:szCs w:val="28"/>
        </w:rPr>
      </w:pPr>
      <w:r>
        <w:rPr>
          <w:rFonts w:hint="eastAsia" w:ascii="仿宋" w:hAnsi="仿宋" w:eastAsia="仿宋" w:cs="仿宋"/>
          <w:color w:val="333333"/>
          <w:sz w:val="28"/>
          <w:szCs w:val="28"/>
        </w:rPr>
        <w:t>五、年初结转和结余：指以前年度尚未完成、结转到本年仍按有关规定继续使用的资金。 </w:t>
      </w:r>
    </w:p>
    <w:p>
      <w:pPr>
        <w:pStyle w:val="6"/>
        <w:shd w:val="clear" w:color="auto" w:fill="FFFFFF"/>
        <w:spacing w:before="0" w:beforeAutospacing="0" w:after="0" w:afterAutospacing="0" w:line="640" w:lineRule="exact"/>
        <w:ind w:firstLine="560" w:firstLineChars="200"/>
        <w:rPr>
          <w:rFonts w:ascii="仿宋" w:hAnsi="仿宋" w:eastAsia="仿宋" w:cs="仿宋"/>
          <w:color w:val="333333"/>
          <w:sz w:val="28"/>
          <w:szCs w:val="28"/>
        </w:rPr>
      </w:pPr>
      <w:r>
        <w:rPr>
          <w:rFonts w:hint="eastAsia" w:ascii="仿宋" w:hAnsi="仿宋" w:eastAsia="仿宋" w:cs="仿宋"/>
          <w:color w:val="333333"/>
          <w:sz w:val="28"/>
          <w:szCs w:val="28"/>
        </w:rPr>
        <w:t>六、用事业基金弥补收支差额：指事业单位在当年的“财政拨款收入”、“事业收入”、“经营收入”和“其他收入”不足以安排当年支出的情况下，使用以前年度积累的事业基金（即事业单位以前各年度收支相抵后，按国家规定提取、用于弥补以后年度收支差额的基金）弥补本年收支缺口的资金。 </w:t>
      </w:r>
    </w:p>
    <w:p>
      <w:pPr>
        <w:pStyle w:val="6"/>
        <w:shd w:val="clear" w:color="auto" w:fill="FFFFFF"/>
        <w:spacing w:before="0" w:beforeAutospacing="0" w:after="0" w:afterAutospacing="0" w:line="640" w:lineRule="exact"/>
        <w:ind w:firstLine="560" w:firstLineChars="200"/>
        <w:rPr>
          <w:rFonts w:ascii="仿宋" w:hAnsi="仿宋" w:eastAsia="仿宋" w:cs="仿宋"/>
          <w:color w:val="333333"/>
          <w:sz w:val="28"/>
          <w:szCs w:val="28"/>
        </w:rPr>
      </w:pPr>
      <w:r>
        <w:rPr>
          <w:rFonts w:hint="eastAsia" w:ascii="仿宋" w:hAnsi="仿宋" w:eastAsia="仿宋" w:cs="仿宋"/>
          <w:color w:val="333333"/>
          <w:sz w:val="28"/>
          <w:szCs w:val="28"/>
        </w:rPr>
        <w:t>七、结余分配：指事业单位按规定提取的职工福利基金、事业基金和缴纳的所得税，以及建设单位按规定应交回的基本建设竣工项目结余资金。 </w:t>
      </w:r>
    </w:p>
    <w:p>
      <w:pPr>
        <w:pStyle w:val="6"/>
        <w:shd w:val="clear" w:color="auto" w:fill="FFFFFF"/>
        <w:spacing w:before="0" w:beforeAutospacing="0" w:after="0" w:afterAutospacing="0" w:line="640" w:lineRule="exact"/>
        <w:ind w:firstLine="560" w:firstLineChars="200"/>
        <w:rPr>
          <w:rFonts w:ascii="仿宋" w:hAnsi="仿宋" w:eastAsia="仿宋" w:cs="仿宋"/>
          <w:color w:val="333333"/>
          <w:sz w:val="28"/>
          <w:szCs w:val="28"/>
        </w:rPr>
      </w:pPr>
      <w:r>
        <w:rPr>
          <w:rFonts w:hint="eastAsia" w:ascii="仿宋" w:hAnsi="仿宋" w:eastAsia="仿宋" w:cs="仿宋"/>
          <w:color w:val="333333"/>
          <w:sz w:val="28"/>
          <w:szCs w:val="28"/>
        </w:rPr>
        <w:t>八、年末结转和结余：指本年度或以前年度预算安排、因客观条件发生变化无法按原计划实施，需延迟到以后年度按有关规定继续使用的资金。 </w:t>
      </w:r>
    </w:p>
    <w:p>
      <w:pPr>
        <w:pStyle w:val="6"/>
        <w:shd w:val="clear" w:color="auto" w:fill="FFFFFF"/>
        <w:spacing w:before="0" w:beforeAutospacing="0" w:after="0" w:afterAutospacing="0" w:line="640" w:lineRule="exact"/>
        <w:ind w:firstLine="560" w:firstLineChars="200"/>
        <w:rPr>
          <w:rFonts w:ascii="仿宋" w:hAnsi="仿宋" w:eastAsia="仿宋" w:cs="仿宋"/>
          <w:color w:val="333333"/>
          <w:sz w:val="28"/>
          <w:szCs w:val="28"/>
        </w:rPr>
      </w:pPr>
      <w:r>
        <w:rPr>
          <w:rFonts w:hint="eastAsia" w:ascii="仿宋" w:hAnsi="仿宋" w:eastAsia="仿宋" w:cs="仿宋"/>
          <w:color w:val="333333"/>
          <w:sz w:val="28"/>
          <w:szCs w:val="28"/>
        </w:rPr>
        <w:t>九、基本支出：指为保障机构正常运转、完成日常工作任务而发生的人员支出和公用支出。 </w:t>
      </w:r>
    </w:p>
    <w:p>
      <w:pPr>
        <w:pStyle w:val="6"/>
        <w:shd w:val="clear" w:color="auto" w:fill="FFFFFF"/>
        <w:spacing w:before="0" w:beforeAutospacing="0" w:after="0" w:afterAutospacing="0" w:line="640" w:lineRule="exact"/>
        <w:ind w:firstLine="560" w:firstLineChars="200"/>
        <w:rPr>
          <w:rFonts w:ascii="仿宋" w:hAnsi="仿宋" w:eastAsia="仿宋" w:cs="仿宋"/>
          <w:color w:val="333333"/>
          <w:sz w:val="28"/>
          <w:szCs w:val="28"/>
        </w:rPr>
      </w:pPr>
      <w:r>
        <w:rPr>
          <w:rFonts w:hint="eastAsia" w:ascii="仿宋" w:hAnsi="仿宋" w:eastAsia="仿宋" w:cs="仿宋"/>
          <w:color w:val="333333"/>
          <w:sz w:val="28"/>
          <w:szCs w:val="28"/>
        </w:rPr>
        <w:t>十、项目支出：指在基本支出之外，为完成特定行政任务和事业发展目标所发生的支出。 </w:t>
      </w:r>
    </w:p>
    <w:p>
      <w:pPr>
        <w:pStyle w:val="6"/>
        <w:shd w:val="clear" w:color="auto" w:fill="FFFFFF"/>
        <w:spacing w:before="0" w:beforeAutospacing="0" w:after="0" w:afterAutospacing="0" w:line="640" w:lineRule="exact"/>
        <w:ind w:firstLine="560" w:firstLineChars="200"/>
        <w:rPr>
          <w:rFonts w:ascii="仿宋" w:hAnsi="仿宋" w:eastAsia="仿宋" w:cs="仿宋"/>
          <w:color w:val="333333"/>
          <w:sz w:val="28"/>
          <w:szCs w:val="28"/>
        </w:rPr>
      </w:pPr>
      <w:r>
        <w:rPr>
          <w:rFonts w:hint="eastAsia" w:ascii="仿宋" w:hAnsi="仿宋" w:eastAsia="仿宋" w:cs="仿宋"/>
          <w:color w:val="333333"/>
          <w:sz w:val="28"/>
          <w:szCs w:val="28"/>
        </w:rPr>
        <w:t>十一、“三公”经费：指省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widowControl/>
        <w:spacing w:line="640" w:lineRule="exact"/>
        <w:ind w:firstLine="560" w:firstLineChars="200"/>
        <w:jc w:val="left"/>
        <w:rPr>
          <w:rFonts w:ascii="仿宋" w:hAnsi="仿宋" w:eastAsia="仿宋" w:cs="仿宋"/>
          <w:i/>
          <w:color w:val="FF0000"/>
          <w:sz w:val="32"/>
          <w:szCs w:val="32"/>
        </w:rPr>
      </w:pPr>
      <w:r>
        <w:rPr>
          <w:rFonts w:hint="eastAsia" w:ascii="仿宋" w:hAnsi="仿宋" w:eastAsia="仿宋" w:cs="仿宋"/>
          <w:color w:val="333333"/>
          <w:sz w:val="28"/>
          <w:szCs w:val="28"/>
        </w:rPr>
        <w:t>十二、机关运行经费：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 </w:t>
      </w:r>
      <w:r>
        <w:rPr>
          <w:rFonts w:hint="eastAsia" w:ascii="仿宋" w:hAnsi="仿宋" w:eastAsia="仿宋" w:cs="仿宋"/>
          <w:i/>
          <w:color w:val="FF0000"/>
          <w:sz w:val="32"/>
          <w:szCs w:val="32"/>
        </w:rPr>
        <w:br w:type="page"/>
      </w: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rFonts w:asciiTheme="minorHAnsi" w:eastAsiaTheme="minorEastAsia" w:cstheme="minorBidi"/>
          <w:color w:val="auto"/>
          <w:kern w:val="2"/>
          <w:sz w:val="72"/>
          <w:szCs w:val="72"/>
        </w:rPr>
      </w:pPr>
      <w:r>
        <w:rPr>
          <w:rFonts w:hint="eastAsia" w:asciiTheme="minorHAnsi" w:eastAsiaTheme="minorEastAsia" w:cstheme="minorBidi"/>
          <w:color w:val="auto"/>
          <w:kern w:val="2"/>
          <w:sz w:val="72"/>
          <w:szCs w:val="72"/>
        </w:rPr>
        <w:t>第五部分</w:t>
      </w:r>
    </w:p>
    <w:p>
      <w:pPr>
        <w:pStyle w:val="11"/>
        <w:jc w:val="center"/>
        <w:rPr>
          <w:rFonts w:asciiTheme="minorHAnsi" w:eastAsiaTheme="minorEastAsia" w:cstheme="minorBidi"/>
          <w:color w:val="auto"/>
          <w:kern w:val="2"/>
          <w:sz w:val="72"/>
          <w:szCs w:val="72"/>
        </w:rPr>
      </w:pPr>
    </w:p>
    <w:p>
      <w:pPr>
        <w:pStyle w:val="11"/>
        <w:jc w:val="center"/>
        <w:rPr>
          <w:rFonts w:asciiTheme="minorHAnsi" w:eastAsiaTheme="minorEastAsia" w:cstheme="minorBidi"/>
          <w:color w:val="auto"/>
          <w:kern w:val="2"/>
          <w:sz w:val="72"/>
          <w:szCs w:val="72"/>
        </w:rPr>
      </w:pPr>
      <w:r>
        <w:rPr>
          <w:rFonts w:hint="eastAsia" w:asciiTheme="minorHAnsi" w:eastAsiaTheme="minorEastAsia" w:cstheme="minorBidi"/>
          <w:color w:val="auto"/>
          <w:kern w:val="2"/>
          <w:sz w:val="72"/>
          <w:szCs w:val="72"/>
        </w:rPr>
        <w:t>附件</w:t>
      </w:r>
    </w:p>
    <w:p>
      <w:pPr>
        <w:widowControl/>
        <w:jc w:val="center"/>
        <w:rPr>
          <w:rFonts w:cs="黑体" w:asciiTheme="minorEastAsia" w:hAnsiTheme="minorEastAsia"/>
          <w:b/>
          <w:color w:val="000000"/>
          <w:kern w:val="0"/>
          <w:sz w:val="32"/>
          <w:szCs w:val="32"/>
        </w:rPr>
      </w:pPr>
    </w:p>
    <w:p>
      <w:pPr>
        <w:widowControl/>
        <w:jc w:val="center"/>
        <w:rPr>
          <w:rFonts w:cs="黑体" w:asciiTheme="minorEastAsia" w:hAnsiTheme="minorEastAsia"/>
          <w:b/>
          <w:color w:val="000000"/>
          <w:kern w:val="0"/>
          <w:sz w:val="32"/>
          <w:szCs w:val="32"/>
        </w:rPr>
      </w:pPr>
    </w:p>
    <w:p>
      <w:pPr>
        <w:widowControl/>
        <w:jc w:val="center"/>
        <w:rPr>
          <w:rFonts w:cs="黑体" w:asciiTheme="minorEastAsia" w:hAnsiTheme="minorEastAsia"/>
          <w:b/>
          <w:color w:val="000000"/>
          <w:kern w:val="0"/>
          <w:sz w:val="32"/>
          <w:szCs w:val="32"/>
        </w:rPr>
      </w:pPr>
    </w:p>
    <w:p>
      <w:pPr>
        <w:widowControl/>
        <w:jc w:val="center"/>
        <w:rPr>
          <w:rFonts w:cs="黑体" w:asciiTheme="minorEastAsia" w:hAnsiTheme="minorEastAsia"/>
          <w:b/>
          <w:color w:val="000000"/>
          <w:kern w:val="0"/>
          <w:sz w:val="32"/>
          <w:szCs w:val="32"/>
        </w:rPr>
      </w:pPr>
    </w:p>
    <w:p>
      <w:pPr>
        <w:widowControl/>
        <w:jc w:val="center"/>
        <w:rPr>
          <w:rFonts w:cs="黑体" w:asciiTheme="minorEastAsia" w:hAnsiTheme="minorEastAsia"/>
          <w:b/>
          <w:color w:val="000000"/>
          <w:kern w:val="0"/>
          <w:sz w:val="32"/>
          <w:szCs w:val="32"/>
        </w:rPr>
      </w:pPr>
    </w:p>
    <w:p>
      <w:pPr>
        <w:widowControl/>
        <w:jc w:val="center"/>
        <w:rPr>
          <w:rFonts w:cs="黑体" w:asciiTheme="minorEastAsia" w:hAnsiTheme="minorEastAsia"/>
          <w:b/>
          <w:color w:val="000000"/>
          <w:kern w:val="0"/>
          <w:sz w:val="32"/>
          <w:szCs w:val="32"/>
        </w:rPr>
      </w:pPr>
    </w:p>
    <w:p>
      <w:pPr>
        <w:widowControl/>
        <w:jc w:val="center"/>
        <w:rPr>
          <w:rFonts w:cs="黑体" w:asciiTheme="minorEastAsia" w:hAnsiTheme="minorEastAsia"/>
          <w:b/>
          <w:color w:val="000000"/>
          <w:kern w:val="0"/>
          <w:sz w:val="32"/>
          <w:szCs w:val="32"/>
        </w:rPr>
      </w:pPr>
    </w:p>
    <w:p>
      <w:pPr>
        <w:widowControl/>
        <w:jc w:val="center"/>
        <w:rPr>
          <w:rFonts w:cs="黑体" w:asciiTheme="minorEastAsia" w:hAnsiTheme="minorEastAsia"/>
          <w:b/>
          <w:color w:val="000000"/>
          <w:kern w:val="0"/>
          <w:sz w:val="32"/>
          <w:szCs w:val="32"/>
        </w:rPr>
      </w:pPr>
    </w:p>
    <w:p>
      <w:pPr>
        <w:widowControl/>
        <w:jc w:val="center"/>
        <w:rPr>
          <w:rFonts w:cs="黑体" w:asciiTheme="minorEastAsia" w:hAnsiTheme="minorEastAsia"/>
          <w:b/>
          <w:color w:val="000000"/>
          <w:kern w:val="0"/>
          <w:sz w:val="32"/>
          <w:szCs w:val="32"/>
        </w:rPr>
      </w:pPr>
    </w:p>
    <w:p>
      <w:pPr>
        <w:widowControl/>
        <w:jc w:val="center"/>
        <w:rPr>
          <w:rFonts w:cs="黑体" w:asciiTheme="minorEastAsia" w:hAnsiTheme="minorEastAsia"/>
          <w:b/>
          <w:color w:val="000000"/>
          <w:kern w:val="0"/>
          <w:sz w:val="32"/>
          <w:szCs w:val="32"/>
        </w:rPr>
      </w:pPr>
    </w:p>
    <w:p>
      <w:pPr>
        <w:jc w:val="left"/>
        <w:rPr>
          <w:rFonts w:cs="黑体" w:asciiTheme="minorEastAsia" w:hAnsiTheme="minorEastAsia"/>
          <w:color w:val="000000"/>
          <w:kern w:val="0"/>
          <w:sz w:val="32"/>
          <w:szCs w:val="32"/>
        </w:rPr>
      </w:pPr>
    </w:p>
    <w:p>
      <w:pPr>
        <w:widowControl/>
        <w:spacing w:line="540" w:lineRule="atLeast"/>
        <w:jc w:val="center"/>
        <w:rPr>
          <w:rFonts w:ascii="仿宋" w:hAnsi="仿宋" w:eastAsia="仿宋" w:cs="仿宋"/>
          <w:b/>
          <w:bCs/>
          <w:sz w:val="36"/>
          <w:szCs w:val="36"/>
        </w:rPr>
      </w:pPr>
      <w:r>
        <w:rPr>
          <w:rFonts w:hint="eastAsia" w:ascii="仿宋" w:hAnsi="仿宋" w:eastAsia="仿宋" w:cs="仿宋"/>
          <w:b/>
          <w:bCs/>
          <w:color w:val="000000"/>
          <w:kern w:val="0"/>
          <w:sz w:val="36"/>
          <w:szCs w:val="36"/>
        </w:rPr>
        <w:t>硫市镇2020年部门整体支出绩效自评报告</w:t>
      </w:r>
    </w:p>
    <w:p>
      <w:pPr>
        <w:spacing w:line="600" w:lineRule="exact"/>
        <w:ind w:firstLine="560" w:firstLineChars="200"/>
        <w:jc w:val="left"/>
        <w:rPr>
          <w:rFonts w:ascii="仿宋" w:hAnsi="仿宋" w:eastAsia="仿宋"/>
          <w:bCs/>
          <w:color w:val="383838"/>
          <w:sz w:val="32"/>
          <w:shd w:val="clear" w:color="auto" w:fill="FFFFFF"/>
        </w:rPr>
      </w:pPr>
      <w:r>
        <w:rPr>
          <w:rFonts w:hint="eastAsia" w:ascii="仿宋" w:hAnsi="仿宋" w:eastAsia="仿宋" w:cs="仿宋"/>
          <w:color w:val="000000"/>
          <w:kern w:val="0"/>
          <w:sz w:val="28"/>
          <w:szCs w:val="28"/>
        </w:rPr>
        <w:t> </w:t>
      </w:r>
      <w:r>
        <w:rPr>
          <w:rFonts w:hint="eastAsia" w:ascii="仿宋" w:hAnsi="仿宋" w:eastAsia="仿宋"/>
          <w:bCs/>
          <w:color w:val="383838"/>
          <w:sz w:val="32"/>
          <w:shd w:val="clear" w:color="auto" w:fill="FFFFFF"/>
        </w:rPr>
        <w:t>为加强财政预算资金管理，进一步规范预算资金使用，提高财政资金使用效益，根据《衡南县财政局关于开展2020年度财政资金绩效自评工作的通知》（清财绩[2021]66号）要求，我镇对2020年度本单位财政性资金整体使用情况进行了绩效自评，现将具体绩效评价情况报告如下：</w:t>
      </w:r>
    </w:p>
    <w:p>
      <w:pPr>
        <w:numPr>
          <w:ilvl w:val="0"/>
          <w:numId w:val="6"/>
        </w:numPr>
        <w:spacing w:line="600" w:lineRule="exact"/>
        <w:ind w:left="0" w:firstLine="640" w:firstLineChars="200"/>
        <w:rPr>
          <w:rFonts w:ascii="黑体" w:eastAsia="黑体"/>
          <w:sz w:val="32"/>
          <w:szCs w:val="32"/>
        </w:rPr>
      </w:pPr>
      <w:r>
        <w:rPr>
          <w:rFonts w:hint="eastAsia" w:ascii="黑体" w:eastAsia="黑体"/>
          <w:sz w:val="32"/>
          <w:szCs w:val="32"/>
        </w:rPr>
        <w:t>单位基本情况</w:t>
      </w:r>
    </w:p>
    <w:p>
      <w:pPr>
        <w:shd w:val="solid" w:color="FFFFFF" w:fill="auto"/>
        <w:autoSpaceDN w:val="0"/>
        <w:spacing w:line="600" w:lineRule="exact"/>
        <w:ind w:firstLine="640" w:firstLineChars="200"/>
        <w:rPr>
          <w:rFonts w:ascii="仿宋" w:hAnsi="仿宋" w:eastAsia="仿宋"/>
          <w:bCs/>
          <w:color w:val="383838"/>
          <w:sz w:val="32"/>
          <w:shd w:val="clear" w:color="auto" w:fill="FFFFFF"/>
        </w:rPr>
      </w:pPr>
      <w:r>
        <w:rPr>
          <w:rFonts w:hint="eastAsia" w:ascii="仿宋" w:hAnsi="仿宋" w:eastAsia="仿宋"/>
          <w:bCs/>
          <w:color w:val="383838"/>
          <w:sz w:val="32"/>
          <w:shd w:val="clear" w:color="auto" w:fill="FFFFFF"/>
        </w:rPr>
        <w:t>硫市镇人民政府为全额财政拨款单位，纳入财政会计集中核算和国库集中支付体系，财务制度执行《预算法》、《行政单位会计制度》。</w:t>
      </w:r>
    </w:p>
    <w:p>
      <w:pPr>
        <w:numPr>
          <w:ilvl w:val="0"/>
          <w:numId w:val="7"/>
        </w:numPr>
        <w:spacing w:line="600" w:lineRule="exact"/>
        <w:ind w:left="638" w:leftChars="304"/>
        <w:rPr>
          <w:rFonts w:ascii="仿宋" w:hAnsi="仿宋" w:eastAsia="仿宋"/>
          <w:b/>
          <w:color w:val="383838"/>
          <w:sz w:val="32"/>
          <w:shd w:val="clear" w:color="auto" w:fill="FFFFFF"/>
        </w:rPr>
      </w:pPr>
      <w:r>
        <w:rPr>
          <w:rFonts w:hint="eastAsia" w:ascii="仿宋" w:hAnsi="仿宋" w:eastAsia="仿宋"/>
          <w:b/>
          <w:color w:val="383838"/>
          <w:sz w:val="32"/>
          <w:shd w:val="clear" w:color="auto" w:fill="FFFFFF"/>
        </w:rPr>
        <w:t>、部门职能</w:t>
      </w:r>
    </w:p>
    <w:p>
      <w:pPr>
        <w:shd w:val="solid" w:color="FFFFFF" w:fill="auto"/>
        <w:autoSpaceDN w:val="0"/>
        <w:spacing w:line="600" w:lineRule="exact"/>
        <w:ind w:firstLine="640" w:firstLineChars="200"/>
        <w:rPr>
          <w:rFonts w:ascii="仿宋" w:hAnsi="仿宋" w:eastAsia="仿宋"/>
          <w:bCs/>
          <w:color w:val="383838"/>
          <w:sz w:val="32"/>
          <w:shd w:val="clear" w:color="auto" w:fill="FFFFFF"/>
          <w:lang w:val="zh-CN"/>
        </w:rPr>
      </w:pPr>
      <w:r>
        <w:rPr>
          <w:rFonts w:hint="eastAsia" w:ascii="仿宋" w:hAnsi="仿宋" w:eastAsia="仿宋"/>
          <w:bCs/>
          <w:color w:val="383838"/>
          <w:sz w:val="32"/>
          <w:shd w:val="clear" w:color="auto" w:fill="FFFFFF"/>
        </w:rPr>
        <w:t>1、</w:t>
      </w:r>
      <w:r>
        <w:rPr>
          <w:rFonts w:hint="eastAsia" w:ascii="仿宋" w:hAnsi="仿宋" w:eastAsia="仿宋"/>
          <w:bCs/>
          <w:color w:val="383838"/>
          <w:sz w:val="32"/>
          <w:shd w:val="clear" w:color="auto" w:fill="FFFFFF"/>
          <w:lang w:val="zh-CN"/>
        </w:rPr>
        <w:t>负责党的路线、方针、政策和国家法律、法规在本行政区域内的宣传、贯彻、落实。加强基层党组织和政权建设，为本地区经济的发展和社会稳定提供政治、社会环境和组织保证。</w:t>
      </w:r>
    </w:p>
    <w:p>
      <w:pPr>
        <w:shd w:val="solid" w:color="FFFFFF" w:fill="auto"/>
        <w:autoSpaceDN w:val="0"/>
        <w:spacing w:line="600" w:lineRule="exact"/>
        <w:ind w:firstLine="640" w:firstLineChars="200"/>
        <w:rPr>
          <w:rFonts w:ascii="仿宋" w:hAnsi="仿宋" w:eastAsia="仿宋"/>
          <w:bCs/>
          <w:color w:val="383838"/>
          <w:sz w:val="32"/>
          <w:shd w:val="clear" w:color="auto" w:fill="FFFFFF"/>
          <w:lang w:val="zh-CN"/>
        </w:rPr>
      </w:pPr>
      <w:r>
        <w:rPr>
          <w:rFonts w:hint="eastAsia" w:ascii="仿宋" w:hAnsi="仿宋" w:eastAsia="仿宋"/>
          <w:bCs/>
          <w:color w:val="383838"/>
          <w:sz w:val="32"/>
          <w:shd w:val="clear" w:color="auto" w:fill="FFFFFF"/>
        </w:rPr>
        <w:t>2、</w:t>
      </w:r>
      <w:r>
        <w:rPr>
          <w:rFonts w:hint="eastAsia" w:ascii="仿宋" w:hAnsi="仿宋" w:eastAsia="仿宋"/>
          <w:bCs/>
          <w:color w:val="383838"/>
          <w:sz w:val="32"/>
          <w:shd w:val="clear" w:color="auto" w:fill="FFFFFF"/>
          <w:lang w:val="zh-CN"/>
        </w:rPr>
        <w:t>负责制定本行政区域内经济建设和各项社会事业发展的规划，并组织实施。依法管理经济和社会事务，促进本片区两个文明建设。负责本行政区域内的民主与法制建设工作，维护和保障公民的各项合法权利。</w:t>
      </w:r>
    </w:p>
    <w:p>
      <w:pPr>
        <w:shd w:val="solid" w:color="FFFFFF" w:fill="auto"/>
        <w:autoSpaceDN w:val="0"/>
        <w:spacing w:line="600" w:lineRule="exact"/>
        <w:ind w:firstLine="640" w:firstLineChars="200"/>
        <w:rPr>
          <w:rFonts w:ascii="仿宋" w:hAnsi="仿宋" w:eastAsia="仿宋"/>
          <w:bCs/>
          <w:color w:val="383838"/>
          <w:sz w:val="32"/>
          <w:shd w:val="clear" w:color="auto" w:fill="FFFFFF"/>
          <w:lang w:val="zh-CN"/>
        </w:rPr>
      </w:pPr>
      <w:r>
        <w:rPr>
          <w:rFonts w:hint="eastAsia" w:ascii="仿宋" w:hAnsi="仿宋" w:eastAsia="仿宋"/>
          <w:bCs/>
          <w:color w:val="383838"/>
          <w:sz w:val="32"/>
          <w:shd w:val="clear" w:color="auto" w:fill="FFFFFF"/>
        </w:rPr>
        <w:t>3、</w:t>
      </w:r>
      <w:r>
        <w:rPr>
          <w:rFonts w:hint="eastAsia" w:ascii="仿宋" w:hAnsi="仿宋" w:eastAsia="仿宋"/>
          <w:bCs/>
          <w:color w:val="383838"/>
          <w:sz w:val="32"/>
          <w:shd w:val="clear" w:color="auto" w:fill="FFFFFF"/>
          <w:lang w:val="zh-CN"/>
        </w:rPr>
        <w:t>负责硫市镇党委、人大、政府、政协联络工委、纪律委员会、人民武装及共青团、妇联等群团组织的日常工作。</w:t>
      </w:r>
    </w:p>
    <w:p>
      <w:pPr>
        <w:shd w:val="solid" w:color="FFFFFF" w:fill="auto"/>
        <w:autoSpaceDN w:val="0"/>
        <w:spacing w:line="600" w:lineRule="exact"/>
        <w:ind w:firstLine="640" w:firstLineChars="200"/>
        <w:rPr>
          <w:rFonts w:ascii="仿宋" w:hAnsi="仿宋" w:eastAsia="仿宋"/>
          <w:b/>
          <w:color w:val="383838"/>
          <w:sz w:val="32"/>
          <w:shd w:val="clear" w:color="auto" w:fill="FFFFFF"/>
        </w:rPr>
      </w:pPr>
      <w:r>
        <w:rPr>
          <w:rFonts w:hint="eastAsia" w:ascii="仿宋" w:hAnsi="仿宋" w:eastAsia="仿宋"/>
          <w:bCs/>
          <w:color w:val="383838"/>
          <w:sz w:val="32"/>
          <w:shd w:val="clear" w:color="auto" w:fill="FFFFFF"/>
        </w:rPr>
        <w:t>4、</w:t>
      </w:r>
      <w:r>
        <w:rPr>
          <w:rFonts w:hint="eastAsia" w:ascii="仿宋" w:hAnsi="仿宋" w:eastAsia="仿宋"/>
          <w:bCs/>
          <w:color w:val="383838"/>
          <w:sz w:val="32"/>
          <w:shd w:val="clear" w:color="auto" w:fill="FFFFFF"/>
          <w:lang w:val="zh-CN"/>
        </w:rPr>
        <w:t>负责完成上级机关交办的其他工作任务。</w:t>
      </w:r>
    </w:p>
    <w:p>
      <w:pPr>
        <w:spacing w:line="600" w:lineRule="exact"/>
        <w:ind w:firstLine="320" w:firstLineChars="100"/>
        <w:rPr>
          <w:rFonts w:ascii="仿宋" w:hAnsi="仿宋" w:eastAsia="仿宋"/>
          <w:b/>
          <w:color w:val="383838"/>
          <w:sz w:val="32"/>
          <w:shd w:val="clear" w:color="auto" w:fill="FFFFFF"/>
        </w:rPr>
      </w:pPr>
      <w:r>
        <w:rPr>
          <w:rFonts w:hint="eastAsia" w:ascii="仿宋" w:hAnsi="仿宋" w:eastAsia="仿宋"/>
          <w:b/>
          <w:color w:val="383838"/>
          <w:sz w:val="32"/>
          <w:shd w:val="clear" w:color="auto" w:fill="FFFFFF"/>
        </w:rPr>
        <w:t>（二）、基本情况。</w:t>
      </w:r>
    </w:p>
    <w:p>
      <w:pPr>
        <w:shd w:val="solid" w:color="FFFFFF" w:fill="auto"/>
        <w:autoSpaceDN w:val="0"/>
        <w:spacing w:line="600" w:lineRule="exact"/>
        <w:ind w:firstLine="640" w:firstLineChars="200"/>
        <w:rPr>
          <w:rFonts w:ascii="仿宋" w:hAnsi="仿宋" w:eastAsia="仿宋"/>
          <w:bCs/>
          <w:color w:val="383838"/>
          <w:sz w:val="32"/>
          <w:shd w:val="clear" w:color="auto" w:fill="FFFFFF"/>
        </w:rPr>
      </w:pPr>
      <w:r>
        <w:rPr>
          <w:rFonts w:hint="eastAsia" w:ascii="仿宋" w:hAnsi="仿宋" w:eastAsia="仿宋"/>
          <w:bCs/>
          <w:color w:val="383838"/>
          <w:sz w:val="32"/>
          <w:shd w:val="clear" w:color="auto" w:fill="FFFFFF"/>
        </w:rPr>
        <w:t>本镇共辖有20个村，2个社区居委会，政府机关现有在编财政供养人员25人；政府公务用车1辆。本单位分政府机关及财政所。</w:t>
      </w:r>
    </w:p>
    <w:p>
      <w:pPr>
        <w:pStyle w:val="3"/>
        <w:spacing w:beforeLines="100" w:after="0" w:line="600" w:lineRule="exact"/>
        <w:ind w:firstLine="640" w:firstLineChars="200"/>
        <w:rPr>
          <w:b w:val="0"/>
          <w:bCs/>
        </w:rPr>
      </w:pPr>
      <w:r>
        <w:rPr>
          <w:rFonts w:hint="eastAsia"/>
          <w:b w:val="0"/>
          <w:bCs/>
        </w:rPr>
        <w:t>二、2020年主要目标工作任务及实施情况</w:t>
      </w:r>
    </w:p>
    <w:p>
      <w:pPr>
        <w:pStyle w:val="3"/>
        <w:spacing w:before="0" w:after="0" w:line="600" w:lineRule="exact"/>
        <w:ind w:firstLine="640" w:firstLineChars="200"/>
        <w:rPr>
          <w:rFonts w:ascii="仿宋" w:hAnsi="仿宋" w:eastAsia="仿宋"/>
          <w:b w:val="0"/>
          <w:bCs/>
          <w:color w:val="383838"/>
          <w:shd w:val="clear" w:color="auto" w:fill="FFFFFF"/>
        </w:rPr>
      </w:pPr>
      <w:r>
        <w:rPr>
          <w:rFonts w:hint="eastAsia" w:ascii="仿宋" w:hAnsi="仿宋" w:eastAsia="仿宋"/>
          <w:b w:val="0"/>
          <w:bCs/>
          <w:color w:val="383838"/>
          <w:shd w:val="clear" w:color="auto" w:fill="FFFFFF"/>
        </w:rPr>
        <w:t>全镇较好地完成了20</w:t>
      </w:r>
      <w:r>
        <w:rPr>
          <w:rFonts w:hint="eastAsia" w:ascii="仿宋" w:hAnsi="仿宋" w:eastAsia="仿宋" w:cs="仿宋"/>
          <w:b w:val="0"/>
          <w:color w:val="333333"/>
          <w:spacing w:val="-2"/>
          <w:sz w:val="28"/>
          <w:szCs w:val="28"/>
        </w:rPr>
        <w:t>20</w:t>
      </w:r>
      <w:r>
        <w:rPr>
          <w:rFonts w:hint="eastAsia" w:ascii="仿宋" w:hAnsi="仿宋" w:eastAsia="仿宋"/>
          <w:b w:val="0"/>
          <w:bCs/>
          <w:color w:val="383838"/>
          <w:shd w:val="clear" w:color="auto" w:fill="FFFFFF"/>
        </w:rPr>
        <w:t>年初设定的工作任务，各项专项项目得到有序开展。到年底项目实施已完成100%，资金拨付报账到位率为97%，项目验收完成率为100%。</w:t>
      </w:r>
    </w:p>
    <w:p>
      <w:pPr>
        <w:numPr>
          <w:ilvl w:val="0"/>
          <w:numId w:val="8"/>
        </w:numPr>
        <w:spacing w:line="640" w:lineRule="exact"/>
        <w:ind w:firstLine="640" w:firstLineChars="200"/>
        <w:rPr>
          <w:rFonts w:ascii="仿宋" w:hAnsi="仿宋" w:eastAsia="仿宋" w:cs="仿宋"/>
          <w:b/>
          <w:bCs/>
          <w:sz w:val="32"/>
          <w:szCs w:val="32"/>
        </w:rPr>
      </w:pPr>
      <w:r>
        <w:rPr>
          <w:rFonts w:hint="eastAsia" w:ascii="仿宋" w:hAnsi="仿宋" w:eastAsia="仿宋" w:cs="仿宋"/>
          <w:b/>
          <w:bCs/>
          <w:sz w:val="32"/>
          <w:szCs w:val="32"/>
        </w:rPr>
        <w:t>高质量发展方面</w:t>
      </w:r>
    </w:p>
    <w:p>
      <w:pPr>
        <w:pStyle w:val="2"/>
        <w:widowControl/>
        <w:numPr>
          <w:ilvl w:val="0"/>
          <w:numId w:val="9"/>
        </w:numPr>
        <w:spacing w:line="640" w:lineRule="exact"/>
        <w:ind w:firstLine="640" w:firstLineChars="200"/>
        <w:rPr>
          <w:rFonts w:ascii="仿宋" w:hAnsi="仿宋" w:eastAsia="仿宋" w:cs="仿宋"/>
          <w:sz w:val="32"/>
          <w:szCs w:val="32"/>
        </w:rPr>
      </w:pPr>
      <w:r>
        <w:rPr>
          <w:rFonts w:hint="eastAsia" w:ascii="仿宋" w:hAnsi="仿宋" w:eastAsia="仿宋" w:cs="仿宋"/>
          <w:sz w:val="32"/>
          <w:szCs w:val="32"/>
        </w:rPr>
        <w:t>基础设施建设持续加强：一年来，硬化通组公路19公里，修通组级沙石路5公里，扩宽通村路4.5公里。架设路灯200盏，镇内新建新时代文明广场1个，对大桥、乐玉、新桥、龙鹤4个村的村部进行了改扩建。扎实推进“改厕”工作，全面完成250个改厕任务，镇区污水处理管网改造工程的建设已完成。</w:t>
      </w:r>
    </w:p>
    <w:p>
      <w:pPr>
        <w:pStyle w:val="2"/>
        <w:widowControl/>
        <w:numPr>
          <w:ilvl w:val="0"/>
          <w:numId w:val="9"/>
        </w:numPr>
        <w:spacing w:line="640" w:lineRule="exact"/>
        <w:ind w:firstLine="640" w:firstLineChars="200"/>
        <w:rPr>
          <w:rFonts w:ascii="仿宋" w:hAnsi="仿宋" w:eastAsia="仿宋" w:cs="仿宋"/>
          <w:sz w:val="32"/>
          <w:szCs w:val="32"/>
        </w:rPr>
      </w:pPr>
      <w:r>
        <w:rPr>
          <w:rFonts w:hint="eastAsia" w:ascii="仿宋" w:hAnsi="仿宋" w:eastAsia="仿宋" w:cs="仿宋"/>
          <w:sz w:val="32"/>
          <w:szCs w:val="32"/>
        </w:rPr>
        <w:t>乡村振兴成效显著：一是农业生产全面推进：建成原生态绿色农业示范基地。积极引导种植大户建设绿色农业示范基地，贞元村的千亩再生稻示范片，天胜、侍郎两村的优质生态米基地都已形成规模。</w:t>
      </w:r>
    </w:p>
    <w:p>
      <w:pPr>
        <w:pStyle w:val="2"/>
        <w:widowControl/>
        <w:numPr>
          <w:ilvl w:val="0"/>
          <w:numId w:val="9"/>
        </w:numPr>
        <w:spacing w:line="640" w:lineRule="exact"/>
        <w:ind w:firstLine="640" w:firstLineChars="200"/>
        <w:rPr>
          <w:rFonts w:ascii="仿宋" w:hAnsi="仿宋" w:eastAsia="仿宋" w:cs="仿宋"/>
          <w:sz w:val="32"/>
          <w:szCs w:val="32"/>
        </w:rPr>
      </w:pPr>
      <w:r>
        <w:rPr>
          <w:rFonts w:hint="eastAsia" w:ascii="仿宋" w:hAnsi="仿宋" w:eastAsia="仿宋" w:cs="仿宋"/>
          <w:sz w:val="32"/>
          <w:szCs w:val="32"/>
        </w:rPr>
        <w:t>完善内务管理，健全财务制度：在2019年基础上进一步完善了用车、用餐、差旅等内务管理制度。建立健全了村级财务核算中心及相关制度，“三公”经费实现了逐年递减。</w:t>
      </w:r>
    </w:p>
    <w:p>
      <w:pPr>
        <w:pStyle w:val="2"/>
        <w:widowControl/>
        <w:numPr>
          <w:ilvl w:val="0"/>
          <w:numId w:val="9"/>
        </w:numPr>
        <w:spacing w:line="640" w:lineRule="exact"/>
        <w:ind w:firstLine="640" w:firstLineChars="200"/>
        <w:rPr>
          <w:rFonts w:ascii="仿宋" w:hAnsi="仿宋" w:eastAsia="仿宋" w:cs="仿宋"/>
          <w:sz w:val="32"/>
          <w:szCs w:val="32"/>
        </w:rPr>
      </w:pPr>
      <w:r>
        <w:rPr>
          <w:rFonts w:hint="eastAsia" w:ascii="仿宋" w:hAnsi="仿宋" w:eastAsia="仿宋" w:cs="仿宋"/>
          <w:sz w:val="32"/>
          <w:szCs w:val="32"/>
        </w:rPr>
        <w:t>文明创建工作深入推进，镇工会建设荣获省级百佳工会称号。我镇今年在全县城乡环境整治工作的普检和考核中取得了优异的成绩。对镇原垃圾场进行了填埋处理和绿化，新建的垃圾中转站已完工，即将投入使用。</w:t>
      </w:r>
    </w:p>
    <w:p>
      <w:pPr>
        <w:pStyle w:val="2"/>
        <w:widowControl/>
        <w:numPr>
          <w:ilvl w:val="0"/>
          <w:numId w:val="9"/>
        </w:numPr>
        <w:spacing w:line="640" w:lineRule="exact"/>
        <w:ind w:firstLine="640" w:firstLineChars="200"/>
        <w:rPr>
          <w:rFonts w:ascii="仿宋" w:hAnsi="仿宋" w:eastAsia="仿宋" w:cs="仿宋"/>
          <w:sz w:val="32"/>
          <w:szCs w:val="32"/>
        </w:rPr>
      </w:pPr>
      <w:r>
        <w:rPr>
          <w:rFonts w:hint="eastAsia" w:ascii="仿宋" w:hAnsi="仿宋" w:eastAsia="仿宋" w:cs="仿宋"/>
          <w:sz w:val="32"/>
          <w:szCs w:val="32"/>
        </w:rPr>
        <w:t>土地制度改革不断强化，荣获农村不动产权登记发证示范乡镇。积极配合县土地执法局调查核实农民建房占用耕地清查行动，实地勘察450多宗疑似乱建违规土地，顺利完成了数据整理和建库资料。提前完成土地使用权调查11580宗地，完成了指认所属产权。</w:t>
      </w:r>
    </w:p>
    <w:p>
      <w:pPr>
        <w:numPr>
          <w:ilvl w:val="0"/>
          <w:numId w:val="8"/>
        </w:numPr>
        <w:spacing w:line="640" w:lineRule="exact"/>
        <w:ind w:firstLine="640" w:firstLineChars="200"/>
        <w:rPr>
          <w:rFonts w:ascii="仿宋" w:hAnsi="仿宋" w:eastAsia="仿宋" w:cs="仿宋"/>
          <w:b/>
          <w:bCs/>
          <w:sz w:val="32"/>
          <w:szCs w:val="32"/>
        </w:rPr>
      </w:pPr>
      <w:r>
        <w:rPr>
          <w:rFonts w:hint="eastAsia" w:ascii="仿宋" w:hAnsi="仿宋" w:eastAsia="仿宋" w:cs="仿宋"/>
          <w:b/>
          <w:bCs/>
          <w:sz w:val="32"/>
          <w:szCs w:val="32"/>
        </w:rPr>
        <w:t>社会民生方面</w:t>
      </w:r>
    </w:p>
    <w:p>
      <w:pPr>
        <w:spacing w:line="640" w:lineRule="exact"/>
        <w:ind w:firstLine="640" w:firstLineChars="200"/>
        <w:textAlignment w:val="bottom"/>
        <w:rPr>
          <w:rFonts w:ascii="仿宋" w:hAnsi="仿宋" w:eastAsia="仿宋" w:cs="仿宋"/>
          <w:bCs/>
          <w:sz w:val="32"/>
          <w:szCs w:val="32"/>
        </w:rPr>
      </w:pPr>
      <w:r>
        <w:rPr>
          <w:rFonts w:hint="eastAsia" w:ascii="仿宋" w:hAnsi="仿宋" w:eastAsia="仿宋" w:cs="仿宋"/>
          <w:bCs/>
          <w:sz w:val="32"/>
          <w:szCs w:val="32"/>
        </w:rPr>
        <w:t>1、惠农政策稳步落实。2020年，我镇全年共发放低保金279.23万元，特困供养金108.88万元，临时救助金26.35万余元。共32506人参加城乡居民医疗保险，参保率达73%；共14526人参加城乡居民养老保险，参保率达97%。</w:t>
      </w:r>
    </w:p>
    <w:p>
      <w:pPr>
        <w:pStyle w:val="2"/>
        <w:widowControl/>
        <w:spacing w:line="640" w:lineRule="exact"/>
        <w:ind w:firstLine="640" w:firstLineChars="200"/>
        <w:rPr>
          <w:rFonts w:ascii="楷体" w:hAnsi="楷体" w:eastAsia="楷体" w:cs="楷体"/>
          <w:b/>
          <w:bCs/>
          <w:sz w:val="32"/>
          <w:szCs w:val="32"/>
        </w:rPr>
      </w:pPr>
      <w:r>
        <w:rPr>
          <w:rFonts w:hint="eastAsia" w:ascii="仿宋" w:hAnsi="仿宋" w:eastAsia="仿宋" w:cs="仿宋"/>
          <w:bCs/>
          <w:sz w:val="32"/>
          <w:szCs w:val="32"/>
        </w:rPr>
        <w:t>2、社会保障惠及乡梓。全年新增城镇再就业315人，困难在就业38人，失业再就业</w:t>
      </w:r>
      <w:r>
        <w:rPr>
          <w:rFonts w:hint="eastAsia" w:ascii="仿宋" w:hAnsi="仿宋" w:eastAsia="仿宋" w:cs="仿宋"/>
          <w:sz w:val="32"/>
          <w:szCs w:val="32"/>
        </w:rPr>
        <w:t>127人，新增农村劳动力转移就业408人，城乡居民养老保险完成14601人，完成比例100%。发放社会保障卡196张。今年共为全镇9056名城乡养老保险待遇领取人员发放养老金1195.92万元。</w:t>
      </w:r>
    </w:p>
    <w:p>
      <w:pPr>
        <w:spacing w:line="640" w:lineRule="exact"/>
        <w:ind w:firstLine="640" w:firstLineChars="200"/>
        <w:rPr>
          <w:rFonts w:ascii="仿宋" w:hAnsi="仿宋" w:eastAsia="仿宋" w:cs="仿宋"/>
          <w:b/>
          <w:bCs/>
          <w:sz w:val="32"/>
          <w:szCs w:val="32"/>
        </w:rPr>
      </w:pPr>
      <w:r>
        <w:rPr>
          <w:rFonts w:hint="eastAsia" w:ascii="仿宋" w:hAnsi="仿宋" w:eastAsia="仿宋" w:cs="仿宋"/>
          <w:b/>
          <w:bCs/>
          <w:sz w:val="32"/>
          <w:szCs w:val="32"/>
        </w:rPr>
        <w:t>（三）三大攻坚战方面</w:t>
      </w:r>
    </w:p>
    <w:p>
      <w:pPr>
        <w:spacing w:line="640" w:lineRule="exact"/>
        <w:ind w:firstLine="640" w:firstLineChars="200"/>
        <w:textAlignment w:val="bottom"/>
        <w:rPr>
          <w:rFonts w:ascii="仿宋" w:hAnsi="仿宋" w:eastAsia="仿宋" w:cs="仿宋"/>
          <w:sz w:val="32"/>
          <w:szCs w:val="32"/>
        </w:rPr>
      </w:pPr>
      <w:r>
        <w:rPr>
          <w:rFonts w:hint="eastAsia" w:ascii="仿宋" w:hAnsi="仿宋" w:eastAsia="仿宋" w:cs="仿宋"/>
          <w:sz w:val="32"/>
          <w:szCs w:val="32"/>
        </w:rPr>
        <w:t>1、脱贫攻坚完美收官。2020年全镇剩余72户118户贫困人口全部脱贫，全镇共实现脱贫人口692户1799人。今年安置贫困劳动力就业岗位123个，新建扶贫5个，共安置贫困劳动力就业117人；建有20个村级产业合作社，吸纳贫困劳动力就业117人，与117户贫困户建立了利益联结，促进贫困家庭人均增收4800元；推进精神文明与物质文明双提升，群众增收，贫困户稳定脱贫，实现了脱贫攻坚战的完美收官。</w:t>
      </w:r>
    </w:p>
    <w:p>
      <w:pPr>
        <w:spacing w:line="640" w:lineRule="exact"/>
        <w:ind w:firstLine="640" w:firstLineChars="200"/>
        <w:rPr>
          <w:rFonts w:ascii="仿宋" w:hAnsi="仿宋" w:eastAsia="仿宋" w:cs="仿宋"/>
          <w:sz w:val="32"/>
          <w:szCs w:val="32"/>
        </w:rPr>
      </w:pPr>
      <w:r>
        <w:rPr>
          <w:rFonts w:hint="eastAsia" w:ascii="仿宋" w:hAnsi="仿宋" w:eastAsia="仿宋" w:cs="仿宋"/>
          <w:sz w:val="32"/>
          <w:szCs w:val="32"/>
        </w:rPr>
        <w:t>2、防范化解重大风险有条不紊。一是抓疫情防控。硫市镇党委、政府严格落实上级关于疫情防控的各项工作部署，始终将全镇人民群众生命安全和社会稳定放在第一位，统筹合力下好全镇“一盘棋”，凝聚信心打好抗疫“组合拳”，总体工作平稳有序，无一起疑似病例、确诊病例报告。二是抓复工复产。全力做好春耕备产工作，与各村签订责任状，稳住粮食生产基本盘，压实粮食生产工作责任。深入辖区各企业，详细听取各企业疫情防控措施落实情况和企业经营情况，积极对接上级部门，帮助各企业渡过难关。</w:t>
      </w:r>
    </w:p>
    <w:p>
      <w:pPr>
        <w:spacing w:beforeLines="100" w:afterLines="67" w:line="600" w:lineRule="exact"/>
        <w:rPr>
          <w:sz w:val="32"/>
          <w:szCs w:val="32"/>
        </w:rPr>
      </w:pPr>
      <w:r>
        <w:rPr>
          <w:rFonts w:hint="eastAsia" w:ascii="黑体" w:eastAsia="黑体"/>
          <w:sz w:val="32"/>
          <w:szCs w:val="32"/>
        </w:rPr>
        <w:t>三、部门整体支出管理及使用情况</w:t>
      </w:r>
    </w:p>
    <w:p>
      <w:pPr>
        <w:shd w:val="solid" w:color="FFFFFF" w:fill="auto"/>
        <w:autoSpaceDN w:val="0"/>
        <w:spacing w:line="600" w:lineRule="exact"/>
        <w:ind w:firstLine="640" w:firstLineChars="200"/>
        <w:rPr>
          <w:rFonts w:ascii="仿宋" w:hAnsi="仿宋" w:eastAsia="仿宋" w:cs="Times New Roman"/>
          <w:b/>
          <w:color w:val="383838"/>
          <w:sz w:val="32"/>
          <w:shd w:val="clear" w:color="auto" w:fill="FFFFFF"/>
        </w:rPr>
      </w:pPr>
      <w:r>
        <w:rPr>
          <w:rFonts w:hint="eastAsia" w:ascii="仿宋" w:hAnsi="仿宋" w:eastAsia="仿宋" w:cs="Times New Roman"/>
          <w:b/>
          <w:color w:val="383838"/>
          <w:sz w:val="32"/>
          <w:shd w:val="clear" w:color="auto" w:fill="FFFFFF"/>
        </w:rPr>
        <w:t>（一）部门预算决算收支情况</w:t>
      </w:r>
    </w:p>
    <w:p>
      <w:pPr>
        <w:spacing w:line="600" w:lineRule="exact"/>
        <w:ind w:firstLine="640" w:firstLineChars="200"/>
        <w:rPr>
          <w:rFonts w:ascii="仿宋" w:hAnsi="仿宋" w:eastAsia="仿宋" w:cs="仿宋"/>
          <w:color w:val="333333"/>
          <w:sz w:val="32"/>
          <w:szCs w:val="32"/>
        </w:rPr>
      </w:pPr>
      <w:r>
        <w:rPr>
          <w:rFonts w:hint="eastAsia" w:ascii="仿宋" w:hAnsi="仿宋" w:eastAsia="仿宋" w:cs="Times New Roman"/>
          <w:bCs/>
          <w:color w:val="383838"/>
          <w:sz w:val="32"/>
          <w:shd w:val="clear" w:color="auto" w:fill="FFFFFF"/>
        </w:rPr>
        <w:t>20</w:t>
      </w:r>
      <w:r>
        <w:rPr>
          <w:rFonts w:hint="eastAsia" w:ascii="仿宋" w:hAnsi="仿宋" w:eastAsia="仿宋" w:cs="仿宋"/>
          <w:color w:val="333333"/>
          <w:spacing w:val="-2"/>
          <w:sz w:val="28"/>
          <w:szCs w:val="28"/>
        </w:rPr>
        <w:t>20</w:t>
      </w:r>
      <w:r>
        <w:rPr>
          <w:rFonts w:hint="eastAsia" w:ascii="仿宋" w:hAnsi="仿宋" w:eastAsia="仿宋" w:cs="Times New Roman"/>
          <w:bCs/>
          <w:color w:val="383838"/>
          <w:sz w:val="32"/>
          <w:shd w:val="clear" w:color="auto" w:fill="FFFFFF"/>
        </w:rPr>
        <w:t>年年初预算收入784.29万元，</w:t>
      </w:r>
      <w:r>
        <w:rPr>
          <w:rFonts w:hint="eastAsia" w:ascii="仿宋" w:hAnsi="仿宋" w:eastAsia="仿宋" w:cs="仿宋"/>
          <w:color w:val="333333"/>
          <w:sz w:val="32"/>
          <w:szCs w:val="32"/>
        </w:rPr>
        <w:t>其中：基本支出316.42万元，工资福利支出197.09万元，一般商品和服务支出105.6万元，对个人和家庭的补助13.73万元，项目支出467.87万元。</w:t>
      </w:r>
    </w:p>
    <w:p>
      <w:pPr>
        <w:shd w:val="solid" w:color="FFFFFF" w:fill="auto"/>
        <w:autoSpaceDN w:val="0"/>
        <w:spacing w:line="600" w:lineRule="exact"/>
        <w:ind w:firstLine="640" w:firstLineChars="200"/>
        <w:rPr>
          <w:rFonts w:ascii="仿宋" w:hAnsi="仿宋" w:eastAsia="仿宋" w:cs="仿宋"/>
          <w:color w:val="333333"/>
          <w:sz w:val="32"/>
          <w:szCs w:val="32"/>
        </w:rPr>
      </w:pPr>
      <w:r>
        <w:rPr>
          <w:rFonts w:hint="eastAsia" w:ascii="仿宋" w:hAnsi="仿宋" w:eastAsia="仿宋" w:cs="Times New Roman"/>
          <w:bCs/>
          <w:color w:val="383838"/>
          <w:sz w:val="32"/>
          <w:shd w:val="clear" w:color="auto" w:fill="FFFFFF"/>
        </w:rPr>
        <w:t>20</w:t>
      </w:r>
      <w:r>
        <w:rPr>
          <w:rFonts w:hint="eastAsia" w:ascii="仿宋" w:hAnsi="仿宋" w:eastAsia="仿宋" w:cs="仿宋"/>
          <w:color w:val="333333"/>
          <w:spacing w:val="-2"/>
          <w:sz w:val="28"/>
          <w:szCs w:val="28"/>
        </w:rPr>
        <w:t>20</w:t>
      </w:r>
      <w:r>
        <w:rPr>
          <w:rFonts w:hint="eastAsia" w:ascii="仿宋" w:hAnsi="仿宋" w:eastAsia="仿宋" w:cs="Times New Roman"/>
          <w:bCs/>
          <w:color w:val="383838"/>
          <w:sz w:val="32"/>
          <w:shd w:val="clear" w:color="auto" w:fill="FFFFFF"/>
        </w:rPr>
        <w:t>年决算收入1221.49万元。本年度总支出1221.49万元，其中：</w:t>
      </w:r>
      <w:r>
        <w:rPr>
          <w:rFonts w:hint="eastAsia" w:ascii="仿宋" w:hAnsi="仿宋" w:eastAsia="仿宋" w:cs="仿宋"/>
          <w:color w:val="333333"/>
          <w:sz w:val="32"/>
          <w:szCs w:val="32"/>
        </w:rPr>
        <w:t>工资福利支出582.94万元，一般商品和服务支出377.59万元，对个人和家庭的补助40.79万元，资本性支出220.17万元。</w:t>
      </w:r>
    </w:p>
    <w:p>
      <w:pPr>
        <w:pStyle w:val="2"/>
        <w:widowControl/>
        <w:spacing w:line="600" w:lineRule="exact"/>
        <w:ind w:firstLine="640" w:firstLineChars="200"/>
        <w:rPr>
          <w:rFonts w:ascii="仿宋" w:hAnsi="仿宋" w:eastAsia="仿宋" w:cs="仿宋"/>
          <w:sz w:val="32"/>
          <w:szCs w:val="36"/>
        </w:rPr>
      </w:pPr>
      <w:r>
        <w:rPr>
          <w:rFonts w:hint="eastAsia" w:ascii="仿宋" w:hAnsi="仿宋" w:eastAsia="仿宋" w:cs="仿宋"/>
          <w:sz w:val="32"/>
          <w:szCs w:val="36"/>
        </w:rPr>
        <w:t>其中，2020年收疫情防控政府性基金财政拨款收入80.58万元。</w:t>
      </w:r>
    </w:p>
    <w:p>
      <w:pPr>
        <w:shd w:val="solid" w:color="FFFFFF" w:fill="auto"/>
        <w:autoSpaceDN w:val="0"/>
        <w:spacing w:line="600" w:lineRule="exact"/>
        <w:ind w:firstLine="640" w:firstLineChars="200"/>
        <w:rPr>
          <w:rFonts w:ascii="仿宋" w:hAnsi="仿宋" w:eastAsia="仿宋" w:cs="Times New Roman"/>
          <w:b/>
          <w:color w:val="383838"/>
          <w:sz w:val="32"/>
          <w:shd w:val="clear" w:color="auto" w:fill="FFFFFF"/>
        </w:rPr>
      </w:pPr>
      <w:r>
        <w:rPr>
          <w:rFonts w:hint="eastAsia" w:ascii="仿宋" w:hAnsi="仿宋" w:eastAsia="仿宋" w:cs="Times New Roman"/>
          <w:b/>
          <w:color w:val="383838"/>
          <w:sz w:val="32"/>
          <w:shd w:val="clear" w:color="auto" w:fill="FFFFFF"/>
        </w:rPr>
        <w:t>（二）支出分类情况。</w:t>
      </w:r>
    </w:p>
    <w:p>
      <w:pPr>
        <w:shd w:val="solid" w:color="FFFFFF" w:fill="auto"/>
        <w:autoSpaceDN w:val="0"/>
        <w:spacing w:line="600" w:lineRule="exact"/>
        <w:ind w:firstLine="640" w:firstLineChars="200"/>
        <w:rPr>
          <w:rFonts w:ascii="仿宋" w:hAnsi="仿宋" w:eastAsia="仿宋" w:cs="Times New Roman"/>
          <w:b/>
          <w:color w:val="383838"/>
          <w:sz w:val="32"/>
          <w:shd w:val="clear" w:color="auto" w:fill="FFFFFF"/>
        </w:rPr>
      </w:pPr>
      <w:r>
        <w:rPr>
          <w:rFonts w:hint="eastAsia" w:ascii="仿宋" w:hAnsi="仿宋" w:eastAsia="仿宋" w:cs="Times New Roman"/>
          <w:b/>
          <w:color w:val="383838"/>
          <w:sz w:val="32"/>
          <w:shd w:val="clear" w:color="auto" w:fill="FFFFFF"/>
        </w:rPr>
        <w:t>1.基本支出</w:t>
      </w:r>
    </w:p>
    <w:p>
      <w:pPr>
        <w:shd w:val="solid" w:color="FFFFFF" w:fill="auto"/>
        <w:autoSpaceDN w:val="0"/>
        <w:spacing w:line="60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基本支出为保障单位机构正常运转、完成日常工作任务而发生的各项支出，包括用于基本工资、津贴补贴等人员经费以及办公费、印刷费、水电费等日常公用经费。</w:t>
      </w:r>
    </w:p>
    <w:p>
      <w:pPr>
        <w:shd w:val="solid" w:color="FFFFFF" w:fill="auto"/>
        <w:autoSpaceDN w:val="0"/>
        <w:spacing w:line="60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2020年年初预算批复的基本支出为316.42万元，2020年决算基本支出600.81万元，其中一般公共服务支出519.6万元，社会保障和就业支出59.39万元，卫生健康支出13.55万元，住房保障支出8.27万元。</w:t>
      </w:r>
    </w:p>
    <w:p>
      <w:pPr>
        <w:pStyle w:val="2"/>
        <w:rPr>
          <w:rFonts w:ascii="仿宋" w:hAnsi="仿宋" w:eastAsia="仿宋" w:cs="Times New Roman"/>
          <w:bCs/>
          <w:color w:val="383838"/>
          <w:sz w:val="32"/>
          <w:shd w:val="clear" w:color="auto" w:fill="FFFFFF"/>
        </w:rPr>
      </w:pPr>
    </w:p>
    <w:p>
      <w:pPr>
        <w:pStyle w:val="2"/>
        <w:rPr>
          <w:rFonts w:ascii="仿宋" w:hAnsi="仿宋" w:eastAsia="仿宋" w:cs="Times New Roman"/>
          <w:bCs/>
          <w:color w:val="383838"/>
          <w:sz w:val="32"/>
          <w:shd w:val="clear" w:color="auto" w:fill="FFFFFF"/>
        </w:rPr>
      </w:pPr>
    </w:p>
    <w:p>
      <w:pPr>
        <w:pStyle w:val="2"/>
        <w:rPr>
          <w:rFonts w:ascii="仿宋" w:hAnsi="仿宋" w:eastAsia="仿宋" w:cs="Times New Roman"/>
          <w:bCs/>
          <w:color w:val="383838"/>
          <w:sz w:val="32"/>
          <w:shd w:val="clear" w:color="auto" w:fill="FFFFFF"/>
        </w:rPr>
      </w:pPr>
    </w:p>
    <w:p>
      <w:pPr>
        <w:shd w:val="solid" w:color="FFFFFF" w:fill="auto"/>
        <w:autoSpaceDN w:val="0"/>
        <w:spacing w:line="640" w:lineRule="exact"/>
        <w:ind w:firstLine="640" w:firstLineChars="200"/>
        <w:rPr>
          <w:rFonts w:ascii="仿宋" w:hAnsi="仿宋" w:eastAsia="仿宋" w:cs="Times New Roman"/>
          <w:b/>
          <w:color w:val="383838"/>
          <w:sz w:val="32"/>
          <w:shd w:val="clear" w:color="auto" w:fill="FFFFFF"/>
        </w:rPr>
      </w:pPr>
      <w:r>
        <w:rPr>
          <w:rFonts w:hint="eastAsia" w:ascii="仿宋" w:hAnsi="仿宋" w:eastAsia="仿宋" w:cs="Times New Roman"/>
          <w:b/>
          <w:color w:val="383838"/>
          <w:sz w:val="32"/>
          <w:shd w:val="clear" w:color="auto" w:fill="FFFFFF"/>
        </w:rPr>
        <w:t>2.“三公”经费情况</w:t>
      </w:r>
    </w:p>
    <w:p>
      <w:pPr>
        <w:shd w:val="solid" w:color="FFFFFF" w:fill="auto"/>
        <w:autoSpaceDN w:val="0"/>
        <w:spacing w:line="64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20</w:t>
      </w:r>
      <w:r>
        <w:rPr>
          <w:rFonts w:hint="eastAsia" w:ascii="仿宋" w:hAnsi="仿宋" w:eastAsia="仿宋" w:cs="仿宋"/>
          <w:color w:val="333333"/>
          <w:spacing w:val="-2"/>
          <w:sz w:val="28"/>
          <w:szCs w:val="28"/>
        </w:rPr>
        <w:t>20</w:t>
      </w:r>
      <w:r>
        <w:rPr>
          <w:rFonts w:hint="eastAsia" w:ascii="仿宋" w:hAnsi="仿宋" w:eastAsia="仿宋" w:cs="Times New Roman"/>
          <w:bCs/>
          <w:color w:val="383838"/>
          <w:sz w:val="32"/>
          <w:shd w:val="clear" w:color="auto" w:fill="FFFFFF"/>
        </w:rPr>
        <w:t>年“三公”经费实际支出21万元，其中公务接待12万元，公务用车运行维护费9万元，2020年“三公”经费比上年减少6.46万元。</w:t>
      </w:r>
    </w:p>
    <w:p>
      <w:pPr>
        <w:shd w:val="solid" w:color="FFFFFF" w:fill="auto"/>
        <w:autoSpaceDN w:val="0"/>
        <w:spacing w:line="64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我镇三公经费严格按照年初预算以及各级部门相关要求，严把支出关，强化制度执行。切实做好厉行节约工作，全面落实各项管理制度要求，努力降低行政成本。严格公务接待费、差旅费、会议费和培训费审核审批程序，加强对公务用车的管理，实行限额把关、一支笔审批制度，做到一事一公函、一事一审批、一事一结账，会议费和培训费严格按年初计划和制度规定的标准执行。各项费用报账支出严格履行报账单“一单五签”程序，重大事项严格遵守：“三重一大”制度。</w:t>
      </w:r>
    </w:p>
    <w:p>
      <w:pPr>
        <w:shd w:val="solid" w:color="FFFFFF" w:fill="auto"/>
        <w:autoSpaceDN w:val="0"/>
        <w:spacing w:line="640" w:lineRule="exact"/>
        <w:ind w:firstLine="640" w:firstLineChars="200"/>
        <w:rPr>
          <w:rFonts w:ascii="仿宋" w:hAnsi="仿宋" w:eastAsia="仿宋" w:cs="Times New Roman"/>
          <w:b/>
          <w:color w:val="383838"/>
          <w:sz w:val="32"/>
          <w:shd w:val="clear" w:color="auto" w:fill="FFFFFF"/>
        </w:rPr>
      </w:pPr>
      <w:r>
        <w:rPr>
          <w:rFonts w:hint="eastAsia" w:ascii="仿宋" w:hAnsi="仿宋" w:eastAsia="仿宋" w:cs="Times New Roman"/>
          <w:b/>
          <w:color w:val="383838"/>
          <w:sz w:val="32"/>
          <w:shd w:val="clear" w:color="auto" w:fill="FFFFFF"/>
        </w:rPr>
        <w:t>3.项目支出</w:t>
      </w:r>
    </w:p>
    <w:p>
      <w:pPr>
        <w:shd w:val="solid" w:color="FFFFFF" w:fill="auto"/>
        <w:autoSpaceDN w:val="0"/>
        <w:spacing w:line="64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20</w:t>
      </w:r>
      <w:r>
        <w:rPr>
          <w:rFonts w:hint="eastAsia" w:ascii="仿宋" w:hAnsi="仿宋" w:eastAsia="仿宋" w:cs="仿宋"/>
          <w:color w:val="333333"/>
          <w:spacing w:val="-2"/>
          <w:sz w:val="28"/>
          <w:szCs w:val="28"/>
        </w:rPr>
        <w:t>20</w:t>
      </w:r>
      <w:r>
        <w:rPr>
          <w:rFonts w:hint="eastAsia" w:ascii="仿宋" w:hAnsi="仿宋" w:eastAsia="仿宋" w:cs="Times New Roman"/>
          <w:bCs/>
          <w:color w:val="383838"/>
          <w:sz w:val="32"/>
          <w:shd w:val="clear" w:color="auto" w:fill="FFFFFF"/>
        </w:rPr>
        <w:t>年年初预算批复的项目支出为467.87万元，2020年决算项目支出620.68万元，其中：一般公共服务支出35.88万元，社会保障和就业支出8万元，城乡社区支出60万元，农林水支出516.8万元。</w:t>
      </w:r>
    </w:p>
    <w:p>
      <w:pPr>
        <w:shd w:val="solid" w:color="FFFFFF" w:fill="auto"/>
        <w:autoSpaceDN w:val="0"/>
        <w:spacing w:line="64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项目的开展主要根据县委县政府的安排，绩效总目标和阶段性目标都已按照计划完成，未逾期。所有开支均按照我单位财务管理制度执行，资金的使用严格把关。</w:t>
      </w:r>
    </w:p>
    <w:p>
      <w:pPr>
        <w:pStyle w:val="2"/>
      </w:pPr>
    </w:p>
    <w:p>
      <w:pPr>
        <w:spacing w:beforeLines="100" w:line="600" w:lineRule="exact"/>
        <w:ind w:firstLine="640" w:firstLineChars="200"/>
        <w:rPr>
          <w:rFonts w:ascii="黑体" w:eastAsia="黑体"/>
          <w:sz w:val="32"/>
          <w:szCs w:val="32"/>
        </w:rPr>
      </w:pPr>
      <w:r>
        <w:rPr>
          <w:rFonts w:hint="eastAsia" w:ascii="黑体" w:eastAsia="黑体"/>
          <w:sz w:val="32"/>
          <w:szCs w:val="32"/>
        </w:rPr>
        <w:t>四、绩效评价工作情况</w:t>
      </w:r>
    </w:p>
    <w:p>
      <w:pPr>
        <w:spacing w:line="580" w:lineRule="exact"/>
        <w:ind w:firstLine="640" w:firstLineChars="200"/>
        <w:rPr>
          <w:rFonts w:ascii="仿宋" w:hAnsi="仿宋" w:eastAsia="仿宋" w:cs="Times New Roman"/>
          <w:bCs/>
          <w:color w:val="383838"/>
          <w:sz w:val="32"/>
          <w:szCs w:val="24"/>
          <w:shd w:val="clear" w:color="auto" w:fill="FFFFFF"/>
        </w:rPr>
      </w:pPr>
      <w:r>
        <w:rPr>
          <w:rFonts w:hint="eastAsia" w:ascii="仿宋" w:hAnsi="仿宋" w:eastAsia="仿宋" w:cs="Times New Roman"/>
          <w:bCs/>
          <w:color w:val="383838"/>
          <w:sz w:val="32"/>
          <w:szCs w:val="24"/>
          <w:shd w:val="clear" w:color="auto" w:fill="FFFFFF"/>
        </w:rPr>
        <w:t>（一）评价目的</w:t>
      </w:r>
    </w:p>
    <w:p>
      <w:pPr>
        <w:spacing w:line="580" w:lineRule="exact"/>
        <w:ind w:firstLine="640" w:firstLineChars="200"/>
        <w:rPr>
          <w:rFonts w:ascii="仿宋" w:hAnsi="仿宋" w:eastAsia="仿宋" w:cs="Times New Roman"/>
          <w:bCs/>
          <w:color w:val="383838"/>
          <w:sz w:val="32"/>
          <w:szCs w:val="24"/>
          <w:shd w:val="clear" w:color="auto" w:fill="FFFFFF"/>
        </w:rPr>
      </w:pPr>
      <w:r>
        <w:rPr>
          <w:rFonts w:hint="eastAsia" w:ascii="仿宋" w:hAnsi="仿宋" w:eastAsia="仿宋" w:cs="Times New Roman"/>
          <w:bCs/>
          <w:color w:val="383838"/>
          <w:sz w:val="32"/>
          <w:szCs w:val="24"/>
          <w:shd w:val="clear" w:color="auto" w:fill="FFFFFF"/>
        </w:rPr>
        <w:t>通过全面开展财政支出绩效评价，强化财政支出绩效理念，科学合理编制年度预算，切实发挥财政资金资源配置作用，逐步建立以科学理财为基础，以精细化管理为手段，以评价结果为导向，以实施过程为监管对象的预算管理体系。同时可以使我镇的各项指标数据更加清晰明了，有利于我镇2021年各项工作的开展。</w:t>
      </w:r>
    </w:p>
    <w:p>
      <w:pPr>
        <w:spacing w:line="580" w:lineRule="exact"/>
        <w:ind w:firstLine="640" w:firstLineChars="200"/>
        <w:rPr>
          <w:rFonts w:ascii="仿宋" w:hAnsi="仿宋" w:eastAsia="仿宋" w:cs="Times New Roman"/>
          <w:bCs/>
          <w:color w:val="383838"/>
          <w:sz w:val="32"/>
          <w:szCs w:val="24"/>
          <w:shd w:val="clear" w:color="auto" w:fill="FFFFFF"/>
        </w:rPr>
      </w:pPr>
      <w:r>
        <w:rPr>
          <w:rFonts w:hint="eastAsia" w:ascii="仿宋" w:hAnsi="仿宋" w:eastAsia="仿宋" w:cs="Times New Roman"/>
          <w:bCs/>
          <w:color w:val="383838"/>
          <w:sz w:val="32"/>
          <w:szCs w:val="24"/>
          <w:shd w:val="clear" w:color="auto" w:fill="FFFFFF"/>
        </w:rPr>
        <w:t>（二）评价方法</w:t>
      </w:r>
    </w:p>
    <w:p>
      <w:pPr>
        <w:spacing w:line="580" w:lineRule="exact"/>
        <w:ind w:firstLine="640" w:firstLineChars="200"/>
        <w:rPr>
          <w:rFonts w:ascii="仿宋" w:hAnsi="仿宋" w:eastAsia="仿宋" w:cs="Times New Roman"/>
          <w:bCs/>
          <w:color w:val="383838"/>
          <w:sz w:val="32"/>
          <w:szCs w:val="24"/>
          <w:shd w:val="clear" w:color="auto" w:fill="FFFFFF"/>
        </w:rPr>
      </w:pPr>
      <w:r>
        <w:rPr>
          <w:rFonts w:hint="eastAsia" w:ascii="仿宋" w:hAnsi="仿宋" w:eastAsia="仿宋" w:cs="Times New Roman"/>
          <w:bCs/>
          <w:color w:val="383838"/>
          <w:sz w:val="32"/>
          <w:szCs w:val="24"/>
          <w:shd w:val="clear" w:color="auto" w:fill="FFFFFF"/>
        </w:rPr>
        <w:t>根据衡南县财政局《衡南县预算绩效管理工作考核办法》（南财预[2015]174号）及县财政局会议精神，我镇成立了绩效评价工作组，于2021年10月中旬起开展了部门整体支出绩效评价工作，具体工作方法包括：</w:t>
      </w:r>
    </w:p>
    <w:p>
      <w:pPr>
        <w:spacing w:line="580" w:lineRule="exact"/>
        <w:ind w:firstLine="640" w:firstLineChars="200"/>
        <w:rPr>
          <w:rFonts w:ascii="仿宋" w:hAnsi="仿宋" w:eastAsia="仿宋" w:cs="Times New Roman"/>
          <w:bCs/>
          <w:color w:val="383838"/>
          <w:sz w:val="32"/>
          <w:szCs w:val="24"/>
          <w:shd w:val="clear" w:color="auto" w:fill="FFFFFF"/>
        </w:rPr>
      </w:pPr>
      <w:r>
        <w:rPr>
          <w:rFonts w:hint="eastAsia" w:ascii="仿宋" w:hAnsi="仿宋" w:eastAsia="仿宋" w:cs="Times New Roman"/>
          <w:bCs/>
          <w:color w:val="383838"/>
          <w:sz w:val="32"/>
          <w:szCs w:val="24"/>
          <w:shd w:val="clear" w:color="auto" w:fill="FFFFFF"/>
        </w:rPr>
        <w:t>1、查阅资料。查阅2020年度预算安排、预算追加、经费支出、资金管理、资产管理等相关文件资料和财务凭证。</w:t>
      </w:r>
    </w:p>
    <w:p>
      <w:pPr>
        <w:spacing w:line="580" w:lineRule="exact"/>
        <w:ind w:firstLine="640" w:firstLineChars="200"/>
        <w:rPr>
          <w:rFonts w:ascii="仿宋" w:hAnsi="仿宋" w:eastAsia="仿宋" w:cs="Times New Roman"/>
          <w:bCs/>
          <w:color w:val="383838"/>
          <w:sz w:val="32"/>
          <w:szCs w:val="24"/>
          <w:shd w:val="clear" w:color="auto" w:fill="FFFFFF"/>
        </w:rPr>
      </w:pPr>
      <w:r>
        <w:rPr>
          <w:rFonts w:hint="eastAsia" w:ascii="仿宋" w:hAnsi="仿宋" w:eastAsia="仿宋" w:cs="Times New Roman"/>
          <w:bCs/>
          <w:color w:val="383838"/>
          <w:sz w:val="32"/>
          <w:szCs w:val="24"/>
          <w:shd w:val="clear" w:color="auto" w:fill="FFFFFF"/>
        </w:rPr>
        <w:t>2、核实数据。对2020年度部门整体支出数据的准确性、真实性进行核实，将2020年度部门整体支出情况与2020年度预算情况、2020年度部门整体支出情况进行比较分析。</w:t>
      </w:r>
    </w:p>
    <w:p>
      <w:pPr>
        <w:spacing w:line="580" w:lineRule="exact"/>
        <w:ind w:firstLine="640" w:firstLineChars="200"/>
        <w:rPr>
          <w:rFonts w:ascii="仿宋" w:hAnsi="仿宋" w:eastAsia="仿宋" w:cs="Times New Roman"/>
          <w:bCs/>
          <w:color w:val="383838"/>
          <w:sz w:val="32"/>
          <w:szCs w:val="24"/>
          <w:shd w:val="clear" w:color="auto" w:fill="FFFFFF"/>
        </w:rPr>
      </w:pPr>
      <w:r>
        <w:rPr>
          <w:rFonts w:hint="eastAsia" w:ascii="仿宋" w:hAnsi="仿宋" w:eastAsia="仿宋" w:cs="Times New Roman"/>
          <w:bCs/>
          <w:color w:val="383838"/>
          <w:sz w:val="32"/>
          <w:szCs w:val="24"/>
          <w:shd w:val="clear" w:color="auto" w:fill="FFFFFF"/>
        </w:rPr>
        <w:t>3、实地查看。现场查看各类实物资产。</w:t>
      </w:r>
    </w:p>
    <w:p>
      <w:pPr>
        <w:spacing w:line="580" w:lineRule="exact"/>
        <w:ind w:firstLine="640" w:firstLineChars="200"/>
        <w:rPr>
          <w:rFonts w:ascii="仿宋" w:hAnsi="仿宋" w:eastAsia="仿宋" w:cs="Times New Roman"/>
          <w:bCs/>
          <w:color w:val="383838"/>
          <w:sz w:val="32"/>
          <w:szCs w:val="24"/>
          <w:shd w:val="clear" w:color="auto" w:fill="FFFFFF"/>
        </w:rPr>
      </w:pPr>
      <w:r>
        <w:rPr>
          <w:rFonts w:hint="eastAsia" w:ascii="仿宋" w:hAnsi="仿宋" w:eastAsia="仿宋" w:cs="Times New Roman"/>
          <w:bCs/>
          <w:color w:val="383838"/>
          <w:sz w:val="32"/>
          <w:szCs w:val="24"/>
          <w:shd w:val="clear" w:color="auto" w:fill="FFFFFF"/>
        </w:rPr>
        <w:t>4、汇总归纳。根据取得的各项数据及文件资料，结合现场评价情况进行综合分析、归纳汇总，填写基础数据表、评价指标评分表。</w:t>
      </w:r>
    </w:p>
    <w:p>
      <w:pPr>
        <w:spacing w:line="580" w:lineRule="exact"/>
        <w:ind w:firstLine="640" w:firstLineChars="200"/>
        <w:rPr>
          <w:rFonts w:ascii="仿宋" w:hAnsi="仿宋" w:eastAsia="仿宋" w:cs="Times New Roman"/>
          <w:bCs/>
          <w:color w:val="383838"/>
          <w:sz w:val="32"/>
          <w:szCs w:val="24"/>
          <w:shd w:val="clear" w:color="auto" w:fill="FFFFFF"/>
        </w:rPr>
      </w:pPr>
      <w:r>
        <w:rPr>
          <w:rFonts w:hint="eastAsia" w:ascii="仿宋" w:hAnsi="仿宋" w:eastAsia="仿宋" w:cs="Times New Roman"/>
          <w:bCs/>
          <w:color w:val="383838"/>
          <w:sz w:val="32"/>
          <w:szCs w:val="24"/>
          <w:shd w:val="clear" w:color="auto" w:fill="FFFFFF"/>
        </w:rPr>
        <w:t>5、形成绩效评价报告。</w:t>
      </w:r>
    </w:p>
    <w:p>
      <w:pPr>
        <w:spacing w:line="640" w:lineRule="exact"/>
        <w:ind w:firstLine="640" w:firstLineChars="200"/>
        <w:rPr>
          <w:rFonts w:ascii="仿宋" w:hAnsi="仿宋" w:eastAsia="仿宋" w:cs="Times New Roman"/>
          <w:bCs/>
          <w:color w:val="383838"/>
          <w:sz w:val="32"/>
          <w:shd w:val="clear" w:color="auto" w:fill="FFFFFF"/>
        </w:rPr>
      </w:pPr>
      <w:r>
        <w:rPr>
          <w:rFonts w:hint="eastAsia" w:ascii="黑体" w:eastAsia="黑体"/>
          <w:sz w:val="32"/>
          <w:szCs w:val="32"/>
        </w:rPr>
        <w:t>五、部门总体支出绩效评价</w:t>
      </w:r>
    </w:p>
    <w:p>
      <w:pPr>
        <w:spacing w:line="64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2020年我镇根据年初工作规划及财政预算计划，积极履职、强化管理，较好的完成了年度工作目标。通过加强预算收支管理、不断建立健全内部管理制度、梳理内部管理流程，部门整体支出管理情况得到提升。我镇2020年度部门整体支出绩效评价自评得分为95.5分。具体工作主要体现在以下几个方面：</w:t>
      </w:r>
    </w:p>
    <w:p>
      <w:pPr>
        <w:spacing w:line="64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一是进一步规范财务管理，加强预算管理。根据中央八项规定</w:t>
      </w:r>
      <w:bookmarkStart w:id="0" w:name="_GoBack"/>
      <w:bookmarkEnd w:id="0"/>
      <w:r>
        <w:rPr>
          <w:rFonts w:hint="eastAsia" w:ascii="仿宋" w:hAnsi="仿宋" w:eastAsia="仿宋" w:cs="Times New Roman"/>
          <w:bCs/>
          <w:color w:val="383838"/>
          <w:sz w:val="32"/>
          <w:shd w:val="clear" w:color="auto" w:fill="FFFFFF"/>
        </w:rPr>
        <w:t>精神以及财务管理方面的法律、法规和审计等部门的意见，我镇对机关财务管理制度进一步进行了完善。同时，在财务开支把关方面认真执行相关文件并严格财务开支审批程序，加强对差旅费、会议费、接待费、公务用车运行经费等各项开支的管理。重点保障机关运转及重点工作的需要，大力压缩一般性支出，提高财政资金使用效益。编制内在职人员控制率小于100%，支出总额控制在预算总额以内。</w:t>
      </w:r>
    </w:p>
    <w:p>
      <w:pPr>
        <w:spacing w:line="64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二是依法依规公开部门预决算。根据全县部门预决算公开工作统一安排部署，我部公开了2020年部门预算和“三公”经费预算，社会反响良好，圆满完成了“三公”经费预算公开工作。</w:t>
      </w:r>
    </w:p>
    <w:p>
      <w:pPr>
        <w:spacing w:line="64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三是加强资产管理。建立了资产管理制度，固定资产利用率高于90%，定期进行了资产盘点和资产清理，总体执行情况良好。</w:t>
      </w:r>
    </w:p>
    <w:p>
      <w:pPr>
        <w:spacing w:line="64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四是资金效益方面。在资金监管同时对各年龄层次的村民群众进行公众满意度进行调查，就水污染改善、河道清理、农村清洁工程、生活压力、居住条件、街道绿化、乡村及镇区风貌、出行便捷与否、村民活动场所建设、文化设施建设、治安情况、基础设施建设等多面方面的内容调查，通过调查分析获取了人民群众对生态环境的健康度、居住生活的舒适度、工作出行的便捷度、居住生活的安全度各方面的评价，，满意度程度达到百分之九十八分。</w:t>
      </w:r>
    </w:p>
    <w:p>
      <w:pPr>
        <w:spacing w:line="640" w:lineRule="exact"/>
        <w:ind w:firstLine="640" w:firstLineChars="200"/>
        <w:rPr>
          <w:rFonts w:ascii="仿宋" w:hAnsi="仿宋" w:eastAsia="仿宋" w:cs="Times New Roman"/>
          <w:bCs/>
          <w:color w:val="383838"/>
          <w:sz w:val="32"/>
          <w:shd w:val="clear" w:color="auto" w:fill="FFFFFF"/>
        </w:rPr>
      </w:pPr>
      <w:r>
        <w:rPr>
          <w:rFonts w:hint="eastAsia" w:ascii="仿宋" w:hAnsi="仿宋" w:eastAsia="仿宋" w:cs="Times New Roman"/>
          <w:bCs/>
          <w:color w:val="383838"/>
          <w:sz w:val="32"/>
          <w:shd w:val="clear" w:color="auto" w:fill="FFFFFF"/>
        </w:rPr>
        <w:t>五是项目支出方面，主要是村级转移支付和新农村建设。村级转移性支付项目主要用于村级工作运转，包含村干部工资、妇女及小组长工资、村级办公运转经费、离任村干生活补助、会议误工、交通补助以及其他支出，其他支出包含农村清洁工程资金等。2020年村级转移支付项目支付到达村账村均金额超过县级下达拨付的最低标准，及时、达标的完成了支付，充分保障了村干办公、村委的正常合理支出，得到村干部及民众的好评。新农村建设资金主要用于村组道路修建、维修、硬化，塘坝扩容、硬化、河道清淤、硬化等农村基础设施建设，方便群众出行，改善饮水、加强灌溉，得到了民众的高度认可。</w:t>
      </w:r>
    </w:p>
    <w:p>
      <w:pPr>
        <w:spacing w:beforeLines="182" w:afterLines="50" w:line="600" w:lineRule="exact"/>
        <w:rPr>
          <w:rFonts w:ascii="黑体" w:eastAsia="黑体"/>
          <w:sz w:val="32"/>
          <w:szCs w:val="32"/>
        </w:rPr>
      </w:pPr>
      <w:r>
        <w:rPr>
          <w:rFonts w:hint="eastAsia" w:ascii="黑体" w:eastAsia="黑体"/>
          <w:sz w:val="32"/>
          <w:szCs w:val="32"/>
        </w:rPr>
        <w:t>六、存在的主要问题</w:t>
      </w:r>
    </w:p>
    <w:p>
      <w:pPr>
        <w:pStyle w:val="6"/>
        <w:spacing w:beforeAutospacing="0" w:after="0" w:afterAutospacing="0" w:line="600" w:lineRule="exact"/>
        <w:ind w:firstLine="420"/>
        <w:jc w:val="both"/>
        <w:rPr>
          <w:rFonts w:ascii="仿宋" w:hAnsi="仿宋" w:eastAsia="仿宋" w:cs="Times New Roman"/>
          <w:bCs/>
          <w:color w:val="383838"/>
          <w:kern w:val="2"/>
          <w:sz w:val="32"/>
          <w:shd w:val="clear" w:color="auto" w:fill="FFFFFF"/>
        </w:rPr>
      </w:pPr>
      <w:r>
        <w:rPr>
          <w:rFonts w:hint="eastAsia" w:ascii="仿宋" w:hAnsi="仿宋" w:eastAsia="仿宋" w:cs="Times New Roman"/>
          <w:bCs/>
          <w:color w:val="383838"/>
          <w:kern w:val="2"/>
          <w:sz w:val="32"/>
          <w:shd w:val="clear" w:color="auto" w:fill="FFFFFF"/>
        </w:rPr>
        <w:t>1.预决算项目支出编制需进一步明确、精细化。同时项目执行率需进一步提高。</w:t>
      </w:r>
    </w:p>
    <w:p>
      <w:pPr>
        <w:pStyle w:val="6"/>
        <w:spacing w:before="0" w:beforeAutospacing="0" w:afterAutospacing="0" w:line="600" w:lineRule="exact"/>
        <w:ind w:firstLine="420"/>
        <w:jc w:val="both"/>
        <w:rPr>
          <w:rFonts w:ascii="仿宋" w:hAnsi="仿宋" w:eastAsia="仿宋" w:cs="Times New Roman"/>
          <w:bCs/>
          <w:color w:val="383838"/>
          <w:kern w:val="2"/>
          <w:sz w:val="32"/>
          <w:shd w:val="clear" w:color="auto" w:fill="FFFFFF"/>
        </w:rPr>
      </w:pPr>
      <w:r>
        <w:rPr>
          <w:rFonts w:hint="eastAsia" w:ascii="仿宋" w:hAnsi="仿宋" w:eastAsia="仿宋" w:cs="Times New Roman"/>
          <w:bCs/>
          <w:color w:val="383838"/>
          <w:kern w:val="2"/>
          <w:sz w:val="32"/>
          <w:shd w:val="clear" w:color="auto" w:fill="FFFFFF"/>
        </w:rPr>
        <w:t>2. 随着对预、决算编制工作水平要求越来越高，数据编制要求越来越精准、规范；时间紧、任务大；加之现行决算工作与实际账务处理工作间衔接还存在一定差异；会计人员业务明显增加，人员紧缺，加之业务操作水平有限，实际操作中确实感到力不从心。</w:t>
      </w:r>
    </w:p>
    <w:p>
      <w:pPr>
        <w:spacing w:beforeLines="50" w:afterLines="50" w:line="600" w:lineRule="exact"/>
        <w:rPr>
          <w:rFonts w:ascii="黑体" w:eastAsia="黑体"/>
          <w:sz w:val="32"/>
          <w:szCs w:val="32"/>
        </w:rPr>
      </w:pPr>
      <w:r>
        <w:rPr>
          <w:rFonts w:hint="eastAsia" w:ascii="黑体" w:eastAsia="黑体"/>
          <w:sz w:val="32"/>
          <w:szCs w:val="32"/>
        </w:rPr>
        <w:t>七、改进措施及建议</w:t>
      </w:r>
    </w:p>
    <w:p>
      <w:pPr>
        <w:pStyle w:val="6"/>
        <w:spacing w:beforeAutospacing="0" w:after="0" w:afterAutospacing="0" w:line="600" w:lineRule="exact"/>
        <w:ind w:firstLine="420"/>
        <w:jc w:val="both"/>
        <w:rPr>
          <w:rFonts w:ascii="仿宋" w:hAnsi="仿宋" w:eastAsia="仿宋" w:cs="Times New Roman"/>
          <w:bCs/>
          <w:color w:val="383838"/>
          <w:kern w:val="2"/>
          <w:sz w:val="32"/>
          <w:shd w:val="clear" w:color="auto" w:fill="FFFFFF"/>
        </w:rPr>
      </w:pPr>
      <w:r>
        <w:rPr>
          <w:rFonts w:hint="eastAsia" w:ascii="仿宋" w:hAnsi="仿宋" w:eastAsia="仿宋" w:cs="Times New Roman"/>
          <w:bCs/>
          <w:color w:val="383838"/>
          <w:kern w:val="2"/>
          <w:sz w:val="32"/>
          <w:shd w:val="clear" w:color="auto" w:fill="FFFFFF"/>
        </w:rPr>
        <w:t>1、加强财务管理，严格财务审核。加强单位财务管理，健全单位财务管理制度体系，规范单位财务行为。在费用报账支付时，按照预算规定的费用项目和用途进行资金使用审核、财务严格核算，杜绝超支现象的发生。</w:t>
      </w:r>
    </w:p>
    <w:p>
      <w:pPr>
        <w:pStyle w:val="6"/>
        <w:spacing w:before="0" w:beforeAutospacing="0" w:after="0" w:afterAutospacing="0" w:line="600" w:lineRule="exact"/>
        <w:ind w:firstLine="420"/>
        <w:jc w:val="both"/>
        <w:rPr>
          <w:rFonts w:ascii="仿宋" w:hAnsi="仿宋" w:eastAsia="仿宋" w:cs="Times New Roman"/>
          <w:bCs/>
          <w:color w:val="383838"/>
          <w:kern w:val="2"/>
          <w:sz w:val="32"/>
          <w:shd w:val="clear" w:color="auto" w:fill="FFFFFF"/>
        </w:rPr>
      </w:pPr>
      <w:r>
        <w:rPr>
          <w:rFonts w:hint="eastAsia" w:ascii="仿宋" w:hAnsi="仿宋" w:eastAsia="仿宋" w:cs="Times New Roman"/>
          <w:bCs/>
          <w:color w:val="383838"/>
          <w:kern w:val="2"/>
          <w:sz w:val="32"/>
          <w:shd w:val="clear" w:color="auto" w:fill="FFFFFF"/>
        </w:rPr>
        <w:t>2、合理安排会计岗位，强烈要求提升村级会计人员工作能力，增加业务知识培训，加强决算工作与财务处理工作对接。   </w:t>
      </w:r>
    </w:p>
    <w:sectPr>
      <w:pgSz w:w="11906" w:h="16838"/>
      <w:pgMar w:top="720" w:right="1361" w:bottom="720" w:left="130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swiss"/>
    <w:pitch w:val="default"/>
    <w:sig w:usb0="E0002E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7BE252"/>
    <w:multiLevelType w:val="singleLevel"/>
    <w:tmpl w:val="907BE252"/>
    <w:lvl w:ilvl="0" w:tentative="0">
      <w:start w:val="1"/>
      <w:numFmt w:val="chineseCounting"/>
      <w:suff w:val="nothing"/>
      <w:lvlText w:val="（%1）"/>
      <w:lvlJc w:val="left"/>
      <w:rPr>
        <w:rFonts w:hint="eastAsia"/>
      </w:rPr>
    </w:lvl>
  </w:abstractNum>
  <w:abstractNum w:abstractNumId="1">
    <w:nsid w:val="BD8335D2"/>
    <w:multiLevelType w:val="singleLevel"/>
    <w:tmpl w:val="BD8335D2"/>
    <w:lvl w:ilvl="0" w:tentative="0">
      <w:start w:val="8"/>
      <w:numFmt w:val="decimal"/>
      <w:suff w:val="space"/>
      <w:lvlText w:val="%1."/>
      <w:lvlJc w:val="left"/>
    </w:lvl>
  </w:abstractNum>
  <w:abstractNum w:abstractNumId="2">
    <w:nsid w:val="E975FB92"/>
    <w:multiLevelType w:val="singleLevel"/>
    <w:tmpl w:val="E975FB92"/>
    <w:lvl w:ilvl="0" w:tentative="0">
      <w:start w:val="1"/>
      <w:numFmt w:val="decimal"/>
      <w:suff w:val="nothing"/>
      <w:lvlText w:val="%1、"/>
      <w:lvlJc w:val="left"/>
    </w:lvl>
  </w:abstractNum>
  <w:abstractNum w:abstractNumId="3">
    <w:nsid w:val="172C013C"/>
    <w:multiLevelType w:val="singleLevel"/>
    <w:tmpl w:val="172C013C"/>
    <w:lvl w:ilvl="0" w:tentative="0">
      <w:start w:val="1"/>
      <w:numFmt w:val="decimal"/>
      <w:suff w:val="nothing"/>
      <w:lvlText w:val="%1、"/>
      <w:lvlJc w:val="left"/>
      <w:pPr>
        <w:ind w:left="-10"/>
      </w:pPr>
    </w:lvl>
  </w:abstractNum>
  <w:abstractNum w:abstractNumId="4">
    <w:nsid w:val="26845A6E"/>
    <w:multiLevelType w:val="singleLevel"/>
    <w:tmpl w:val="26845A6E"/>
    <w:lvl w:ilvl="0" w:tentative="0">
      <w:start w:val="2"/>
      <w:numFmt w:val="chineseCounting"/>
      <w:suff w:val="nothing"/>
      <w:lvlText w:val="（%1）"/>
      <w:lvlJc w:val="left"/>
      <w:rPr>
        <w:rFonts w:hint="eastAsia"/>
      </w:rPr>
    </w:lvl>
  </w:abstractNum>
  <w:abstractNum w:abstractNumId="5">
    <w:nsid w:val="2E11F8F3"/>
    <w:multiLevelType w:val="singleLevel"/>
    <w:tmpl w:val="2E11F8F3"/>
    <w:lvl w:ilvl="0" w:tentative="0">
      <w:start w:val="1"/>
      <w:numFmt w:val="chineseCounting"/>
      <w:suff w:val="nothing"/>
      <w:lvlText w:val="%1、"/>
      <w:lvlJc w:val="left"/>
      <w:rPr>
        <w:rFonts w:hint="eastAsia"/>
      </w:rPr>
    </w:lvl>
  </w:abstractNum>
  <w:abstractNum w:abstractNumId="6">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4C701C84"/>
    <w:multiLevelType w:val="singleLevel"/>
    <w:tmpl w:val="4C701C84"/>
    <w:lvl w:ilvl="0" w:tentative="0">
      <w:start w:val="1"/>
      <w:numFmt w:val="chineseCounting"/>
      <w:suff w:val="nothing"/>
      <w:lvlText w:val="%1、"/>
      <w:lvlJc w:val="left"/>
      <w:pPr>
        <w:ind w:left="1050" w:firstLine="0"/>
      </w:pPr>
      <w:rPr>
        <w:rFonts w:hint="eastAsia"/>
      </w:rPr>
    </w:lvl>
  </w:abstractNum>
  <w:abstractNum w:abstractNumId="8">
    <w:nsid w:val="55EFAA59"/>
    <w:multiLevelType w:val="singleLevel"/>
    <w:tmpl w:val="55EFAA59"/>
    <w:lvl w:ilvl="0" w:tentative="0">
      <w:start w:val="1"/>
      <w:numFmt w:val="chineseCounting"/>
      <w:suff w:val="nothing"/>
      <w:lvlText w:val="（%1）"/>
      <w:lvlJc w:val="left"/>
      <w:rPr>
        <w:rFonts w:hint="eastAsia"/>
      </w:rPr>
    </w:lvl>
  </w:abstractNum>
  <w:num w:numId="1">
    <w:abstractNumId w:val="6"/>
  </w:num>
  <w:num w:numId="2">
    <w:abstractNumId w:val="2"/>
  </w:num>
  <w:num w:numId="3">
    <w:abstractNumId w:val="1"/>
  </w:num>
  <w:num w:numId="4">
    <w:abstractNumId w:val="4"/>
  </w:num>
  <w:num w:numId="5">
    <w:abstractNumId w:val="5"/>
  </w:num>
  <w:num w:numId="6">
    <w:abstractNumId w:val="7"/>
  </w:num>
  <w:num w:numId="7">
    <w:abstractNumId w:val="8"/>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zgzM2VlNDI5ZmQzOWVmNTE0ZjNlYTUxY2M5ZDk4MDkifQ=="/>
  </w:docVars>
  <w:rsids>
    <w:rsidRoot w:val="004506F9"/>
    <w:rsid w:val="000040DA"/>
    <w:rsid w:val="0002229B"/>
    <w:rsid w:val="000273BD"/>
    <w:rsid w:val="00035368"/>
    <w:rsid w:val="000415B7"/>
    <w:rsid w:val="000658A3"/>
    <w:rsid w:val="00074155"/>
    <w:rsid w:val="000777D3"/>
    <w:rsid w:val="000A3F69"/>
    <w:rsid w:val="000B1A5F"/>
    <w:rsid w:val="000E79FC"/>
    <w:rsid w:val="00141F70"/>
    <w:rsid w:val="00152C6D"/>
    <w:rsid w:val="00162D39"/>
    <w:rsid w:val="001A67DB"/>
    <w:rsid w:val="001D51E5"/>
    <w:rsid w:val="001D7DBF"/>
    <w:rsid w:val="001F0C3B"/>
    <w:rsid w:val="00214427"/>
    <w:rsid w:val="00236503"/>
    <w:rsid w:val="00265724"/>
    <w:rsid w:val="0027426B"/>
    <w:rsid w:val="00275391"/>
    <w:rsid w:val="002E2553"/>
    <w:rsid w:val="00310E54"/>
    <w:rsid w:val="003479BD"/>
    <w:rsid w:val="003768D5"/>
    <w:rsid w:val="003C5B17"/>
    <w:rsid w:val="004447B8"/>
    <w:rsid w:val="004506F9"/>
    <w:rsid w:val="004717A2"/>
    <w:rsid w:val="0048147C"/>
    <w:rsid w:val="00491741"/>
    <w:rsid w:val="004C1651"/>
    <w:rsid w:val="00500E5F"/>
    <w:rsid w:val="00504E20"/>
    <w:rsid w:val="005122EF"/>
    <w:rsid w:val="00517C33"/>
    <w:rsid w:val="00523644"/>
    <w:rsid w:val="0054069E"/>
    <w:rsid w:val="005767CC"/>
    <w:rsid w:val="00590D9F"/>
    <w:rsid w:val="00595D26"/>
    <w:rsid w:val="005A74E6"/>
    <w:rsid w:val="005D4D55"/>
    <w:rsid w:val="005E2CFB"/>
    <w:rsid w:val="0062378F"/>
    <w:rsid w:val="00651EEC"/>
    <w:rsid w:val="00652FEE"/>
    <w:rsid w:val="006A351B"/>
    <w:rsid w:val="006B0422"/>
    <w:rsid w:val="006C1B53"/>
    <w:rsid w:val="006D7730"/>
    <w:rsid w:val="006E33E6"/>
    <w:rsid w:val="006E5284"/>
    <w:rsid w:val="006F1946"/>
    <w:rsid w:val="006F3EB5"/>
    <w:rsid w:val="00702E34"/>
    <w:rsid w:val="00704395"/>
    <w:rsid w:val="00720FF1"/>
    <w:rsid w:val="0079646A"/>
    <w:rsid w:val="007A19B3"/>
    <w:rsid w:val="007E05DB"/>
    <w:rsid w:val="00800CF2"/>
    <w:rsid w:val="00801C2C"/>
    <w:rsid w:val="00812ED5"/>
    <w:rsid w:val="008277D9"/>
    <w:rsid w:val="008A3E8D"/>
    <w:rsid w:val="009016AF"/>
    <w:rsid w:val="009237C4"/>
    <w:rsid w:val="00942649"/>
    <w:rsid w:val="00950252"/>
    <w:rsid w:val="00967F5D"/>
    <w:rsid w:val="009A0F95"/>
    <w:rsid w:val="009B3ADF"/>
    <w:rsid w:val="009C3B52"/>
    <w:rsid w:val="00A42218"/>
    <w:rsid w:val="00A56579"/>
    <w:rsid w:val="00A574ED"/>
    <w:rsid w:val="00A70249"/>
    <w:rsid w:val="00A947E0"/>
    <w:rsid w:val="00B128B0"/>
    <w:rsid w:val="00B33BEA"/>
    <w:rsid w:val="00B37021"/>
    <w:rsid w:val="00B57C9F"/>
    <w:rsid w:val="00B845B3"/>
    <w:rsid w:val="00B85D8B"/>
    <w:rsid w:val="00BB3F40"/>
    <w:rsid w:val="00BE3674"/>
    <w:rsid w:val="00C0697D"/>
    <w:rsid w:val="00C22F7A"/>
    <w:rsid w:val="00C24DA9"/>
    <w:rsid w:val="00C3049A"/>
    <w:rsid w:val="00C31B1E"/>
    <w:rsid w:val="00C67010"/>
    <w:rsid w:val="00C77645"/>
    <w:rsid w:val="00CA2069"/>
    <w:rsid w:val="00CE04C3"/>
    <w:rsid w:val="00CE76A0"/>
    <w:rsid w:val="00D02754"/>
    <w:rsid w:val="00D148C6"/>
    <w:rsid w:val="00D17642"/>
    <w:rsid w:val="00D94744"/>
    <w:rsid w:val="00DD06FF"/>
    <w:rsid w:val="00DD5FE9"/>
    <w:rsid w:val="00E00C7A"/>
    <w:rsid w:val="00E01863"/>
    <w:rsid w:val="00E55B68"/>
    <w:rsid w:val="00EB5E79"/>
    <w:rsid w:val="00EF29EE"/>
    <w:rsid w:val="00F478C8"/>
    <w:rsid w:val="00F74360"/>
    <w:rsid w:val="00FB3E68"/>
    <w:rsid w:val="00FB462F"/>
    <w:rsid w:val="00FE0C89"/>
    <w:rsid w:val="00FE16FA"/>
    <w:rsid w:val="00FE328A"/>
    <w:rsid w:val="05C0754B"/>
    <w:rsid w:val="0A733E75"/>
    <w:rsid w:val="0A9D5880"/>
    <w:rsid w:val="11531836"/>
    <w:rsid w:val="1B585B30"/>
    <w:rsid w:val="1B776439"/>
    <w:rsid w:val="20C332C3"/>
    <w:rsid w:val="21712609"/>
    <w:rsid w:val="23061558"/>
    <w:rsid w:val="2A2C24F5"/>
    <w:rsid w:val="2C2D7B92"/>
    <w:rsid w:val="3285450C"/>
    <w:rsid w:val="616E017D"/>
    <w:rsid w:val="71EE1406"/>
    <w:rsid w:val="796E28C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autoRedefine/>
    <w:unhideWhenUsed/>
    <w:qFormat/>
    <w:uiPriority w:val="0"/>
    <w:pPr>
      <w:keepNext/>
      <w:keepLines/>
      <w:spacing w:before="260" w:after="260" w:line="413" w:lineRule="auto"/>
      <w:outlineLvl w:val="1"/>
    </w:pPr>
    <w:rPr>
      <w:rFonts w:ascii="Arial" w:hAnsi="Arial" w:eastAsia="黑体"/>
      <w:b/>
      <w:sz w:val="32"/>
    </w:rPr>
  </w:style>
  <w:style w:type="character" w:default="1" w:styleId="8">
    <w:name w:val="Default Paragraph Font"/>
    <w:autoRedefine/>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4">
    <w:name w:val="Balloon Text"/>
    <w:basedOn w:val="1"/>
    <w:link w:val="13"/>
    <w:semiHidden/>
    <w:unhideWhenUsed/>
    <w:qFormat/>
    <w:uiPriority w:val="99"/>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9">
    <w:name w:val="页眉 Char"/>
    <w:basedOn w:val="8"/>
    <w:link w:val="5"/>
    <w:qFormat/>
    <w:uiPriority w:val="99"/>
    <w:rPr>
      <w:sz w:val="18"/>
      <w:szCs w:val="18"/>
    </w:rPr>
  </w:style>
  <w:style w:type="character" w:customStyle="1" w:styleId="10">
    <w:name w:val="页脚 Char"/>
    <w:basedOn w:val="8"/>
    <w:link w:val="2"/>
    <w:qFormat/>
    <w:uiPriority w:val="99"/>
    <w:rPr>
      <w:sz w:val="18"/>
      <w:szCs w:val="18"/>
    </w:rPr>
  </w:style>
  <w:style w:type="paragraph" w:customStyle="1" w:styleId="11">
    <w:name w:val="Default"/>
    <w:autoRedefine/>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2">
    <w:name w:val="List Paragraph"/>
    <w:basedOn w:val="1"/>
    <w:qFormat/>
    <w:uiPriority w:val="34"/>
    <w:pPr>
      <w:ind w:firstLine="420" w:firstLineChars="200"/>
    </w:pPr>
  </w:style>
  <w:style w:type="character" w:customStyle="1" w:styleId="13">
    <w:name w:val="批注框文本 Char"/>
    <w:basedOn w:val="8"/>
    <w:link w:val="4"/>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F77C23-1FBA-4E38-9242-056B1844F100}">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1588</Words>
  <Characters>9058</Characters>
  <Lines>75</Lines>
  <Paragraphs>21</Paragraphs>
  <TotalTime>136</TotalTime>
  <ScaleCrop>false</ScaleCrop>
  <LinksUpToDate>false</LinksUpToDate>
  <CharactersWithSpaces>10625</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2020-09-24T01:10:00Z</dcterms:created>
  <dc:creator>李航 null</dc:creator>
  <cp:lastModifiedBy>茜茜</cp:lastModifiedBy>
  <cp:lastPrinted>2020-09-24T07:08:00Z</cp:lastPrinted>
  <dcterms:modified xsi:type="dcterms:W3CDTF">2025-09-02T02:45:41Z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EE1C2BA76764431198ED20BA4C672295</vt:lpwstr>
  </property>
</Properties>
</file>