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jc w:val="center"/>
        <w:rPr>
          <w:sz w:val="56"/>
          <w:szCs w:val="56"/>
        </w:rPr>
      </w:pPr>
    </w:p>
    <w:p>
      <w:pPr>
        <w:pStyle w:val="10"/>
        <w:jc w:val="center"/>
        <w:rPr>
          <w:sz w:val="56"/>
          <w:szCs w:val="56"/>
        </w:rPr>
      </w:pPr>
    </w:p>
    <w:p>
      <w:pPr>
        <w:pStyle w:val="10"/>
        <w:jc w:val="center"/>
        <w:rPr>
          <w:sz w:val="84"/>
          <w:szCs w:val="84"/>
        </w:rPr>
      </w:pPr>
    </w:p>
    <w:p>
      <w:pPr>
        <w:pStyle w:val="10"/>
        <w:jc w:val="center"/>
        <w:rPr>
          <w:sz w:val="84"/>
          <w:szCs w:val="84"/>
        </w:rPr>
      </w:pPr>
    </w:p>
    <w:p>
      <w:pPr>
        <w:widowControl/>
        <w:jc w:val="center"/>
        <w:rPr>
          <w:rFonts w:ascii="方正小标宋_GBK" w:hAnsi="方正小标宋_GBK" w:eastAsia="方正小标宋_GBK" w:cs="方正小标宋_GBK"/>
          <w:kern w:val="0"/>
          <w:sz w:val="52"/>
          <w:szCs w:val="52"/>
        </w:rPr>
      </w:pPr>
      <w:r>
        <w:rPr>
          <w:rFonts w:hint="eastAsia" w:ascii="方正小标宋_GBK" w:hAnsi="方正小标宋_GBK" w:eastAsia="方正小标宋_GBK" w:cs="方正小标宋_GBK"/>
          <w:kern w:val="0"/>
          <w:sz w:val="52"/>
          <w:szCs w:val="52"/>
        </w:rPr>
        <w:t>衡南县文化旅游广电体育局</w:t>
      </w:r>
    </w:p>
    <w:p>
      <w:pPr>
        <w:widowControl/>
        <w:jc w:val="center"/>
        <w:rPr>
          <w:rFonts w:ascii="方正小标宋_GBK" w:hAnsi="方正小标宋_GBK" w:eastAsia="方正小标宋_GBK" w:cs="方正小标宋_GBK"/>
          <w:kern w:val="0"/>
          <w:sz w:val="52"/>
          <w:szCs w:val="52"/>
        </w:rPr>
      </w:pPr>
      <w:r>
        <w:rPr>
          <w:rFonts w:hint="eastAsia" w:ascii="方正小标宋_GBK" w:hAnsi="方正小标宋_GBK" w:eastAsia="方正小标宋_GBK" w:cs="方正小标宋_GBK"/>
          <w:kern w:val="0"/>
          <w:sz w:val="52"/>
          <w:szCs w:val="52"/>
        </w:rPr>
        <w:t>2020年度部门决算</w:t>
      </w: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56"/>
          <w:szCs w:val="56"/>
        </w:rPr>
      </w:pPr>
    </w:p>
    <w:p>
      <w:pPr>
        <w:pStyle w:val="10"/>
        <w:spacing w:line="540" w:lineRule="exact"/>
        <w:jc w:val="center"/>
        <w:rPr>
          <w:sz w:val="56"/>
          <w:szCs w:val="56"/>
        </w:rPr>
      </w:pPr>
    </w:p>
    <w:p>
      <w:pPr>
        <w:widowControl/>
        <w:jc w:val="left"/>
        <w:rPr>
          <w:rFonts w:ascii="黑体" w:eastAsia="黑体" w:cs="黑体"/>
          <w:color w:val="000000"/>
          <w:kern w:val="0"/>
          <w:sz w:val="56"/>
          <w:szCs w:val="56"/>
        </w:rPr>
      </w:pPr>
      <w:r>
        <w:rPr>
          <w:sz w:val="56"/>
          <w:szCs w:val="56"/>
        </w:rPr>
        <w:br w:type="page"/>
      </w:r>
    </w:p>
    <w:p>
      <w:pPr>
        <w:pStyle w:val="10"/>
        <w:spacing w:line="520" w:lineRule="exact"/>
        <w:jc w:val="center"/>
        <w:rPr>
          <w:sz w:val="56"/>
          <w:szCs w:val="56"/>
        </w:rPr>
      </w:pPr>
      <w:r>
        <w:rPr>
          <w:rFonts w:hint="eastAsia"/>
          <w:sz w:val="56"/>
          <w:szCs w:val="56"/>
        </w:rPr>
        <w:t>目录</w:t>
      </w:r>
    </w:p>
    <w:p>
      <w:pPr>
        <w:pStyle w:val="10"/>
        <w:spacing w:line="520" w:lineRule="exact"/>
        <w:rPr>
          <w:rFonts w:ascii="仿宋_GB2312" w:hAnsi="仿宋_GB2312" w:cs="仿宋_GB2312"/>
          <w:b/>
          <w:sz w:val="28"/>
          <w:szCs w:val="28"/>
        </w:rPr>
      </w:pPr>
      <w:r>
        <w:rPr>
          <w:rFonts w:hint="eastAsia"/>
          <w:b/>
          <w:sz w:val="28"/>
          <w:szCs w:val="28"/>
        </w:rPr>
        <w:t>第一部分衡南县文化旅游广电体育局单位概况</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10"/>
        <w:spacing w:line="520" w:lineRule="exact"/>
        <w:rPr>
          <w:rFonts w:ascii="仿宋_GB2312" w:hAnsi="仿宋_GB2312" w:cs="仿宋_GB2312"/>
          <w:b/>
          <w:sz w:val="28"/>
          <w:szCs w:val="28"/>
        </w:rPr>
      </w:pPr>
      <w:r>
        <w:rPr>
          <w:rFonts w:hint="eastAsia" w:hAnsi="仿宋_GB2312"/>
          <w:b/>
          <w:sz w:val="28"/>
          <w:szCs w:val="28"/>
        </w:rPr>
        <w:t>第二部分</w:t>
      </w:r>
      <w:r>
        <w:rPr>
          <w:rFonts w:hAnsi="仿宋_GB2312"/>
          <w:b/>
          <w:sz w:val="28"/>
          <w:szCs w:val="28"/>
        </w:rPr>
        <w:t>2020</w:t>
      </w:r>
      <w:r>
        <w:rPr>
          <w:rFonts w:hint="eastAsia" w:hAnsi="仿宋_GB2312"/>
          <w:b/>
          <w:sz w:val="28"/>
          <w:szCs w:val="28"/>
        </w:rPr>
        <w:t>年度部门决算表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10"/>
        <w:spacing w:line="520" w:lineRule="exact"/>
        <w:ind w:firstLine="700" w:firstLineChars="250"/>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九、国有资本经营预算财政拨款支出决算表</w:t>
      </w:r>
    </w:p>
    <w:p>
      <w:pPr>
        <w:pStyle w:val="10"/>
        <w:spacing w:line="520" w:lineRule="exact"/>
        <w:rPr>
          <w:rFonts w:ascii="仿宋_GB2312" w:hAnsi="仿宋_GB2312" w:cs="仿宋_GB2312"/>
          <w:b/>
          <w:sz w:val="28"/>
          <w:szCs w:val="28"/>
        </w:rPr>
      </w:pPr>
      <w:r>
        <w:rPr>
          <w:rFonts w:hint="eastAsia" w:hAnsi="仿宋_GB2312"/>
          <w:b/>
          <w:sz w:val="28"/>
          <w:szCs w:val="28"/>
        </w:rPr>
        <w:t>第三部分</w:t>
      </w:r>
      <w:r>
        <w:rPr>
          <w:rFonts w:hAnsi="仿宋_GB2312"/>
          <w:b/>
          <w:sz w:val="28"/>
          <w:szCs w:val="28"/>
        </w:rPr>
        <w:t>2020</w:t>
      </w:r>
      <w:r>
        <w:rPr>
          <w:rFonts w:hint="eastAsia" w:hAnsi="仿宋_GB2312"/>
          <w:b/>
          <w:sz w:val="28"/>
          <w:szCs w:val="28"/>
        </w:rPr>
        <w:t>年度部门决算情况说明</w:t>
      </w:r>
    </w:p>
    <w:p>
      <w:pPr>
        <w:pStyle w:val="10"/>
        <w:spacing w:line="52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2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七、一般公共预算财政拨款三公经费支出决算情况说明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九、国有资本经营预算财政拨款支出决算情况</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十、关于机关运行经费支出说明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十一、一般性支出情况说明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十二、关于政府采购支出说明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十三、关于国有资产占用情况说明</w:t>
      </w:r>
    </w:p>
    <w:p>
      <w:pPr>
        <w:autoSpaceDE w:val="0"/>
        <w:autoSpaceDN w:val="0"/>
        <w:adjustRightInd w:val="0"/>
        <w:spacing w:line="52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十四、关于2020年度预算绩效情况说明</w:t>
      </w:r>
    </w:p>
    <w:p>
      <w:pPr>
        <w:autoSpaceDE w:val="0"/>
        <w:autoSpaceDN w:val="0"/>
        <w:adjustRightInd w:val="0"/>
        <w:spacing w:line="520" w:lineRule="exact"/>
        <w:ind w:firstLine="703" w:firstLineChars="250"/>
        <w:jc w:val="left"/>
        <w:rPr>
          <w:rFonts w:ascii="仿宋_GB2312" w:hAnsi="仿宋_GB2312" w:cs="仿宋_GB2312"/>
          <w:color w:val="000000"/>
          <w:kern w:val="0"/>
          <w:sz w:val="28"/>
          <w:szCs w:val="28"/>
        </w:rPr>
      </w:pPr>
      <w:r>
        <w:rPr>
          <w:rFonts w:ascii="黑体" w:hAnsi="黑体" w:eastAsia="黑体" w:cs="黑体"/>
          <w:b/>
          <w:color w:val="000000"/>
          <w:kern w:val="0"/>
          <w:sz w:val="28"/>
          <w:szCs w:val="28"/>
        </w:rPr>
        <w:t>第四部分名词解释</w:t>
      </w:r>
    </w:p>
    <w:p>
      <w:pPr>
        <w:autoSpaceDE w:val="0"/>
        <w:autoSpaceDN w:val="0"/>
        <w:adjustRightInd w:val="0"/>
        <w:spacing w:line="520" w:lineRule="exact"/>
        <w:ind w:firstLine="703" w:firstLineChars="250"/>
        <w:jc w:val="left"/>
        <w:rPr>
          <w:rFonts w:ascii="仿宋_GB2312" w:hAnsi="仿宋_GB2312" w:cs="仿宋_GB2312"/>
          <w:color w:val="000000"/>
          <w:kern w:val="0"/>
          <w:sz w:val="28"/>
          <w:szCs w:val="28"/>
        </w:rPr>
      </w:pPr>
      <w:r>
        <w:rPr>
          <w:rFonts w:ascii="黑体" w:hAnsi="黑体" w:eastAsia="黑体" w:cs="黑体"/>
          <w:b/>
          <w:color w:val="000000"/>
          <w:kern w:val="0"/>
          <w:sz w:val="28"/>
          <w:szCs w:val="28"/>
        </w:rPr>
        <w:t>第五部分附件</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rPr>
          <w:sz w:val="72"/>
          <w:szCs w:val="72"/>
        </w:rPr>
      </w:pPr>
    </w:p>
    <w:p>
      <w:pPr>
        <w:rPr>
          <w:sz w:val="72"/>
          <w:szCs w:val="72"/>
        </w:rPr>
      </w:pPr>
    </w:p>
    <w:p>
      <w:pPr>
        <w:rPr>
          <w:sz w:val="72"/>
          <w:szCs w:val="72"/>
        </w:rPr>
      </w:pPr>
    </w:p>
    <w:p>
      <w:pPr>
        <w:rPr>
          <w:sz w:val="72"/>
          <w:szCs w:val="72"/>
        </w:rPr>
      </w:pPr>
    </w:p>
    <w:p>
      <w:pPr>
        <w:widowControl/>
        <w:jc w:val="center"/>
        <w:rPr>
          <w:rFonts w:ascii="方正小标宋_GBK" w:hAnsi="方正小标宋_GBK" w:eastAsia="方正小标宋_GBK" w:cs="方正小标宋_GBK"/>
          <w:kern w:val="0"/>
          <w:sz w:val="52"/>
          <w:szCs w:val="52"/>
        </w:rPr>
      </w:pPr>
      <w:r>
        <w:rPr>
          <w:rFonts w:hint="eastAsia" w:ascii="方正小标宋_GBK" w:hAnsi="方正小标宋_GBK" w:eastAsia="方正小标宋_GBK" w:cs="方正小标宋_GBK"/>
          <w:kern w:val="0"/>
          <w:sz w:val="52"/>
          <w:szCs w:val="52"/>
        </w:rPr>
        <w:t>第一部分</w:t>
      </w:r>
    </w:p>
    <w:p>
      <w:pPr>
        <w:widowControl/>
        <w:jc w:val="center"/>
        <w:rPr>
          <w:rFonts w:ascii="方正小标宋_GBK" w:hAnsi="方正小标宋_GBK" w:eastAsia="方正小标宋_GBK" w:cs="方正小标宋_GBK"/>
          <w:kern w:val="0"/>
          <w:sz w:val="52"/>
          <w:szCs w:val="52"/>
        </w:rPr>
      </w:pPr>
      <w:r>
        <w:rPr>
          <w:rFonts w:hint="eastAsia" w:ascii="方正小标宋_GBK" w:hAnsi="方正小标宋_GBK" w:eastAsia="方正小标宋_GBK" w:cs="方正小标宋_GBK"/>
          <w:kern w:val="0"/>
          <w:sz w:val="52"/>
          <w:szCs w:val="52"/>
        </w:rPr>
        <w:t>衡南县文化旅游广电体育局</w:t>
      </w:r>
    </w:p>
    <w:p>
      <w:pPr>
        <w:widowControl/>
        <w:jc w:val="center"/>
        <w:rPr>
          <w:rFonts w:ascii="方正小标宋_GBK" w:hAnsi="方正小标宋_GBK" w:eastAsia="方正小标宋_GBK" w:cs="方正小标宋_GBK"/>
          <w:kern w:val="0"/>
          <w:sz w:val="52"/>
          <w:szCs w:val="52"/>
        </w:rPr>
      </w:pPr>
      <w:r>
        <w:rPr>
          <w:rFonts w:hint="eastAsia" w:ascii="方正小标宋_GBK" w:hAnsi="方正小标宋_GBK" w:eastAsia="方正小标宋_GBK" w:cs="方正小标宋_GBK"/>
          <w:kern w:val="0"/>
          <w:sz w:val="52"/>
          <w:szCs w:val="52"/>
        </w:rPr>
        <w:t>单位概况</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widowControl/>
        <w:jc w:val="left"/>
        <w:rPr>
          <w:rFonts w:cs="方正仿宋_GBK" w:asciiTheme="majorEastAsia" w:hAnsiTheme="majorEastAsia" w:eastAsiaTheme="majorEastAsia"/>
          <w:b/>
          <w:kern w:val="0"/>
          <w:sz w:val="34"/>
          <w:szCs w:val="34"/>
        </w:rPr>
      </w:pPr>
      <w:r>
        <w:rPr>
          <w:rFonts w:cs="方正黑体_GBK" w:asciiTheme="majorEastAsia" w:hAnsiTheme="majorEastAsia" w:eastAsiaTheme="majorEastAsia"/>
          <w:b/>
          <w:sz w:val="34"/>
          <w:szCs w:val="34"/>
        </w:rPr>
        <w:t>一、部门职责</w:t>
      </w:r>
    </w:p>
    <w:p>
      <w:pPr>
        <w:widowControl/>
        <w:autoSpaceDE w:val="0"/>
        <w:spacing w:line="600" w:lineRule="exact"/>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１．贯彻执行党和国家有关文化（文物）、旅游、广播电视、体育工作的方针、政策和法律、法规，拟订全县文化（文物）、旅游、广播电视、体育事业发展战略、规划并组织实施；推进文化旅游广电体育领域体制机制改革。</w:t>
      </w:r>
    </w:p>
    <w:p>
      <w:pPr>
        <w:widowControl/>
        <w:autoSpaceDE w:val="0"/>
        <w:spacing w:line="600" w:lineRule="exact"/>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２．管理全县性重大文体活动，指导重点文体设施建设，统筹规划文化产业、旅游、广电、体育产业，组织实施文化、旅游、广电、体育资源普查、挖掘、保护和利用工作，促进文化、旅游、广电、体育产业发展。</w:t>
      </w:r>
    </w:p>
    <w:p>
      <w:pPr>
        <w:widowControl/>
        <w:autoSpaceDE w:val="0"/>
        <w:spacing w:line="600" w:lineRule="exact"/>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３．指导文化、旅游、广电、体育市场发展，对文化（文物）、旅游、广电、体育、新闻出版（版权）市场经营进行行业监管，推进行业信用体系建设，依法规范文化、文物、旅游、广电、体育市场。</w:t>
      </w:r>
    </w:p>
    <w:p>
      <w:pPr>
        <w:widowControl/>
        <w:autoSpaceDE w:val="0"/>
        <w:spacing w:line="600" w:lineRule="exact"/>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４．指导、推进文化（文物）、旅游、广电、体育科技创新发展，推进文化、旅游、广电、体育行业信息化、标准化建设。</w:t>
      </w:r>
    </w:p>
    <w:p>
      <w:pPr>
        <w:widowControl/>
        <w:autoSpaceDE w:val="0"/>
        <w:spacing w:line="600" w:lineRule="exact"/>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５．推进文化（文物）、旅游、广电、体育领域的公共服务，会同有关部门统筹安排文旅广体相关事业经费；规划、指导全县文化旅游广电体育产品生产；组织、指导、协调全县重点公共文化、旅游、广电、体育设施建设和基层公共文化、体育设施建设；负责指导公共图书馆、文化馆（站）、美术馆、博物馆、纪念馆、体育场（馆）等基层公共文化体育事业建设。</w:t>
      </w:r>
    </w:p>
    <w:p>
      <w:pPr>
        <w:widowControl/>
        <w:autoSpaceDE w:val="0"/>
        <w:spacing w:line="600" w:lineRule="exact"/>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６．管理全县文化（文物）、旅游、体育、艺术事业；指导、协调艺术创作与艺术生产；扶持地方性、代表性、示范性、实验性文化艺术品种和体育项目，推动各门类艺术的发展；管理、指导艺术教育事业；指导、组织、协调全县性重大文化和体育活动。负责监测全县文化、旅游、广电、体育经济运行和全县文化、旅游、广电、体育统计及行业信息发布。</w:t>
      </w:r>
    </w:p>
    <w:p>
      <w:pPr>
        <w:widowControl/>
        <w:autoSpaceDE w:val="0"/>
        <w:spacing w:line="600" w:lineRule="exact"/>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７．指导、监督管理全县文化市场综合执法和文物、旅游、体育、新闻出版（版权）行政执法工作；负责对从事演艺活动的民办机构和网络游戏服务进行监管（不含网络游戏的网上出版前置审批）。</w:t>
      </w:r>
    </w:p>
    <w:p>
      <w:pPr>
        <w:widowControl/>
        <w:autoSpaceDE w:val="0"/>
        <w:spacing w:line="600" w:lineRule="exact"/>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８．统筹规划指导全县群众体育发展及活动开展；负责推行全民健身计划，监督实施国家体育锻炼标准；推动国民体质监测和社会体育指导工作队伍制度建设。</w:t>
      </w:r>
    </w:p>
    <w:p>
      <w:pPr>
        <w:widowControl/>
        <w:autoSpaceDE w:val="0"/>
        <w:spacing w:line="600" w:lineRule="exact"/>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9. 组织管理体育训练、体育竞赛、运动队伍建设，协调运动员社会保障工作；统筹规划青少年体育发展，加强体育后备人才建设，指导和推进青少年体育工作。</w:t>
      </w:r>
    </w:p>
    <w:p>
      <w:pPr>
        <w:widowControl/>
        <w:autoSpaceDE w:val="0"/>
        <w:spacing w:line="600" w:lineRule="exact"/>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10. 指导和监督全县广播电视事业，实施准入和退出管理；拟订发展规划；负责对广播电视播出机构所播出的节目内容、质量及传输、监测、播出、覆盖等进行监管；指导、协调电信网、广播电视网、互联网融合中的相关工作。</w:t>
      </w:r>
    </w:p>
    <w:p>
      <w:pPr>
        <w:widowControl/>
        <w:autoSpaceDE w:val="0"/>
        <w:spacing w:line="600" w:lineRule="exact"/>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11. 协调和指导全县文物的保护、管理和利用工作。履行文物行政执法督察职责，依法组织协调重大文物违法案件的查处，协同有关部门查处文物犯罪的重大案件；负责文化遗产申报及保护、管理的监督工作，协同有关部门负责历史文化名城（镇、村）保护和监督管理工作。</w:t>
      </w:r>
    </w:p>
    <w:p>
      <w:pPr>
        <w:widowControl/>
        <w:autoSpaceDE w:val="0"/>
        <w:spacing w:line="600" w:lineRule="exact"/>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12. 管理全县非物质文化遗产保护工作，拟订非物质文化遗产保护规划并组织实施；负责优秀民族文化的传承普及工作。</w:t>
      </w:r>
    </w:p>
    <w:p>
      <w:pPr>
        <w:widowControl/>
        <w:autoSpaceDE w:val="0"/>
        <w:spacing w:line="600" w:lineRule="exact"/>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13. 拟订全县文旅广体系统人才教育、培训规划并组织实施；负责相关系列专业技术职称申报工作。</w:t>
      </w:r>
    </w:p>
    <w:p>
      <w:pPr>
        <w:widowControl/>
        <w:autoSpaceDE w:val="0"/>
        <w:spacing w:line="600" w:lineRule="exact"/>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14. 承办县委、县政府交办的其他事项。</w:t>
      </w:r>
    </w:p>
    <w:p>
      <w:pPr>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（二）机构设置</w:t>
      </w:r>
    </w:p>
    <w:p>
      <w:pPr>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局机关设办公室、政策法规与组织人事股、行政审批服务股与市场监管股、公共文化艺术服务股、旅游与文化遗产管理股、广播电视与科技规划发展股、群众体育竞训股（挂体育总会秘书处牌子）、审计与财务股共8个股室，二级机构有文化馆、图书馆、文化市场综合执法大队、文化遗产事务中心、全民健身服务中心、业余体校等六个。</w:t>
      </w:r>
    </w:p>
    <w:p>
      <w:pPr>
        <w:pStyle w:val="14"/>
        <w:spacing w:before="0" w:beforeAutospacing="0" w:afterAutospacing="0" w:line="600" w:lineRule="exact"/>
        <w:jc w:val="both"/>
        <w:rPr>
          <w:rFonts w:hint="default" w:cs="方正黑体_GBK" w:asciiTheme="majorEastAsia" w:hAnsiTheme="majorEastAsia" w:eastAsiaTheme="majorEastAsia"/>
          <w:b/>
          <w:sz w:val="34"/>
          <w:szCs w:val="34"/>
        </w:rPr>
      </w:pPr>
      <w:r>
        <w:rPr>
          <w:rFonts w:cs="方正黑体_GBK" w:asciiTheme="majorEastAsia" w:hAnsiTheme="majorEastAsia" w:eastAsiaTheme="majorEastAsia"/>
          <w:b/>
          <w:sz w:val="34"/>
          <w:szCs w:val="34"/>
        </w:rPr>
        <w:t>二、机构设置及决算单位构成</w:t>
      </w:r>
    </w:p>
    <w:p>
      <w:pPr>
        <w:widowControl/>
        <w:autoSpaceDE w:val="0"/>
        <w:spacing w:line="600" w:lineRule="exact"/>
        <w:ind w:firstLine="340" w:firstLineChars="1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一）内设机构设置。衡南县文化旅游广电体育局内设机构包括：办公室、政策法规与组织人事股、行政审批服务股与市场监管股、公共文化艺术服务股、旅游与文化遗产管理股、广播电视与科技规划发展股、群众体育竞训股（挂体育总会秘书处牌子）、审计与财务股共8个股室</w:t>
      </w:r>
    </w:p>
    <w:p>
      <w:pPr>
        <w:widowControl/>
        <w:autoSpaceDE w:val="0"/>
        <w:spacing w:line="600" w:lineRule="exact"/>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（二）决算单位构成。衡南县文化旅游广电体育局</w:t>
      </w:r>
      <w:r>
        <w:rPr>
          <w:rFonts w:cs="方正仿宋_GBK" w:asciiTheme="majorEastAsia" w:hAnsiTheme="majorEastAsia" w:eastAsiaTheme="majorEastAsia"/>
          <w:kern w:val="0"/>
          <w:sz w:val="34"/>
          <w:szCs w:val="34"/>
        </w:rPr>
        <w:t>20</w:t>
      </w:r>
      <w:r>
        <w:rPr>
          <w:rFonts w:hint="eastAsia" w:cs="方正仿宋_GBK" w:asciiTheme="majorEastAsia" w:hAnsiTheme="majorEastAsia" w:eastAsiaTheme="majorEastAsia"/>
          <w:kern w:val="0"/>
          <w:sz w:val="34"/>
          <w:szCs w:val="34"/>
        </w:rPr>
        <w:t>20年部门决算汇总公开单位构成包括：衡南县文化旅游广电体育局本级以及非独立核算的事业单位23个乡镇（片区、办事处）综合文化站。</w:t>
      </w:r>
    </w:p>
    <w:p>
      <w:pPr>
        <w:ind w:firstLine="683" w:firstLineChars="200"/>
        <w:rPr>
          <w:rFonts w:cs="方正仿宋_GBK" w:asciiTheme="majorEastAsia" w:hAnsiTheme="majorEastAsia" w:eastAsiaTheme="majorEastAsia"/>
          <w:b/>
          <w:kern w:val="0"/>
          <w:sz w:val="34"/>
          <w:szCs w:val="34"/>
        </w:rPr>
      </w:pPr>
    </w:p>
    <w:p>
      <w:pPr>
        <w:widowControl/>
        <w:autoSpaceDE w:val="0"/>
        <w:spacing w:line="600" w:lineRule="exact"/>
        <w:ind w:firstLine="680" w:firstLineChars="200"/>
        <w:rPr>
          <w:rFonts w:ascii="方正仿宋_GBK" w:hAnsi="方正仿宋_GBK" w:eastAsia="方正仿宋_GBK" w:cs="方正仿宋_GBK"/>
          <w:b/>
          <w:kern w:val="0"/>
          <w:sz w:val="34"/>
          <w:szCs w:val="34"/>
        </w:rPr>
      </w:pPr>
    </w:p>
    <w:p>
      <w:pPr>
        <w:ind w:firstLine="680" w:firstLineChars="200"/>
        <w:rPr>
          <w:rFonts w:ascii="方正仿宋_GBK" w:hAnsi="方正仿宋_GBK" w:eastAsia="方正仿宋_GBK" w:cs="方正仿宋_GBK"/>
          <w:b/>
          <w:kern w:val="0"/>
          <w:sz w:val="34"/>
          <w:szCs w:val="34"/>
        </w:rPr>
      </w:pPr>
    </w:p>
    <w:p>
      <w:pPr>
        <w:ind w:firstLine="680" w:firstLineChars="200"/>
        <w:rPr>
          <w:rFonts w:ascii="方正仿宋_GBK" w:hAnsi="方正仿宋_GBK" w:eastAsia="方正仿宋_GBK" w:cs="方正仿宋_GBK"/>
          <w:b/>
          <w:kern w:val="0"/>
          <w:sz w:val="34"/>
          <w:szCs w:val="34"/>
        </w:rPr>
      </w:pPr>
    </w:p>
    <w:p>
      <w:pPr>
        <w:ind w:firstLine="680" w:firstLineChars="200"/>
        <w:rPr>
          <w:rFonts w:ascii="方正仿宋_GBK" w:hAnsi="方正仿宋_GBK" w:eastAsia="方正仿宋_GBK" w:cs="方正仿宋_GBK"/>
          <w:b/>
          <w:kern w:val="0"/>
          <w:sz w:val="34"/>
          <w:szCs w:val="34"/>
        </w:rPr>
      </w:pPr>
    </w:p>
    <w:p>
      <w:pPr>
        <w:ind w:firstLine="680" w:firstLineChars="200"/>
        <w:rPr>
          <w:rFonts w:ascii="方正仿宋_GBK" w:hAnsi="方正仿宋_GBK" w:eastAsia="方正仿宋_GBK" w:cs="方正仿宋_GBK"/>
          <w:b/>
          <w:kern w:val="0"/>
          <w:sz w:val="34"/>
          <w:szCs w:val="34"/>
        </w:rPr>
      </w:pPr>
    </w:p>
    <w:p>
      <w:pPr>
        <w:ind w:firstLine="680" w:firstLineChars="200"/>
        <w:rPr>
          <w:rFonts w:ascii="方正仿宋_GBK" w:hAnsi="方正仿宋_GBK" w:eastAsia="方正仿宋_GBK" w:cs="方正仿宋_GBK"/>
          <w:b/>
          <w:kern w:val="0"/>
          <w:sz w:val="34"/>
          <w:szCs w:val="34"/>
        </w:rPr>
      </w:pPr>
    </w:p>
    <w:p>
      <w:pPr>
        <w:widowControl/>
        <w:jc w:val="left"/>
        <w:rPr>
          <w:rFonts w:ascii="方正仿宋_GBK" w:hAnsi="方正仿宋_GBK" w:eastAsia="方正仿宋_GBK" w:cs="方正仿宋_GBK"/>
          <w:b/>
          <w:kern w:val="0"/>
          <w:sz w:val="34"/>
          <w:szCs w:val="34"/>
        </w:rPr>
      </w:pPr>
      <w:r>
        <w:rPr>
          <w:rFonts w:ascii="方正仿宋_GBK" w:hAnsi="方正仿宋_GBK" w:eastAsia="方正仿宋_GBK" w:cs="方正仿宋_GBK"/>
          <w:b/>
          <w:kern w:val="0"/>
          <w:sz w:val="34"/>
          <w:szCs w:val="34"/>
        </w:rPr>
        <w:br w:type="page"/>
      </w:r>
    </w:p>
    <w:p>
      <w:pPr>
        <w:ind w:firstLine="680" w:firstLineChars="200"/>
        <w:rPr>
          <w:rFonts w:ascii="方正仿宋_GBK" w:hAnsi="方正仿宋_GBK" w:eastAsia="方正仿宋_GBK" w:cs="方正仿宋_GBK"/>
          <w:b/>
          <w:kern w:val="0"/>
          <w:sz w:val="34"/>
          <w:szCs w:val="34"/>
        </w:rPr>
      </w:pPr>
    </w:p>
    <w:p>
      <w:pPr>
        <w:ind w:firstLine="680" w:firstLineChars="200"/>
        <w:rPr>
          <w:rFonts w:ascii="方正仿宋_GBK" w:hAnsi="方正仿宋_GBK" w:eastAsia="方正仿宋_GBK" w:cs="方正仿宋_GBK"/>
          <w:b/>
          <w:kern w:val="0"/>
          <w:sz w:val="34"/>
          <w:szCs w:val="34"/>
        </w:rPr>
      </w:pPr>
    </w:p>
    <w:p>
      <w:pPr>
        <w:ind w:firstLine="680" w:firstLineChars="200"/>
        <w:rPr>
          <w:rFonts w:ascii="方正仿宋_GBK" w:hAnsi="方正仿宋_GBK" w:eastAsia="方正仿宋_GBK" w:cs="方正仿宋_GBK"/>
          <w:b/>
          <w:kern w:val="0"/>
          <w:sz w:val="34"/>
          <w:szCs w:val="34"/>
        </w:rPr>
      </w:pPr>
    </w:p>
    <w:p>
      <w:pPr>
        <w:ind w:firstLine="680" w:firstLineChars="200"/>
        <w:rPr>
          <w:rFonts w:ascii="方正仿宋_GBK" w:hAnsi="方正仿宋_GBK" w:eastAsia="方正仿宋_GBK" w:cs="方正仿宋_GBK"/>
          <w:b/>
          <w:kern w:val="0"/>
          <w:sz w:val="34"/>
          <w:szCs w:val="34"/>
        </w:rPr>
      </w:pPr>
    </w:p>
    <w:p>
      <w:pPr>
        <w:ind w:firstLine="680" w:firstLineChars="200"/>
        <w:rPr>
          <w:rFonts w:ascii="方正仿宋_GBK" w:hAnsi="方正仿宋_GBK" w:eastAsia="方正仿宋_GBK" w:cs="方正仿宋_GBK"/>
          <w:b/>
          <w:kern w:val="0"/>
          <w:sz w:val="34"/>
          <w:szCs w:val="34"/>
        </w:rPr>
      </w:pPr>
    </w:p>
    <w:p>
      <w:pPr>
        <w:ind w:firstLine="680" w:firstLineChars="200"/>
        <w:rPr>
          <w:rFonts w:ascii="方正仿宋_GBK" w:hAnsi="方正仿宋_GBK" w:eastAsia="方正仿宋_GBK" w:cs="方正仿宋_GBK"/>
          <w:b/>
          <w:kern w:val="0"/>
          <w:sz w:val="34"/>
          <w:szCs w:val="34"/>
        </w:rPr>
      </w:pPr>
    </w:p>
    <w:p>
      <w:pPr>
        <w:widowControl/>
        <w:jc w:val="center"/>
        <w:rPr>
          <w:rFonts w:ascii="方正小标宋_GBK" w:hAnsi="方正小标宋_GBK" w:eastAsia="方正小标宋_GBK" w:cs="方正小标宋_GBK"/>
          <w:kern w:val="0"/>
          <w:sz w:val="52"/>
          <w:szCs w:val="52"/>
        </w:rPr>
      </w:pPr>
      <w:r>
        <w:rPr>
          <w:rFonts w:hint="eastAsia" w:ascii="方正小标宋_GBK" w:hAnsi="方正小标宋_GBK" w:eastAsia="方正小标宋_GBK" w:cs="方正小标宋_GBK"/>
          <w:kern w:val="0"/>
          <w:sz w:val="52"/>
          <w:szCs w:val="52"/>
        </w:rPr>
        <w:t>第二部分</w:t>
      </w:r>
    </w:p>
    <w:p>
      <w:pPr>
        <w:widowControl/>
        <w:jc w:val="center"/>
        <w:rPr>
          <w:rFonts w:ascii="方正小标宋_GBK" w:hAnsi="方正小标宋_GBK" w:eastAsia="方正小标宋_GBK" w:cs="方正小标宋_GBK"/>
          <w:kern w:val="0"/>
          <w:sz w:val="52"/>
          <w:szCs w:val="52"/>
        </w:rPr>
      </w:pPr>
      <w:r>
        <w:rPr>
          <w:rFonts w:hint="eastAsia" w:ascii="方正小标宋_GBK" w:hAnsi="方正小标宋_GBK" w:eastAsia="方正小标宋_GBK" w:cs="方正小标宋_GBK"/>
          <w:kern w:val="0"/>
          <w:sz w:val="52"/>
          <w:szCs w:val="52"/>
        </w:rPr>
        <w:t>2020年部门决算表</w:t>
      </w:r>
    </w:p>
    <w:p>
      <w:pPr>
        <w:widowControl/>
        <w:jc w:val="center"/>
        <w:rPr>
          <w:rFonts w:ascii="方正小标宋_GBK" w:hAnsi="方正小标宋_GBK" w:eastAsia="方正小标宋_GBK" w:cs="方正小标宋_GBK"/>
          <w:kern w:val="0"/>
          <w:sz w:val="52"/>
          <w:szCs w:val="52"/>
        </w:rPr>
      </w:pPr>
      <w:r>
        <w:rPr>
          <w:rFonts w:hint="eastAsia" w:ascii="方正小标宋_GBK" w:hAnsi="方正小标宋_GBK" w:eastAsia="方正小标宋_GBK" w:cs="方正小标宋_GBK"/>
          <w:kern w:val="0"/>
          <w:sz w:val="52"/>
          <w:szCs w:val="52"/>
        </w:rPr>
        <w:t>（部门决算公示表附后）</w:t>
      </w:r>
    </w:p>
    <w:p>
      <w:pPr>
        <w:jc w:val="center"/>
        <w:rPr>
          <w:sz w:val="72"/>
          <w:szCs w:val="72"/>
        </w:rPr>
      </w:pPr>
    </w:p>
    <w:p>
      <w:pPr>
        <w:jc w:val="left"/>
        <w:rPr>
          <w:sz w:val="32"/>
          <w:szCs w:val="32"/>
        </w:rPr>
      </w:pPr>
    </w:p>
    <w:p>
      <w:pPr>
        <w:jc w:val="left"/>
        <w:rPr>
          <w:rFonts w:asciiTheme="minorEastAsia" w:hAnsiTheme="minorEastAsia"/>
          <w:sz w:val="32"/>
          <w:szCs w:val="32"/>
        </w:rPr>
      </w:pPr>
    </w:p>
    <w:p>
      <w:pPr>
        <w:jc w:val="left"/>
        <w:rPr>
          <w:rFonts w:asciiTheme="minorEastAsia" w:hAnsiTheme="minorEastAsia"/>
          <w:sz w:val="32"/>
          <w:szCs w:val="32"/>
        </w:rPr>
      </w:pPr>
    </w:p>
    <w:p>
      <w:pPr>
        <w:jc w:val="left"/>
        <w:rPr>
          <w:rFonts w:asciiTheme="minorEastAsia" w:hAnsiTheme="minorEastAsia"/>
          <w:sz w:val="32"/>
          <w:szCs w:val="32"/>
        </w:rPr>
      </w:pPr>
    </w:p>
    <w:p>
      <w:pPr>
        <w:jc w:val="left"/>
        <w:rPr>
          <w:rFonts w:asciiTheme="minorEastAsia" w:hAnsiTheme="minorEastAsia"/>
          <w:sz w:val="32"/>
          <w:szCs w:val="32"/>
        </w:rPr>
      </w:pPr>
    </w:p>
    <w:p>
      <w:pPr>
        <w:jc w:val="left"/>
        <w:rPr>
          <w:rFonts w:asciiTheme="minorEastAsia" w:hAnsiTheme="minorEastAsia"/>
          <w:sz w:val="32"/>
          <w:szCs w:val="32"/>
        </w:rPr>
        <w:sectPr>
          <w:pgSz w:w="11906" w:h="16838"/>
          <w:pgMar w:top="1440" w:right="1700" w:bottom="1440" w:left="1800" w:header="851" w:footer="992" w:gutter="0"/>
          <w:cols w:space="425" w:num="1"/>
          <w:docGrid w:type="lines" w:linePitch="312" w:charSpace="0"/>
        </w:sect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widowControl/>
        <w:jc w:val="center"/>
        <w:rPr>
          <w:rFonts w:ascii="方正小标宋_GBK" w:hAnsi="方正小标宋_GBK" w:eastAsia="方正小标宋_GBK" w:cs="方正小标宋_GBK"/>
          <w:kern w:val="0"/>
          <w:sz w:val="52"/>
          <w:szCs w:val="52"/>
        </w:rPr>
      </w:pPr>
      <w:r>
        <w:rPr>
          <w:rFonts w:hint="eastAsia" w:ascii="方正小标宋_GBK" w:hAnsi="方正小标宋_GBK" w:eastAsia="方正小标宋_GBK" w:cs="方正小标宋_GBK"/>
          <w:kern w:val="0"/>
          <w:sz w:val="52"/>
          <w:szCs w:val="52"/>
        </w:rPr>
        <w:t>第三部分</w:t>
      </w:r>
    </w:p>
    <w:p>
      <w:pPr>
        <w:widowControl/>
        <w:jc w:val="center"/>
        <w:rPr>
          <w:rFonts w:ascii="方正小标宋_GBK" w:hAnsi="方正小标宋_GBK" w:eastAsia="方正小标宋_GBK" w:cs="方正小标宋_GBK"/>
          <w:kern w:val="0"/>
          <w:sz w:val="52"/>
          <w:szCs w:val="52"/>
        </w:rPr>
      </w:pPr>
      <w:r>
        <w:rPr>
          <w:rFonts w:ascii="方正小标宋_GBK" w:hAnsi="方正小标宋_GBK" w:eastAsia="方正小标宋_GBK" w:cs="方正小标宋_GBK"/>
          <w:kern w:val="0"/>
          <w:sz w:val="52"/>
          <w:szCs w:val="52"/>
        </w:rPr>
        <w:t>2020</w:t>
      </w:r>
      <w:r>
        <w:rPr>
          <w:rFonts w:hint="eastAsia" w:ascii="方正小标宋_GBK" w:hAnsi="方正小标宋_GBK" w:eastAsia="方正小标宋_GBK" w:cs="方正小标宋_GBK"/>
          <w:kern w:val="0"/>
          <w:sz w:val="52"/>
          <w:szCs w:val="52"/>
        </w:rPr>
        <w:t>年度部门决算情况说明</w:t>
      </w:r>
    </w:p>
    <w:p>
      <w:pPr>
        <w:widowControl/>
        <w:jc w:val="left"/>
        <w:rPr>
          <w:rFonts w:ascii="黑体" w:eastAsia="黑体" w:cs="黑体"/>
          <w:color w:val="000000"/>
          <w:kern w:val="0"/>
          <w:sz w:val="70"/>
          <w:szCs w:val="70"/>
        </w:rPr>
      </w:pPr>
      <w:r>
        <w:rPr>
          <w:sz w:val="70"/>
          <w:szCs w:val="70"/>
        </w:rPr>
        <w:br w:type="page"/>
      </w:r>
    </w:p>
    <w:p>
      <w:pPr>
        <w:pStyle w:val="14"/>
        <w:spacing w:before="0" w:beforeAutospacing="0" w:afterAutospacing="0" w:line="600" w:lineRule="exact"/>
        <w:jc w:val="center"/>
        <w:rPr>
          <w:rFonts w:hint="default" w:ascii="方正小标宋_GBK" w:hAnsi="方正小标宋_GBK" w:eastAsia="方正小标宋_GBK" w:cs="方正小标宋_GBK"/>
          <w:sz w:val="40"/>
          <w:szCs w:val="40"/>
        </w:rPr>
      </w:pPr>
    </w:p>
    <w:p>
      <w:pPr>
        <w:pStyle w:val="14"/>
        <w:spacing w:before="0" w:beforeAutospacing="0" w:afterAutospacing="0" w:line="600" w:lineRule="exact"/>
        <w:jc w:val="center"/>
        <w:rPr>
          <w:rFonts w:hint="default" w:ascii="方正小标宋_GBK" w:hAnsi="方正小标宋_GBK" w:eastAsia="方正小标宋_GBK" w:cs="方正小标宋_GBK"/>
          <w:sz w:val="40"/>
          <w:szCs w:val="40"/>
        </w:rPr>
      </w:pPr>
      <w:r>
        <w:rPr>
          <w:rFonts w:ascii="方正小标宋_GBK" w:hAnsi="方正小标宋_GBK" w:eastAsia="方正小标宋_GBK" w:cs="方正小标宋_GBK"/>
          <w:sz w:val="40"/>
          <w:szCs w:val="40"/>
        </w:rPr>
        <w:t>第三部分  2020年度部门决算情况说明</w:t>
      </w:r>
    </w:p>
    <w:p>
      <w:pPr>
        <w:pStyle w:val="10"/>
        <w:rPr>
          <w:rFonts w:asciiTheme="minorEastAsia" w:hAnsiTheme="minorEastAsia" w:eastAsiaTheme="minorEastAsia"/>
          <w:sz w:val="32"/>
          <w:szCs w:val="32"/>
        </w:rPr>
      </w:pPr>
    </w:p>
    <w:p>
      <w:pPr>
        <w:widowControl/>
        <w:spacing w:line="600" w:lineRule="exact"/>
        <w:ind w:firstLine="680" w:firstLineChars="200"/>
        <w:jc w:val="left"/>
        <w:rPr>
          <w:rFonts w:cs="方正黑体_GBK" w:asciiTheme="majorEastAsia" w:hAnsiTheme="majorEastAsia" w:eastAsiaTheme="majorEastAsia"/>
          <w:b/>
          <w:kern w:val="0"/>
          <w:sz w:val="34"/>
          <w:szCs w:val="34"/>
        </w:rPr>
      </w:pPr>
      <w:r>
        <w:rPr>
          <w:rFonts w:hint="eastAsia" w:cs="方正黑体_GBK" w:asciiTheme="majorEastAsia" w:hAnsiTheme="majorEastAsia" w:eastAsiaTheme="majorEastAsia"/>
          <w:b/>
          <w:kern w:val="0"/>
          <w:sz w:val="34"/>
          <w:szCs w:val="34"/>
        </w:rPr>
        <w:t>一、收入支出决算总体情况说明</w:t>
      </w:r>
    </w:p>
    <w:p>
      <w:pPr>
        <w:widowControl/>
        <w:spacing w:line="600" w:lineRule="exact"/>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2020 年度收、支总计2019.4万元。与2019年相比，增加17.35万元，增长（减少）0.87%，主要是因为本年财政拨款收入较上年增加17.35万元。</w:t>
      </w:r>
    </w:p>
    <w:p>
      <w:pPr>
        <w:widowControl/>
        <w:spacing w:line="600" w:lineRule="exact"/>
        <w:ind w:firstLine="680" w:firstLineChars="200"/>
        <w:rPr>
          <w:rFonts w:cs="方正仿宋_GBK" w:asciiTheme="majorEastAsia" w:hAnsiTheme="majorEastAsia" w:eastAsiaTheme="majorEastAsia"/>
          <w:b/>
          <w:kern w:val="0"/>
          <w:sz w:val="34"/>
          <w:szCs w:val="34"/>
        </w:rPr>
      </w:pPr>
      <w:r>
        <w:rPr>
          <w:rFonts w:hint="eastAsia" w:cs="方正仿宋_GBK" w:asciiTheme="majorEastAsia" w:hAnsiTheme="majorEastAsia" w:eastAsiaTheme="majorEastAsia"/>
          <w:kern w:val="0"/>
          <w:sz w:val="34"/>
          <w:szCs w:val="34"/>
        </w:rPr>
        <w:t>2020年度支出总计2019.4万元，较上年决算数增加17.35万元，增加0.87%，主要原因是一般公共服务支出较上年增加239万元、文化旅游体育与传媒支出较上年增加163.92万元、卫生健康支出增加18.5万元、住房保障支出减少8.01万元、社会保障和就业支出较上年减少21.94万元、抗疫特别国债支出较上年增加10万元、其他支出较上年减少354.13万元</w:t>
      </w:r>
      <w:r>
        <w:rPr>
          <w:rFonts w:hint="eastAsia" w:cs="方正仿宋_GBK" w:asciiTheme="majorEastAsia" w:hAnsiTheme="majorEastAsia" w:eastAsiaTheme="majorEastAsia"/>
          <w:b/>
          <w:kern w:val="0"/>
          <w:sz w:val="34"/>
          <w:szCs w:val="34"/>
        </w:rPr>
        <w:t>。</w:t>
      </w:r>
    </w:p>
    <w:p>
      <w:pPr>
        <w:widowControl/>
        <w:spacing w:line="600" w:lineRule="exact"/>
        <w:ind w:firstLine="680" w:firstLineChars="200"/>
        <w:jc w:val="left"/>
        <w:rPr>
          <w:rFonts w:cs="方正黑体_GBK" w:asciiTheme="majorEastAsia" w:hAnsiTheme="majorEastAsia" w:eastAsiaTheme="majorEastAsia"/>
          <w:b/>
          <w:kern w:val="0"/>
          <w:sz w:val="34"/>
          <w:szCs w:val="34"/>
        </w:rPr>
      </w:pPr>
      <w:r>
        <w:rPr>
          <w:rFonts w:hint="eastAsia" w:cs="方正黑体_GBK" w:asciiTheme="majorEastAsia" w:hAnsiTheme="majorEastAsia" w:eastAsiaTheme="majorEastAsia"/>
          <w:b/>
          <w:kern w:val="0"/>
          <w:sz w:val="34"/>
          <w:szCs w:val="34"/>
        </w:rPr>
        <w:t>二、收入决算情况说明</w:t>
      </w:r>
    </w:p>
    <w:p>
      <w:pPr>
        <w:widowControl/>
        <w:spacing w:line="600" w:lineRule="exact"/>
        <w:ind w:firstLine="680" w:firstLineChars="200"/>
        <w:rPr>
          <w:rFonts w:cs="方正仿宋_GBK" w:asciiTheme="majorEastAsia" w:hAnsiTheme="majorEastAsia" w:eastAsiaTheme="majorEastAsia"/>
          <w:b/>
          <w:kern w:val="0"/>
          <w:sz w:val="34"/>
          <w:szCs w:val="34"/>
        </w:rPr>
      </w:pPr>
      <w:r>
        <w:rPr>
          <w:rFonts w:hint="eastAsia" w:cs="方正仿宋_GBK" w:asciiTheme="majorEastAsia" w:hAnsiTheme="majorEastAsia" w:eastAsiaTheme="majorEastAsia"/>
          <w:kern w:val="0"/>
          <w:sz w:val="34"/>
          <w:szCs w:val="34"/>
        </w:rPr>
        <w:t>2020年度本年收入合计2019.4万元，较上年决算数增加17.35万元，增长0.87%。本年收入决算各项构成及占比情况如下：</w:t>
      </w:r>
    </w:p>
    <w:p>
      <w:pPr>
        <w:widowControl/>
        <w:spacing w:line="600" w:lineRule="exact"/>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（一）财政拨款收入1809.4万元，占本年收入合计的89.6%。</w:t>
      </w:r>
    </w:p>
    <w:p>
      <w:pPr>
        <w:widowControl/>
        <w:spacing w:line="600" w:lineRule="exact"/>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（二）政府性基金预算收入财政拨款收入200万元，占本年收入合计的10.4%。</w:t>
      </w:r>
    </w:p>
    <w:p>
      <w:pPr>
        <w:widowControl/>
        <w:spacing w:line="600" w:lineRule="exact"/>
        <w:ind w:firstLine="680" w:firstLineChars="200"/>
        <w:jc w:val="left"/>
        <w:rPr>
          <w:rFonts w:cs="方正黑体_GBK" w:asciiTheme="majorEastAsia" w:hAnsiTheme="majorEastAsia" w:eastAsiaTheme="majorEastAsia"/>
          <w:b/>
          <w:kern w:val="0"/>
          <w:sz w:val="34"/>
          <w:szCs w:val="34"/>
        </w:rPr>
      </w:pPr>
      <w:r>
        <w:rPr>
          <w:rFonts w:hint="eastAsia" w:cs="方正黑体_GBK" w:asciiTheme="majorEastAsia" w:hAnsiTheme="majorEastAsia" w:eastAsiaTheme="majorEastAsia"/>
          <w:b/>
          <w:kern w:val="0"/>
          <w:sz w:val="34"/>
          <w:szCs w:val="34"/>
        </w:rPr>
        <w:t>三、支出决算情况说明</w:t>
      </w:r>
    </w:p>
    <w:p>
      <w:pPr>
        <w:widowControl/>
        <w:spacing w:line="600" w:lineRule="exact"/>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2020年度本年支出合计2019.4万元，较上年决算数增加17.35万元，增长0.87%。本年支出按支出性质和经济分类：基本支出968.28万元，占比47.95%；项目支出1051.12万元，占比52.05%。本年支出按功能分类各项构成及占比情况如下：</w:t>
      </w:r>
    </w:p>
    <w:p>
      <w:pPr>
        <w:widowControl/>
        <w:spacing w:line="600" w:lineRule="exact"/>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b/>
          <w:kern w:val="0"/>
          <w:sz w:val="34"/>
          <w:szCs w:val="34"/>
        </w:rPr>
        <w:t>（</w:t>
      </w:r>
      <w:r>
        <w:rPr>
          <w:rFonts w:hint="eastAsia" w:cs="方正仿宋_GBK" w:asciiTheme="majorEastAsia" w:hAnsiTheme="majorEastAsia" w:eastAsiaTheme="majorEastAsia"/>
          <w:kern w:val="0"/>
          <w:sz w:val="34"/>
          <w:szCs w:val="34"/>
        </w:rPr>
        <w:t>一）一般公共服务支出2万元，占本年支出合计的0.1%。</w:t>
      </w:r>
    </w:p>
    <w:p>
      <w:pPr>
        <w:widowControl/>
        <w:spacing w:line="600" w:lineRule="exact"/>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（二）文化旅游体育与传媒支出1226.47万元，占本年支出合计的61.26%。</w:t>
      </w:r>
    </w:p>
    <w:p>
      <w:pPr>
        <w:widowControl/>
        <w:spacing w:line="600" w:lineRule="exact"/>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（三）社会保障和就业支出166.59万元，占本年支出合计的8.32%。</w:t>
      </w:r>
    </w:p>
    <w:p>
      <w:pPr>
        <w:widowControl/>
        <w:spacing w:line="600" w:lineRule="exact"/>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（四）卫生健康支出14.5万元，占本年支出合计的0.72%。</w:t>
      </w:r>
    </w:p>
    <w:p>
      <w:pPr>
        <w:widowControl/>
        <w:spacing w:line="600" w:lineRule="exact"/>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（五）城乡社区支出30万元，占本年支出合计的1.5%。</w:t>
      </w:r>
    </w:p>
    <w:p>
      <w:pPr>
        <w:widowControl/>
        <w:spacing w:line="600" w:lineRule="exact"/>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（六）住房保障支出8.35万元，占本年支出合计的0.42%。</w:t>
      </w:r>
    </w:p>
    <w:p>
      <w:pPr>
        <w:widowControl/>
        <w:spacing w:line="600" w:lineRule="exact"/>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（七）其他支出554.13万元，占本年支出合计的27.68%。</w:t>
      </w:r>
    </w:p>
    <w:p>
      <w:pPr>
        <w:widowControl/>
        <w:spacing w:line="600" w:lineRule="exact"/>
        <w:ind w:firstLine="680" w:firstLineChars="200"/>
        <w:jc w:val="left"/>
        <w:rPr>
          <w:rFonts w:cs="方正黑体_GBK" w:asciiTheme="majorEastAsia" w:hAnsiTheme="majorEastAsia" w:eastAsiaTheme="majorEastAsia"/>
          <w:b/>
          <w:kern w:val="0"/>
          <w:sz w:val="34"/>
          <w:szCs w:val="34"/>
        </w:rPr>
      </w:pPr>
      <w:r>
        <w:rPr>
          <w:rFonts w:hint="eastAsia" w:cs="方正黑体_GBK" w:asciiTheme="majorEastAsia" w:hAnsiTheme="majorEastAsia" w:eastAsiaTheme="majorEastAsia"/>
          <w:b/>
          <w:kern w:val="0"/>
          <w:sz w:val="34"/>
          <w:szCs w:val="34"/>
        </w:rPr>
        <w:t>四、财政拨款收入支出决算总体情况说明</w:t>
      </w:r>
    </w:p>
    <w:p>
      <w:pPr>
        <w:widowControl/>
        <w:spacing w:line="600" w:lineRule="exact"/>
        <w:ind w:firstLine="680" w:firstLineChars="200"/>
        <w:rPr>
          <w:rFonts w:cs="方正仿宋_GBK" w:asciiTheme="majorEastAsia" w:hAnsiTheme="majorEastAsia" w:eastAsiaTheme="majorEastAsia"/>
          <w:b/>
          <w:kern w:val="0"/>
          <w:sz w:val="34"/>
          <w:szCs w:val="34"/>
        </w:rPr>
      </w:pPr>
      <w:r>
        <w:rPr>
          <w:rFonts w:hint="eastAsia" w:cs="方正仿宋_GBK" w:asciiTheme="majorEastAsia" w:hAnsiTheme="majorEastAsia" w:eastAsiaTheme="majorEastAsia"/>
          <w:kern w:val="0"/>
          <w:sz w:val="34"/>
          <w:szCs w:val="34"/>
        </w:rPr>
        <w:t>2020年度财政拨款收入总计、支出总计均为2019.4万元，较上年决算数2002.05万元增加17.35万元，增长0.87%，主要原因是根据工作任务，县财政厅年中追加了业务工作经费。</w:t>
      </w:r>
    </w:p>
    <w:p>
      <w:pPr>
        <w:widowControl/>
        <w:spacing w:line="600" w:lineRule="exact"/>
        <w:ind w:firstLine="680" w:firstLineChars="200"/>
        <w:jc w:val="left"/>
        <w:rPr>
          <w:rFonts w:cs="方正黑体_GBK" w:asciiTheme="majorEastAsia" w:hAnsiTheme="majorEastAsia" w:eastAsiaTheme="majorEastAsia"/>
          <w:b/>
          <w:kern w:val="0"/>
          <w:sz w:val="34"/>
          <w:szCs w:val="34"/>
        </w:rPr>
      </w:pPr>
      <w:r>
        <w:rPr>
          <w:rFonts w:hint="eastAsia" w:cs="方正黑体_GBK" w:asciiTheme="majorEastAsia" w:hAnsiTheme="majorEastAsia" w:eastAsiaTheme="majorEastAsia"/>
          <w:b/>
          <w:kern w:val="0"/>
          <w:sz w:val="34"/>
          <w:szCs w:val="34"/>
        </w:rPr>
        <w:t>五、一般公共预算财政拨款支出决算情况说明</w:t>
      </w:r>
    </w:p>
    <w:p>
      <w:pPr>
        <w:widowControl/>
        <w:spacing w:line="600" w:lineRule="exact"/>
        <w:ind w:firstLine="680" w:firstLineChars="200"/>
        <w:rPr>
          <w:rFonts w:cs="方正楷体_GBK" w:asciiTheme="majorEastAsia" w:hAnsiTheme="majorEastAsia" w:eastAsiaTheme="majorEastAsia"/>
          <w:kern w:val="0"/>
          <w:sz w:val="34"/>
          <w:szCs w:val="34"/>
        </w:rPr>
      </w:pPr>
      <w:r>
        <w:rPr>
          <w:rFonts w:hint="eastAsia" w:cs="方正楷体_GBK" w:asciiTheme="majorEastAsia" w:hAnsiTheme="majorEastAsia" w:eastAsiaTheme="majorEastAsia"/>
          <w:kern w:val="0"/>
          <w:sz w:val="34"/>
          <w:szCs w:val="34"/>
        </w:rPr>
        <w:t>（一）财政拨款支出决算总体情况</w:t>
      </w:r>
    </w:p>
    <w:p>
      <w:pPr>
        <w:widowControl/>
        <w:spacing w:line="600" w:lineRule="exact"/>
        <w:ind w:firstLine="680" w:firstLineChars="200"/>
        <w:rPr>
          <w:rFonts w:cs="方正仿宋_GBK" w:asciiTheme="majorEastAsia" w:hAnsiTheme="majorEastAsia" w:eastAsiaTheme="majorEastAsia"/>
          <w:b/>
          <w:kern w:val="0"/>
          <w:sz w:val="34"/>
          <w:szCs w:val="34"/>
        </w:rPr>
      </w:pPr>
      <w:r>
        <w:rPr>
          <w:rFonts w:hint="eastAsia" w:cs="方正仿宋_GBK" w:asciiTheme="majorEastAsia" w:hAnsiTheme="majorEastAsia" w:eastAsiaTheme="majorEastAsia"/>
          <w:kern w:val="0"/>
          <w:sz w:val="34"/>
          <w:szCs w:val="34"/>
        </w:rPr>
        <w:t>2020年度财政拨款支出总计2019.4万元，其中财政拨款收入本年支出合计2019.4万元，较上年决算数增加17.35万元，增长10.73%，主要原因是根据工作任务，县财政厅年中追加了项目经费。</w:t>
      </w:r>
    </w:p>
    <w:p>
      <w:pPr>
        <w:pStyle w:val="10"/>
        <w:rPr>
          <w:rFonts w:cs="方正楷体_GBK" w:asciiTheme="majorEastAsia" w:hAnsiTheme="majorEastAsia" w:eastAsiaTheme="majorEastAsia"/>
          <w:color w:val="auto"/>
          <w:sz w:val="34"/>
          <w:szCs w:val="34"/>
        </w:rPr>
      </w:pPr>
      <w:r>
        <w:rPr>
          <w:rFonts w:hint="eastAsia" w:cs="方正楷体_GBK" w:asciiTheme="majorEastAsia" w:hAnsiTheme="majorEastAsia" w:eastAsiaTheme="majorEastAsia"/>
          <w:color w:val="auto"/>
          <w:sz w:val="34"/>
          <w:szCs w:val="34"/>
        </w:rPr>
        <w:t>（二）财政拨款支出决算结构情况</w:t>
      </w:r>
    </w:p>
    <w:p>
      <w:pPr>
        <w:widowControl/>
        <w:spacing w:line="600" w:lineRule="exact"/>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2020年度财政拨款支出合计2019.4万元，为一般公共预算财政拨款支出和政府性基金预算财政拨款支出。一般公共预算财政拨款支出，其中基本支出968.28万元，占比47.95%；项目支出1051.12万元，占比52.05%。政府性基金预算财政拨款支出，其中应急物资保障支出10万元，占比4.76%；其他支出200万元，占比95.24%；按照功能分类各项构成及占比情况如下：</w:t>
      </w:r>
    </w:p>
    <w:p>
      <w:pPr>
        <w:widowControl/>
        <w:spacing w:line="600" w:lineRule="exact"/>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1.一般公共服务支出（类）241万元，占财政拨款本年支出合计的11.94%。</w:t>
      </w:r>
    </w:p>
    <w:p>
      <w:pPr>
        <w:widowControl/>
        <w:spacing w:line="600" w:lineRule="exact"/>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2.文化旅游体育与传媒支出1390.4万元，占财政拨款本年支出合计的68.85%。</w:t>
      </w:r>
    </w:p>
    <w:p>
      <w:pPr>
        <w:widowControl/>
        <w:spacing w:line="600" w:lineRule="exact"/>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3.社会保障和就业支出（类）144.66万元，占财政拨款本年支出合计的7.16%。</w:t>
      </w:r>
    </w:p>
    <w:p>
      <w:pPr>
        <w:widowControl/>
        <w:spacing w:line="600" w:lineRule="exact"/>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4.卫生健康支出（类）33万元，占财政拨款本年支出合计的1.63%。</w:t>
      </w:r>
    </w:p>
    <w:p>
      <w:pPr>
        <w:widowControl/>
        <w:spacing w:line="600" w:lineRule="exact"/>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5.住房保障支出（类）0.34万元，占财政拨款本年支出合计的0.02%。</w:t>
      </w:r>
    </w:p>
    <w:p>
      <w:pPr>
        <w:widowControl/>
        <w:spacing w:line="600" w:lineRule="exact"/>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6.其他支出（类）200万元，占财政拨款本年支出合计的9.9%。</w:t>
      </w:r>
    </w:p>
    <w:p>
      <w:pPr>
        <w:widowControl/>
        <w:spacing w:line="600" w:lineRule="exact"/>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7. 抗疫特别国债支出10万元，占财政拨款本年支出合计的0.5%。</w:t>
      </w:r>
    </w:p>
    <w:p>
      <w:pPr>
        <w:widowControl/>
        <w:spacing w:line="600" w:lineRule="exact"/>
        <w:ind w:firstLine="680" w:firstLineChars="200"/>
        <w:rPr>
          <w:rFonts w:cs="方正楷体_GBK" w:asciiTheme="majorEastAsia" w:hAnsiTheme="majorEastAsia" w:eastAsiaTheme="majorEastAsia"/>
          <w:kern w:val="0"/>
          <w:sz w:val="34"/>
          <w:szCs w:val="34"/>
        </w:rPr>
      </w:pPr>
      <w:r>
        <w:rPr>
          <w:rFonts w:hint="eastAsia" w:cs="方正楷体_GBK" w:asciiTheme="majorEastAsia" w:hAnsiTheme="majorEastAsia" w:eastAsiaTheme="majorEastAsia"/>
          <w:kern w:val="0"/>
          <w:sz w:val="34"/>
          <w:szCs w:val="34"/>
        </w:rPr>
        <w:t>（三）财政拨款支出决算具体情况</w:t>
      </w:r>
    </w:p>
    <w:p>
      <w:pPr>
        <w:widowControl/>
        <w:spacing w:line="600" w:lineRule="exact"/>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2020年度财政拨款支出年初预算数1215.84万元，支出决算数2019.4万元，预决算差额原因主要是财政根据政策及实际工作需要在年中追加了部分工作经费。2020年度一般公共预算财政拨款支出具体情况如下：</w:t>
      </w:r>
    </w:p>
    <w:p>
      <w:pPr>
        <w:widowControl/>
        <w:spacing w:line="600" w:lineRule="exact"/>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1.一般公共服务支出（类）支出决算数241万元，年初无预算，主要为社会足球场建设资金及2019年省农耕健身大赛活动经费。</w:t>
      </w:r>
    </w:p>
    <w:p>
      <w:pPr>
        <w:widowControl/>
        <w:spacing w:line="600" w:lineRule="exact"/>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2.文化旅游体育与传媒支出（类）年初预算数1215.84万元，决算数1390.4万元，完成年初预算的114.36%。其中：</w:t>
      </w:r>
    </w:p>
    <w:p>
      <w:pPr>
        <w:widowControl/>
        <w:spacing w:line="600" w:lineRule="exact"/>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文化旅游体育与传媒支出（类）——文化和旅游（款）——行政运行（项）支出决算数777.68万元，年初预算数858.27万元，完成年初预算90.61%。</w:t>
      </w:r>
    </w:p>
    <w:p>
      <w:pPr>
        <w:widowControl/>
        <w:spacing w:line="600" w:lineRule="exact"/>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文化旅游体育与传媒支出（类）——文化和旅游（款）——一般行政管理事务（项）支出决算数12.6万元，年初预算数18万元，完成年初预算70%。</w:t>
      </w:r>
    </w:p>
    <w:p>
      <w:pPr>
        <w:widowControl/>
        <w:spacing w:line="600" w:lineRule="exact"/>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文化旅游体育与传媒支出（类）——文化和旅游（款）——文化活动（项）支出决算数30万元，该科目与年初预算数持平。</w:t>
      </w:r>
    </w:p>
    <w:p>
      <w:pPr>
        <w:widowControl/>
        <w:spacing w:line="600" w:lineRule="exact"/>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文化旅游体育与传媒支出（类）——文化和旅游（款）——群众文化（项）支出决算数4万元，年初无预算数，主要为财政年中追加经费。</w:t>
      </w:r>
    </w:p>
    <w:p>
      <w:pPr>
        <w:widowControl/>
        <w:spacing w:line="600" w:lineRule="exact"/>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文化旅游体育与传媒支出（类）——文化和旅游（款）——旅游宣传（项）支出决算数150万元，年初无预算数，主要为财政年中追加经费。</w:t>
      </w:r>
    </w:p>
    <w:p>
      <w:pPr>
        <w:widowControl/>
        <w:spacing w:line="600" w:lineRule="exact"/>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文化旅游体育与传媒支出（类）——文化和旅游（款）——其他文化和旅游支出（项）支出决算数230.5万元，年初预算数56万元，财政年中追加业务经费174.5万元。完成年初预算411.6%。</w:t>
      </w:r>
    </w:p>
    <w:p>
      <w:pPr>
        <w:widowControl/>
        <w:spacing w:line="600" w:lineRule="exact"/>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文化旅游体育与传媒支出（类）——体育（款）——群众体育（项）支出决算数30万元，该科目与年初预算数持平。</w:t>
      </w:r>
    </w:p>
    <w:p>
      <w:pPr>
        <w:widowControl/>
        <w:spacing w:line="600" w:lineRule="exact"/>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文化旅游体育与传媒支出（类）——其他文化体育与传媒（款）——其他文化体育与传媒（项）支出决算数155.62万元，年初无预算，主要为财政年中追加经费。</w:t>
      </w:r>
    </w:p>
    <w:p>
      <w:pPr>
        <w:widowControl/>
        <w:spacing w:line="600" w:lineRule="exact"/>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3.社会保障和就业支出（类）年初预算数183.41万元，支出决算数144.66万元，完成年初预算的78.87%，其中：</w:t>
      </w:r>
    </w:p>
    <w:p>
      <w:pPr>
        <w:widowControl/>
        <w:spacing w:line="600" w:lineRule="exact"/>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（1）社会保障和就业支出（类）——机关事业单位基本养老保险缴费支出（项）决算数141.96万元，年初预算数178.5万元，完成年初预算的79.53%。</w:t>
      </w:r>
    </w:p>
    <w:p>
      <w:pPr>
        <w:widowControl/>
        <w:spacing w:line="600" w:lineRule="exact"/>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（2）社会保障和就业支出（类）——财政对工伤、生育保险基金的补助支出（项）决算数2.7万元，年初预算数2.7万元，与年初预算数持平。</w:t>
      </w:r>
    </w:p>
    <w:p>
      <w:pPr>
        <w:widowControl/>
        <w:spacing w:line="600" w:lineRule="exact"/>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4.卫生健康支出（类）2020年度支出33万元，年初预算数33万元，与年初预算数持平。。</w:t>
      </w:r>
    </w:p>
    <w:p>
      <w:pPr>
        <w:widowControl/>
        <w:spacing w:line="600" w:lineRule="exact"/>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（1）行政事业单位医疗（款）——行政单位医疗（项）支出决算数8.47万元，年初预算数8.47万元，与年初预算数持平。</w:t>
      </w:r>
    </w:p>
    <w:p>
      <w:pPr>
        <w:widowControl/>
        <w:spacing w:line="600" w:lineRule="exact"/>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（2）行政事业单位医疗（款）——事业单位医疗（项）支出决算数24.53万元，与年初预算数持平。</w:t>
      </w:r>
    </w:p>
    <w:p>
      <w:pPr>
        <w:widowControl/>
        <w:spacing w:line="600" w:lineRule="exact"/>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5.住房保障支出（类）——住房公积金（项）决算数0.34万元，年初预算数11.16万元，完成年初预算的3.05%。</w:t>
      </w:r>
    </w:p>
    <w:p>
      <w:pPr>
        <w:widowControl/>
        <w:spacing w:line="600" w:lineRule="exact"/>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6.其他支出（类）——彩票公益金安排的支出（款）——用于社会福利的彩票公益金支出（项）年初无预算数，2020年度决算数200万元，根据工作实际财政年中追加业务工作经费。</w:t>
      </w:r>
    </w:p>
    <w:p>
      <w:pPr>
        <w:widowControl/>
        <w:spacing w:line="600" w:lineRule="exact"/>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7.抗疫特别国债安排的支出——应急物资保障（款）——用于肺炎防控支出（项）年初无预算，2020年度决算数10万元，根据抗疫工作实际需要，财政年中追加业务工作经费。</w:t>
      </w:r>
    </w:p>
    <w:p>
      <w:pPr>
        <w:widowControl/>
        <w:spacing w:line="600" w:lineRule="exact"/>
        <w:ind w:firstLine="680" w:firstLineChars="200"/>
        <w:jc w:val="left"/>
        <w:rPr>
          <w:rFonts w:cs="方正黑体_GBK" w:asciiTheme="majorEastAsia" w:hAnsiTheme="majorEastAsia" w:eastAsiaTheme="majorEastAsia"/>
          <w:b/>
          <w:kern w:val="0"/>
          <w:sz w:val="34"/>
          <w:szCs w:val="34"/>
        </w:rPr>
      </w:pPr>
      <w:r>
        <w:rPr>
          <w:rFonts w:hint="eastAsia" w:cs="方正黑体_GBK" w:asciiTheme="majorEastAsia" w:hAnsiTheme="majorEastAsia" w:eastAsiaTheme="majorEastAsia"/>
          <w:b/>
          <w:kern w:val="0"/>
          <w:sz w:val="34"/>
          <w:szCs w:val="34"/>
        </w:rPr>
        <w:t>六、一般公共预算财政拨款基本支出决算情况说明</w:t>
      </w:r>
    </w:p>
    <w:p>
      <w:pPr>
        <w:widowControl/>
        <w:spacing w:line="600" w:lineRule="exact"/>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2020年度一般公共预算财政拨款基本支出决算合计968.28万元。其中：人员经费合计955.68万元，占比98.7%，主要包括：基本工资、津贴补贴、奖金、伙食补助费、绩效工资、机关事业单位基本养老保险缴费、职工基本医疗保险缴费、公务员医疗补助缴费、其他社会保障缴费、住房公积金、医疗费、其他工资福利支出、离休费、退休费、抚恤金、生活补助、医疗费补助、奖励金、其他对个人和家庭的补助支出。公用经费合计12.6万元，占比1.3%，主要包括：办公费、印刷费、水费、电费、邮电费、取暖费、物业管理费、差旅费、维修（护）费、租赁费、会议费、培训费、公务接待费、专用材料费、劳务费、工会经费、福利费、公务用车运行维护费、其他交通费用、其他商品和服务支出、办公设备购置、专用设备购置、信息网络及软件购置更新、其他资本性支出。</w:t>
      </w:r>
    </w:p>
    <w:p>
      <w:pPr>
        <w:widowControl/>
        <w:spacing w:line="600" w:lineRule="exact"/>
        <w:ind w:firstLine="680" w:firstLineChars="200"/>
        <w:jc w:val="left"/>
        <w:rPr>
          <w:rFonts w:cs="方正黑体_GBK" w:asciiTheme="majorEastAsia" w:hAnsiTheme="majorEastAsia" w:eastAsiaTheme="majorEastAsia"/>
          <w:b/>
          <w:kern w:val="0"/>
          <w:sz w:val="34"/>
          <w:szCs w:val="34"/>
        </w:rPr>
      </w:pPr>
      <w:r>
        <w:rPr>
          <w:rFonts w:hint="eastAsia" w:cs="方正黑体_GBK" w:asciiTheme="majorEastAsia" w:hAnsiTheme="majorEastAsia" w:eastAsiaTheme="majorEastAsia"/>
          <w:b/>
          <w:kern w:val="0"/>
          <w:sz w:val="34"/>
          <w:szCs w:val="34"/>
        </w:rPr>
        <w:t>七、一般公共预算财政拨款三公经费支出决算情况说明</w:t>
      </w:r>
    </w:p>
    <w:p>
      <w:pPr>
        <w:widowControl/>
        <w:spacing w:line="600" w:lineRule="exact"/>
        <w:ind w:firstLine="680" w:firstLineChars="200"/>
        <w:rPr>
          <w:rFonts w:cs="方正楷体_GBK" w:asciiTheme="majorEastAsia" w:hAnsiTheme="majorEastAsia" w:eastAsiaTheme="majorEastAsia"/>
          <w:kern w:val="0"/>
          <w:sz w:val="34"/>
          <w:szCs w:val="34"/>
        </w:rPr>
      </w:pPr>
      <w:r>
        <w:rPr>
          <w:rFonts w:hint="eastAsia" w:cs="方正楷体_GBK" w:asciiTheme="majorEastAsia" w:hAnsiTheme="majorEastAsia" w:eastAsiaTheme="majorEastAsia"/>
          <w:kern w:val="0"/>
          <w:sz w:val="34"/>
          <w:szCs w:val="34"/>
        </w:rPr>
        <w:t>（一）“三公”经费财政拨款支出决算总体情况说明</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“三公”经费财政拨款支出预算为5.4万元，支出决算为1.36万元，完成预算的25.19%，其中：</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因公出国（境）费支出预算为0万元，支出决算为0万元，完成预算的0%，与上年相比持平，持平的主要原因是本单位无因公出国的支出。</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公务接待费支出预算为5.4万元，支出决算为1.36万元，完成预算的25.19%，决算数小于年初预算数的主要原因是贯彻落实国家过“紧日子”要求，压减了一般性开支，努力降低行政运行成本。</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公务用车购置费及运行维护费支出预算为0万元，支出决算为0万元，完成预算的0%。</w:t>
      </w:r>
    </w:p>
    <w:p>
      <w:pPr>
        <w:pStyle w:val="10"/>
        <w:ind w:firstLine="680" w:firstLineChars="200"/>
        <w:rPr>
          <w:rFonts w:cs="方正楷体_GBK" w:asciiTheme="majorEastAsia" w:hAnsiTheme="majorEastAsia" w:eastAsiaTheme="majorEastAsia"/>
          <w:color w:val="auto"/>
          <w:sz w:val="34"/>
          <w:szCs w:val="34"/>
        </w:rPr>
      </w:pPr>
      <w:r>
        <w:rPr>
          <w:rFonts w:hint="eastAsia" w:cs="方正楷体_GBK" w:asciiTheme="majorEastAsia" w:hAnsiTheme="majorEastAsia" w:eastAsiaTheme="majorEastAsia"/>
          <w:color w:val="auto"/>
          <w:sz w:val="34"/>
          <w:szCs w:val="34"/>
        </w:rPr>
        <w:t>（二）“三公”经费财政拨款支出决算具体情况说明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2020年度“三公”经费财政拨款支出决算中，公务接待费支出决算1.36万元,占100%，因公出国（境）费支出决算0万元，占0%,公务用车购置费及运行维护费支出决算0万元，占0%。其中：</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1、因公出国（境）费支出决算为0万元，全年安排因公出国（境）团组0个，累计0人次。</w:t>
      </w:r>
    </w:p>
    <w:p>
      <w:pPr>
        <w:pStyle w:val="10"/>
        <w:ind w:firstLine="640" w:firstLineChars="200"/>
        <w:rPr>
          <w:rFonts w:asciiTheme="minorEastAsia" w:hAnsiTheme="minorEastAsia" w:eastAsiaTheme="minorEastAsia"/>
          <w:sz w:val="32"/>
          <w:szCs w:val="32"/>
          <w:lang w:val="zh-CN"/>
        </w:rPr>
      </w:pPr>
      <w:r>
        <w:rPr>
          <w:rFonts w:hint="eastAsia" w:asciiTheme="minorEastAsia" w:hAnsiTheme="minorEastAsia" w:eastAsiaTheme="minorEastAsia"/>
          <w:sz w:val="32"/>
          <w:szCs w:val="32"/>
        </w:rPr>
        <w:t>2、公务接待费支出决算为1.36万元，全年国内公务接待的批次50个，累计340人次。</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3、公务用车购置费及运行维护费支出决算为0万元，其中：</w:t>
      </w:r>
      <w:r>
        <w:rPr>
          <w:rFonts w:hint="eastAsia" w:asciiTheme="minorEastAsia" w:hAnsiTheme="minorEastAsia" w:eastAsiaTheme="minorEastAsia"/>
          <w:sz w:val="32"/>
          <w:szCs w:val="32"/>
          <w:lang w:val="zh-CN"/>
        </w:rPr>
        <w:t>公务用车购置完成为</w:t>
      </w:r>
      <w:r>
        <w:rPr>
          <w:rFonts w:hint="eastAsia" w:asciiTheme="minorEastAsia" w:hAnsiTheme="minorEastAsia" w:eastAsiaTheme="minorEastAsia"/>
          <w:sz w:val="32"/>
          <w:szCs w:val="32"/>
        </w:rPr>
        <w:t>0万元；公务用车</w:t>
      </w:r>
      <w:r>
        <w:rPr>
          <w:rFonts w:hint="eastAsia" w:asciiTheme="minorEastAsia" w:hAnsiTheme="minorEastAsia" w:eastAsiaTheme="minorEastAsia"/>
          <w:sz w:val="32"/>
          <w:szCs w:val="32"/>
          <w:lang w:val="zh-CN"/>
        </w:rPr>
        <w:t>运行维护费</w:t>
      </w:r>
      <w:r>
        <w:rPr>
          <w:rFonts w:hint="eastAsia" w:asciiTheme="minorEastAsia" w:hAnsiTheme="minorEastAsia" w:eastAsiaTheme="minorEastAsia"/>
          <w:sz w:val="32"/>
          <w:szCs w:val="32"/>
        </w:rPr>
        <w:t>完成0万元。至2020年12月31日，本单位公务用车保有量为0辆，当年新增公务用车为0辆。</w:t>
      </w:r>
    </w:p>
    <w:p>
      <w:pPr>
        <w:widowControl/>
        <w:spacing w:line="600" w:lineRule="exact"/>
        <w:ind w:firstLine="680" w:firstLineChars="200"/>
        <w:jc w:val="left"/>
        <w:rPr>
          <w:rFonts w:cs="方正黑体_GBK" w:asciiTheme="majorEastAsia" w:hAnsiTheme="majorEastAsia" w:eastAsiaTheme="majorEastAsia"/>
          <w:b/>
          <w:kern w:val="0"/>
          <w:sz w:val="34"/>
          <w:szCs w:val="34"/>
        </w:rPr>
      </w:pPr>
      <w:r>
        <w:rPr>
          <w:rFonts w:hint="eastAsia" w:cs="方正黑体_GBK" w:asciiTheme="majorEastAsia" w:hAnsiTheme="majorEastAsia" w:eastAsiaTheme="majorEastAsia"/>
          <w:b/>
          <w:kern w:val="0"/>
          <w:sz w:val="34"/>
          <w:szCs w:val="34"/>
        </w:rPr>
        <w:t>八、</w:t>
      </w:r>
      <w:r>
        <w:rPr>
          <w:rFonts w:hint="eastAsia" w:cs="方正仿宋_GBK" w:asciiTheme="majorEastAsia" w:hAnsiTheme="majorEastAsia" w:eastAsiaTheme="majorEastAsia"/>
          <w:b/>
          <w:kern w:val="0"/>
          <w:sz w:val="34"/>
          <w:szCs w:val="34"/>
        </w:rPr>
        <w:t>政府性基金预算收入支出决算情况</w:t>
      </w:r>
    </w:p>
    <w:p>
      <w:pPr>
        <w:widowControl/>
        <w:spacing w:line="600" w:lineRule="exact"/>
        <w:ind w:firstLine="680" w:firstLineChars="200"/>
        <w:rPr>
          <w:rFonts w:cs="方正仿宋_GBK" w:asciiTheme="majorEastAsia" w:hAnsiTheme="majorEastAsia" w:eastAsiaTheme="majorEastAsia"/>
          <w:b/>
          <w:sz w:val="34"/>
          <w:szCs w:val="34"/>
        </w:rPr>
      </w:pPr>
      <w:r>
        <w:rPr>
          <w:rFonts w:hint="eastAsia" w:cs="方正仿宋_GBK" w:asciiTheme="majorEastAsia" w:hAnsiTheme="majorEastAsia" w:eastAsiaTheme="majorEastAsia"/>
          <w:kern w:val="0"/>
          <w:sz w:val="34"/>
          <w:szCs w:val="34"/>
        </w:rPr>
        <w:t>2020年度政府性基金预算财政拨款收入210万元；年初无结转和结余，均为项目支出。其中：用于社会福利的彩票公益金支出200万元，严格按照体彩公益金专项资金使用办法使用；抗疫特别国债安排支出10万元，用于新冠疫情应急物资保障支出。年末无结转和结余。</w:t>
      </w:r>
    </w:p>
    <w:p>
      <w:pPr>
        <w:widowControl/>
        <w:spacing w:line="600" w:lineRule="exact"/>
        <w:ind w:firstLine="680" w:firstLineChars="200"/>
        <w:jc w:val="left"/>
        <w:rPr>
          <w:rFonts w:cs="方正仿宋_GBK" w:asciiTheme="majorEastAsia" w:hAnsiTheme="majorEastAsia" w:eastAsiaTheme="majorEastAsia"/>
          <w:b/>
          <w:kern w:val="0"/>
          <w:sz w:val="34"/>
          <w:szCs w:val="34"/>
        </w:rPr>
      </w:pPr>
      <w:r>
        <w:rPr>
          <w:rFonts w:hint="eastAsia" w:cs="方正仿宋_GBK" w:asciiTheme="majorEastAsia" w:hAnsiTheme="majorEastAsia" w:eastAsiaTheme="majorEastAsia"/>
          <w:b/>
          <w:kern w:val="0"/>
          <w:sz w:val="34"/>
          <w:szCs w:val="34"/>
        </w:rPr>
        <w:t>九、国有资本经营预算财政拨款支出决算情况</w:t>
      </w:r>
    </w:p>
    <w:p>
      <w:pPr>
        <w:widowControl/>
        <w:spacing w:line="600" w:lineRule="exact"/>
        <w:ind w:firstLine="680" w:firstLineChars="200"/>
        <w:jc w:val="left"/>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本部门2020年没有国有资本经营预算财政拨款支出。</w:t>
      </w:r>
    </w:p>
    <w:p>
      <w:pPr>
        <w:widowControl/>
        <w:autoSpaceDE w:val="0"/>
        <w:autoSpaceDN w:val="0"/>
        <w:adjustRightInd w:val="0"/>
        <w:spacing w:line="600" w:lineRule="exact"/>
        <w:ind w:firstLine="680" w:firstLineChars="200"/>
        <w:rPr>
          <w:rFonts w:cs="方正仿宋_GBK" w:asciiTheme="majorEastAsia" w:hAnsiTheme="majorEastAsia" w:eastAsiaTheme="majorEastAsia"/>
          <w:b/>
          <w:kern w:val="0"/>
          <w:sz w:val="34"/>
          <w:szCs w:val="34"/>
        </w:rPr>
      </w:pPr>
      <w:r>
        <w:rPr>
          <w:rFonts w:hint="eastAsia" w:cs="方正仿宋_GBK" w:asciiTheme="majorEastAsia" w:hAnsiTheme="majorEastAsia" w:eastAsiaTheme="majorEastAsia"/>
          <w:b/>
          <w:kern w:val="0"/>
          <w:sz w:val="34"/>
          <w:szCs w:val="34"/>
        </w:rPr>
        <w:t>十、机关运行经费支出情况</w:t>
      </w:r>
    </w:p>
    <w:p>
      <w:pPr>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本部门2020 年度机关运行经费支出12.6万元，与2019年13.8万元相比，减少1.2万元减少9.52%，主要是人员减少经费减少。</w:t>
      </w:r>
    </w:p>
    <w:p>
      <w:pPr>
        <w:widowControl/>
        <w:autoSpaceDE w:val="0"/>
        <w:autoSpaceDN w:val="0"/>
        <w:adjustRightInd w:val="0"/>
        <w:spacing w:line="600" w:lineRule="exact"/>
        <w:ind w:firstLine="680" w:firstLineChars="200"/>
        <w:rPr>
          <w:rFonts w:cs="方正仿宋_GBK" w:asciiTheme="majorEastAsia" w:hAnsiTheme="majorEastAsia" w:eastAsiaTheme="majorEastAsia"/>
          <w:b/>
          <w:kern w:val="0"/>
          <w:sz w:val="34"/>
          <w:szCs w:val="34"/>
        </w:rPr>
      </w:pPr>
      <w:r>
        <w:rPr>
          <w:rFonts w:hint="eastAsia" w:cs="方正仿宋_GBK" w:asciiTheme="majorEastAsia" w:hAnsiTheme="majorEastAsia" w:eastAsiaTheme="majorEastAsia"/>
          <w:b/>
          <w:kern w:val="0"/>
          <w:sz w:val="34"/>
          <w:szCs w:val="34"/>
        </w:rPr>
        <w:t>十一、一般性支出情况</w:t>
      </w:r>
    </w:p>
    <w:p>
      <w:pPr>
        <w:ind w:firstLine="680" w:firstLineChars="200"/>
        <w:rPr>
          <w:rFonts w:cs="方正仿宋_GBK" w:asciiTheme="majorEastAsia" w:hAnsiTheme="majorEastAsia" w:eastAsiaTheme="majorEastAsia"/>
          <w:b/>
          <w:kern w:val="0"/>
          <w:sz w:val="34"/>
          <w:szCs w:val="34"/>
        </w:rPr>
      </w:pPr>
      <w:r>
        <w:rPr>
          <w:rFonts w:hint="eastAsia" w:cs="方正仿宋_GBK" w:asciiTheme="majorEastAsia" w:hAnsiTheme="majorEastAsia" w:eastAsiaTheme="majorEastAsia"/>
          <w:kern w:val="0"/>
          <w:sz w:val="34"/>
          <w:szCs w:val="34"/>
        </w:rPr>
        <w:t>2020年本部门开支会议费0.12万元，用于召开安全生产、“扫黄打非”等会议。</w:t>
      </w:r>
    </w:p>
    <w:p>
      <w:pPr>
        <w:widowControl/>
        <w:autoSpaceDE w:val="0"/>
        <w:autoSpaceDN w:val="0"/>
        <w:adjustRightInd w:val="0"/>
        <w:spacing w:line="600" w:lineRule="exact"/>
        <w:ind w:firstLine="680" w:firstLineChars="200"/>
        <w:rPr>
          <w:rFonts w:cs="方正仿宋_GBK" w:asciiTheme="majorEastAsia" w:hAnsiTheme="majorEastAsia" w:eastAsiaTheme="majorEastAsia"/>
          <w:b/>
          <w:kern w:val="0"/>
          <w:sz w:val="34"/>
          <w:szCs w:val="34"/>
        </w:rPr>
      </w:pPr>
      <w:r>
        <w:rPr>
          <w:rFonts w:hint="eastAsia" w:cs="方正仿宋_GBK" w:asciiTheme="majorEastAsia" w:hAnsiTheme="majorEastAsia" w:eastAsiaTheme="majorEastAsia"/>
          <w:b/>
          <w:kern w:val="0"/>
          <w:sz w:val="34"/>
          <w:szCs w:val="34"/>
        </w:rPr>
        <w:t>十二、政府采购支出情况</w:t>
      </w:r>
    </w:p>
    <w:p>
      <w:pPr>
        <w:ind w:firstLine="680" w:firstLineChars="200"/>
        <w:rPr>
          <w:rFonts w:cs="方正仿宋_GBK" w:asciiTheme="majorEastAsia" w:hAnsiTheme="majorEastAsia" w:eastAsiaTheme="majorEastAsia"/>
          <w:b/>
          <w:kern w:val="0"/>
          <w:sz w:val="34"/>
          <w:szCs w:val="34"/>
        </w:rPr>
      </w:pPr>
      <w:r>
        <w:rPr>
          <w:rFonts w:hint="eastAsia" w:cs="方正仿宋_GBK" w:asciiTheme="majorEastAsia" w:hAnsiTheme="majorEastAsia" w:eastAsiaTheme="majorEastAsia"/>
          <w:kern w:val="0"/>
          <w:sz w:val="34"/>
          <w:szCs w:val="34"/>
        </w:rPr>
        <w:t>本部门2020年度政府采购支出总额542万元，其中：政府采购货物支出389万元、政府采购服务支出153万元。</w:t>
      </w:r>
      <w:r>
        <w:rPr>
          <w:rFonts w:cs="方正仿宋_GBK" w:asciiTheme="majorEastAsia" w:hAnsiTheme="majorEastAsia" w:eastAsiaTheme="majorEastAsia"/>
          <w:kern w:val="0"/>
          <w:sz w:val="34"/>
          <w:szCs w:val="34"/>
        </w:rPr>
        <w:t>授予中小企业合同金额</w:t>
      </w:r>
      <w:r>
        <w:rPr>
          <w:rFonts w:hint="eastAsia" w:cs="方正仿宋_GBK" w:asciiTheme="majorEastAsia" w:hAnsiTheme="majorEastAsia" w:eastAsiaTheme="majorEastAsia"/>
          <w:kern w:val="0"/>
          <w:sz w:val="34"/>
          <w:szCs w:val="34"/>
        </w:rPr>
        <w:t>469</w:t>
      </w:r>
      <w:r>
        <w:rPr>
          <w:rFonts w:cs="方正仿宋_GBK" w:asciiTheme="majorEastAsia" w:hAnsiTheme="majorEastAsia" w:eastAsiaTheme="majorEastAsia"/>
          <w:kern w:val="0"/>
          <w:sz w:val="34"/>
          <w:szCs w:val="34"/>
        </w:rPr>
        <w:t>万元，占政府采购支出总额的</w:t>
      </w:r>
      <w:r>
        <w:rPr>
          <w:rFonts w:hint="eastAsia" w:cs="方正仿宋_GBK" w:asciiTheme="majorEastAsia" w:hAnsiTheme="majorEastAsia" w:eastAsiaTheme="majorEastAsia"/>
          <w:kern w:val="0"/>
          <w:sz w:val="34"/>
          <w:szCs w:val="34"/>
        </w:rPr>
        <w:t>86.5</w:t>
      </w:r>
      <w:r>
        <w:rPr>
          <w:rFonts w:cs="方正仿宋_GBK" w:asciiTheme="majorEastAsia" w:hAnsiTheme="majorEastAsia" w:eastAsiaTheme="majorEastAsia"/>
          <w:kern w:val="0"/>
          <w:sz w:val="34"/>
          <w:szCs w:val="34"/>
        </w:rPr>
        <w:t xml:space="preserve"> %，其中：授予小微企业合同金额</w:t>
      </w:r>
      <w:r>
        <w:rPr>
          <w:rFonts w:hint="eastAsia" w:cs="方正仿宋_GBK" w:asciiTheme="majorEastAsia" w:hAnsiTheme="majorEastAsia" w:eastAsiaTheme="majorEastAsia"/>
          <w:kern w:val="0"/>
          <w:sz w:val="34"/>
          <w:szCs w:val="34"/>
        </w:rPr>
        <w:t>73</w:t>
      </w:r>
      <w:r>
        <w:rPr>
          <w:rFonts w:cs="方正仿宋_GBK" w:asciiTheme="majorEastAsia" w:hAnsiTheme="majorEastAsia" w:eastAsiaTheme="majorEastAsia"/>
          <w:kern w:val="0"/>
          <w:sz w:val="34"/>
          <w:szCs w:val="34"/>
        </w:rPr>
        <w:t>万元，占政府采购支出总额的</w:t>
      </w:r>
      <w:r>
        <w:rPr>
          <w:rFonts w:hint="eastAsia" w:cs="方正仿宋_GBK" w:asciiTheme="majorEastAsia" w:hAnsiTheme="majorEastAsia" w:eastAsiaTheme="majorEastAsia"/>
          <w:kern w:val="0"/>
          <w:sz w:val="34"/>
          <w:szCs w:val="34"/>
        </w:rPr>
        <w:t>13.5</w:t>
      </w:r>
      <w:r>
        <w:rPr>
          <w:rFonts w:cs="方正仿宋_GBK" w:asciiTheme="majorEastAsia" w:hAnsiTheme="majorEastAsia" w:eastAsiaTheme="majorEastAsia"/>
          <w:kern w:val="0"/>
          <w:sz w:val="34"/>
          <w:szCs w:val="34"/>
        </w:rPr>
        <w:t xml:space="preserve"> %。（政府采购金额的计算口径为：本部门纳入</w:t>
      </w:r>
      <w:r>
        <w:rPr>
          <w:rFonts w:hint="eastAsia" w:cs="方正仿宋_GBK" w:asciiTheme="majorEastAsia" w:hAnsiTheme="majorEastAsia" w:eastAsiaTheme="majorEastAsia"/>
          <w:kern w:val="0"/>
          <w:sz w:val="34"/>
          <w:szCs w:val="34"/>
        </w:rPr>
        <w:t>2020</w:t>
      </w:r>
      <w:r>
        <w:rPr>
          <w:rFonts w:cs="方正仿宋_GBK" w:asciiTheme="majorEastAsia" w:hAnsiTheme="majorEastAsia" w:eastAsiaTheme="majorEastAsia"/>
          <w:kern w:val="0"/>
          <w:sz w:val="34"/>
          <w:szCs w:val="34"/>
        </w:rPr>
        <w:t>年 度部门预算范围的各项政府采购支出金额之和，不包括涉密采购项目的支出金额）</w:t>
      </w:r>
    </w:p>
    <w:p>
      <w:pPr>
        <w:widowControl/>
        <w:autoSpaceDE w:val="0"/>
        <w:autoSpaceDN w:val="0"/>
        <w:adjustRightInd w:val="0"/>
        <w:spacing w:line="600" w:lineRule="exact"/>
        <w:ind w:firstLine="680" w:firstLineChars="200"/>
        <w:rPr>
          <w:rFonts w:cs="方正仿宋_GBK" w:asciiTheme="majorEastAsia" w:hAnsiTheme="majorEastAsia" w:eastAsiaTheme="majorEastAsia"/>
          <w:b/>
          <w:kern w:val="0"/>
          <w:sz w:val="34"/>
          <w:szCs w:val="34"/>
        </w:rPr>
      </w:pPr>
      <w:r>
        <w:rPr>
          <w:rFonts w:hint="eastAsia" w:cs="方正仿宋_GBK" w:asciiTheme="majorEastAsia" w:hAnsiTheme="majorEastAsia" w:eastAsiaTheme="majorEastAsia"/>
          <w:b/>
          <w:kern w:val="0"/>
          <w:sz w:val="34"/>
          <w:szCs w:val="34"/>
        </w:rPr>
        <w:t>十三、国有资产占用情况</w:t>
      </w:r>
    </w:p>
    <w:p>
      <w:pPr>
        <w:widowControl/>
        <w:spacing w:line="600" w:lineRule="exact"/>
        <w:ind w:firstLine="660"/>
        <w:jc w:val="left"/>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截至2020年12月31日，</w:t>
      </w:r>
      <w:r>
        <w:rPr>
          <w:rFonts w:cs="方正仿宋_GBK" w:asciiTheme="majorEastAsia" w:hAnsiTheme="majorEastAsia" w:eastAsiaTheme="majorEastAsia"/>
          <w:kern w:val="0"/>
          <w:sz w:val="34"/>
          <w:szCs w:val="34"/>
        </w:rPr>
        <w:t>本部门共有公务用车</w:t>
      </w:r>
      <w:r>
        <w:rPr>
          <w:rFonts w:hint="eastAsia" w:cs="方正仿宋_GBK" w:asciiTheme="majorEastAsia" w:hAnsiTheme="majorEastAsia" w:eastAsiaTheme="majorEastAsia"/>
          <w:kern w:val="0"/>
          <w:sz w:val="34"/>
          <w:szCs w:val="34"/>
        </w:rPr>
        <w:t>0</w:t>
      </w:r>
      <w:r>
        <w:rPr>
          <w:rFonts w:cs="方正仿宋_GBK" w:asciiTheme="majorEastAsia" w:hAnsiTheme="majorEastAsia" w:eastAsiaTheme="majorEastAsia"/>
          <w:kern w:val="0"/>
          <w:sz w:val="34"/>
          <w:szCs w:val="34"/>
        </w:rPr>
        <w:t>辆，其中，机要通信用车</w:t>
      </w:r>
      <w:r>
        <w:rPr>
          <w:rFonts w:hint="eastAsia" w:cs="方正仿宋_GBK" w:asciiTheme="majorEastAsia" w:hAnsiTheme="majorEastAsia" w:eastAsiaTheme="majorEastAsia"/>
          <w:kern w:val="0"/>
          <w:sz w:val="34"/>
          <w:szCs w:val="34"/>
        </w:rPr>
        <w:t>0</w:t>
      </w:r>
      <w:r>
        <w:rPr>
          <w:rFonts w:cs="方正仿宋_GBK" w:asciiTheme="majorEastAsia" w:hAnsiTheme="majorEastAsia" w:eastAsiaTheme="majorEastAsia"/>
          <w:kern w:val="0"/>
          <w:sz w:val="34"/>
          <w:szCs w:val="34"/>
        </w:rPr>
        <w:t>辆，应急保障用车</w:t>
      </w:r>
      <w:r>
        <w:rPr>
          <w:rFonts w:hint="eastAsia" w:cs="方正仿宋_GBK" w:asciiTheme="majorEastAsia" w:hAnsiTheme="majorEastAsia" w:eastAsiaTheme="majorEastAsia"/>
          <w:kern w:val="0"/>
          <w:sz w:val="34"/>
          <w:szCs w:val="34"/>
        </w:rPr>
        <w:t>0</w:t>
      </w:r>
      <w:r>
        <w:rPr>
          <w:rFonts w:cs="方正仿宋_GBK" w:asciiTheme="majorEastAsia" w:hAnsiTheme="majorEastAsia" w:eastAsiaTheme="majorEastAsia"/>
          <w:kern w:val="0"/>
          <w:sz w:val="34"/>
          <w:szCs w:val="34"/>
        </w:rPr>
        <w:t xml:space="preserve"> 辆，执法执勤用车</w:t>
      </w:r>
      <w:r>
        <w:rPr>
          <w:rFonts w:hint="eastAsia" w:cs="方正仿宋_GBK" w:asciiTheme="majorEastAsia" w:hAnsiTheme="majorEastAsia" w:eastAsiaTheme="majorEastAsia"/>
          <w:kern w:val="0"/>
          <w:sz w:val="34"/>
          <w:szCs w:val="34"/>
        </w:rPr>
        <w:t>0</w:t>
      </w:r>
      <w:r>
        <w:rPr>
          <w:rFonts w:cs="方正仿宋_GBK" w:asciiTheme="majorEastAsia" w:hAnsiTheme="majorEastAsia" w:eastAsiaTheme="majorEastAsia"/>
          <w:kern w:val="0"/>
          <w:sz w:val="34"/>
          <w:szCs w:val="34"/>
        </w:rPr>
        <w:t>辆，特种专业技术用车</w:t>
      </w:r>
      <w:r>
        <w:rPr>
          <w:rFonts w:hint="eastAsia" w:cs="方正仿宋_GBK" w:asciiTheme="majorEastAsia" w:hAnsiTheme="majorEastAsia" w:eastAsiaTheme="majorEastAsia"/>
          <w:kern w:val="0"/>
          <w:sz w:val="34"/>
          <w:szCs w:val="34"/>
        </w:rPr>
        <w:t>0</w:t>
      </w:r>
      <w:r>
        <w:rPr>
          <w:rFonts w:cs="方正仿宋_GBK" w:asciiTheme="majorEastAsia" w:hAnsiTheme="majorEastAsia" w:eastAsiaTheme="majorEastAsia"/>
          <w:kern w:val="0"/>
          <w:sz w:val="34"/>
          <w:szCs w:val="34"/>
        </w:rPr>
        <w:t>辆，其他按照规定配备的公务用车</w:t>
      </w:r>
      <w:r>
        <w:rPr>
          <w:rFonts w:hint="eastAsia" w:cs="方正仿宋_GBK" w:asciiTheme="majorEastAsia" w:hAnsiTheme="majorEastAsia" w:eastAsiaTheme="majorEastAsia"/>
          <w:kern w:val="0"/>
          <w:sz w:val="34"/>
          <w:szCs w:val="34"/>
        </w:rPr>
        <w:t>0</w:t>
      </w:r>
      <w:r>
        <w:rPr>
          <w:rFonts w:cs="方正仿宋_GBK" w:asciiTheme="majorEastAsia" w:hAnsiTheme="majorEastAsia" w:eastAsiaTheme="majorEastAsia"/>
          <w:kern w:val="0"/>
          <w:sz w:val="34"/>
          <w:szCs w:val="34"/>
        </w:rPr>
        <w:t>辆；单位价值50万元以上通用设备</w:t>
      </w:r>
      <w:r>
        <w:rPr>
          <w:rFonts w:hint="eastAsia" w:cs="方正仿宋_GBK" w:asciiTheme="majorEastAsia" w:hAnsiTheme="majorEastAsia" w:eastAsiaTheme="majorEastAsia"/>
          <w:kern w:val="0"/>
          <w:sz w:val="34"/>
          <w:szCs w:val="34"/>
        </w:rPr>
        <w:t>0</w:t>
      </w:r>
      <w:r>
        <w:rPr>
          <w:rFonts w:cs="方正仿宋_GBK" w:asciiTheme="majorEastAsia" w:hAnsiTheme="majorEastAsia" w:eastAsiaTheme="majorEastAsia"/>
          <w:kern w:val="0"/>
          <w:sz w:val="34"/>
          <w:szCs w:val="34"/>
        </w:rPr>
        <w:t>台，单位价值100万元以上专用设备</w:t>
      </w:r>
      <w:r>
        <w:rPr>
          <w:rFonts w:hint="eastAsia" w:cs="方正仿宋_GBK" w:asciiTheme="majorEastAsia" w:hAnsiTheme="majorEastAsia" w:eastAsiaTheme="majorEastAsia"/>
          <w:kern w:val="0"/>
          <w:sz w:val="34"/>
          <w:szCs w:val="34"/>
        </w:rPr>
        <w:t>0</w:t>
      </w:r>
      <w:r>
        <w:rPr>
          <w:rFonts w:cs="方正仿宋_GBK" w:asciiTheme="majorEastAsia" w:hAnsiTheme="majorEastAsia" w:eastAsiaTheme="majorEastAsia"/>
          <w:kern w:val="0"/>
          <w:sz w:val="34"/>
          <w:szCs w:val="34"/>
        </w:rPr>
        <w:t>台。</w:t>
      </w:r>
      <w:r>
        <w:rPr>
          <w:rFonts w:hint="eastAsia" w:cs="方正仿宋_GBK" w:asciiTheme="majorEastAsia" w:hAnsiTheme="majorEastAsia" w:eastAsiaTheme="majorEastAsia"/>
          <w:kern w:val="0"/>
          <w:sz w:val="34"/>
          <w:szCs w:val="34"/>
        </w:rPr>
        <w:t>2021</w:t>
      </w:r>
      <w:r>
        <w:rPr>
          <w:rFonts w:cs="方正仿宋_GBK" w:asciiTheme="majorEastAsia" w:hAnsiTheme="majorEastAsia" w:eastAsiaTheme="majorEastAsia"/>
          <w:kern w:val="0"/>
          <w:sz w:val="34"/>
          <w:szCs w:val="34"/>
        </w:rPr>
        <w:t>年拟新增配置公务用车</w:t>
      </w:r>
      <w:r>
        <w:rPr>
          <w:rFonts w:hint="eastAsia" w:cs="方正仿宋_GBK" w:asciiTheme="majorEastAsia" w:hAnsiTheme="majorEastAsia" w:eastAsiaTheme="majorEastAsia"/>
          <w:kern w:val="0"/>
          <w:sz w:val="34"/>
          <w:szCs w:val="34"/>
        </w:rPr>
        <w:t>0</w:t>
      </w:r>
      <w:r>
        <w:rPr>
          <w:rFonts w:cs="方正仿宋_GBK" w:asciiTheme="majorEastAsia" w:hAnsiTheme="majorEastAsia" w:eastAsiaTheme="majorEastAsia"/>
          <w:kern w:val="0"/>
          <w:sz w:val="34"/>
          <w:szCs w:val="34"/>
        </w:rPr>
        <w:t>辆，其中，机要通信用车</w:t>
      </w:r>
      <w:r>
        <w:rPr>
          <w:rFonts w:hint="eastAsia" w:cs="方正仿宋_GBK" w:asciiTheme="majorEastAsia" w:hAnsiTheme="majorEastAsia" w:eastAsiaTheme="majorEastAsia"/>
          <w:kern w:val="0"/>
          <w:sz w:val="34"/>
          <w:szCs w:val="34"/>
        </w:rPr>
        <w:t>0</w:t>
      </w:r>
      <w:r>
        <w:rPr>
          <w:rFonts w:cs="方正仿宋_GBK" w:asciiTheme="majorEastAsia" w:hAnsiTheme="majorEastAsia" w:eastAsiaTheme="majorEastAsia"/>
          <w:kern w:val="0"/>
          <w:sz w:val="34"/>
          <w:szCs w:val="34"/>
        </w:rPr>
        <w:t xml:space="preserve"> 辆，应急保障用车</w:t>
      </w:r>
      <w:r>
        <w:rPr>
          <w:rFonts w:hint="eastAsia" w:cs="方正仿宋_GBK" w:asciiTheme="majorEastAsia" w:hAnsiTheme="majorEastAsia" w:eastAsiaTheme="majorEastAsia"/>
          <w:kern w:val="0"/>
          <w:sz w:val="34"/>
          <w:szCs w:val="34"/>
        </w:rPr>
        <w:t>0</w:t>
      </w:r>
      <w:r>
        <w:rPr>
          <w:rFonts w:cs="方正仿宋_GBK" w:asciiTheme="majorEastAsia" w:hAnsiTheme="majorEastAsia" w:eastAsiaTheme="majorEastAsia"/>
          <w:kern w:val="0"/>
          <w:sz w:val="34"/>
          <w:szCs w:val="34"/>
        </w:rPr>
        <w:t>辆，执法执勤用车</w:t>
      </w:r>
      <w:r>
        <w:rPr>
          <w:rFonts w:hint="eastAsia" w:cs="方正仿宋_GBK" w:asciiTheme="majorEastAsia" w:hAnsiTheme="majorEastAsia" w:eastAsiaTheme="majorEastAsia"/>
          <w:kern w:val="0"/>
          <w:sz w:val="34"/>
          <w:szCs w:val="34"/>
        </w:rPr>
        <w:t>0</w:t>
      </w:r>
      <w:r>
        <w:rPr>
          <w:rFonts w:cs="方正仿宋_GBK" w:asciiTheme="majorEastAsia" w:hAnsiTheme="majorEastAsia" w:eastAsiaTheme="majorEastAsia"/>
          <w:kern w:val="0"/>
          <w:sz w:val="34"/>
          <w:szCs w:val="34"/>
        </w:rPr>
        <w:t>辆，特种专业技术用车</w:t>
      </w:r>
      <w:r>
        <w:rPr>
          <w:rFonts w:hint="eastAsia" w:cs="方正仿宋_GBK" w:asciiTheme="majorEastAsia" w:hAnsiTheme="majorEastAsia" w:eastAsiaTheme="majorEastAsia"/>
          <w:kern w:val="0"/>
          <w:sz w:val="34"/>
          <w:szCs w:val="34"/>
        </w:rPr>
        <w:t>0</w:t>
      </w:r>
      <w:r>
        <w:rPr>
          <w:rFonts w:cs="方正仿宋_GBK" w:asciiTheme="majorEastAsia" w:hAnsiTheme="majorEastAsia" w:eastAsiaTheme="majorEastAsia"/>
          <w:kern w:val="0"/>
          <w:sz w:val="34"/>
          <w:szCs w:val="34"/>
        </w:rPr>
        <w:t>辆，其他按照规定配备的公务用车</w:t>
      </w:r>
      <w:r>
        <w:rPr>
          <w:rFonts w:hint="eastAsia" w:cs="方正仿宋_GBK" w:asciiTheme="majorEastAsia" w:hAnsiTheme="majorEastAsia" w:eastAsiaTheme="majorEastAsia"/>
          <w:kern w:val="0"/>
          <w:sz w:val="34"/>
          <w:szCs w:val="34"/>
        </w:rPr>
        <w:t>0</w:t>
      </w:r>
      <w:r>
        <w:rPr>
          <w:rFonts w:cs="方正仿宋_GBK" w:asciiTheme="majorEastAsia" w:hAnsiTheme="majorEastAsia" w:eastAsiaTheme="majorEastAsia"/>
          <w:kern w:val="0"/>
          <w:sz w:val="34"/>
          <w:szCs w:val="34"/>
        </w:rPr>
        <w:t>辆；新增配备单位价值50万元以上通用设备</w:t>
      </w:r>
      <w:r>
        <w:rPr>
          <w:rFonts w:hint="eastAsia" w:cs="方正仿宋_GBK" w:asciiTheme="majorEastAsia" w:hAnsiTheme="majorEastAsia" w:eastAsiaTheme="majorEastAsia"/>
          <w:kern w:val="0"/>
          <w:sz w:val="34"/>
          <w:szCs w:val="34"/>
        </w:rPr>
        <w:t>0</w:t>
      </w:r>
      <w:r>
        <w:rPr>
          <w:rFonts w:cs="方正仿宋_GBK" w:asciiTheme="majorEastAsia" w:hAnsiTheme="majorEastAsia" w:eastAsiaTheme="majorEastAsia"/>
          <w:kern w:val="0"/>
          <w:sz w:val="34"/>
          <w:szCs w:val="34"/>
        </w:rPr>
        <w:t xml:space="preserve">台，单位价值100万元以上专用设备 </w:t>
      </w:r>
      <w:r>
        <w:rPr>
          <w:rFonts w:hint="eastAsia" w:cs="方正仿宋_GBK" w:asciiTheme="majorEastAsia" w:hAnsiTheme="majorEastAsia" w:eastAsiaTheme="majorEastAsia"/>
          <w:kern w:val="0"/>
          <w:sz w:val="34"/>
          <w:szCs w:val="34"/>
        </w:rPr>
        <w:t>0</w:t>
      </w:r>
      <w:r>
        <w:rPr>
          <w:rFonts w:cs="方正仿宋_GBK" w:asciiTheme="majorEastAsia" w:hAnsiTheme="majorEastAsia" w:eastAsiaTheme="majorEastAsia"/>
          <w:kern w:val="0"/>
          <w:sz w:val="34"/>
          <w:szCs w:val="34"/>
        </w:rPr>
        <w:t xml:space="preserve"> 台。</w:t>
      </w:r>
    </w:p>
    <w:p>
      <w:pPr>
        <w:widowControl/>
        <w:spacing w:line="600" w:lineRule="exact"/>
        <w:ind w:firstLine="680" w:firstLineChars="200"/>
        <w:jc w:val="left"/>
        <w:rPr>
          <w:rFonts w:cs="方正仿宋_GBK" w:asciiTheme="majorEastAsia" w:hAnsiTheme="majorEastAsia" w:eastAsiaTheme="majorEastAsia"/>
          <w:b/>
          <w:kern w:val="0"/>
          <w:sz w:val="34"/>
          <w:szCs w:val="34"/>
        </w:rPr>
      </w:pPr>
      <w:r>
        <w:rPr>
          <w:rFonts w:hint="eastAsia" w:cs="方正仿宋_GBK" w:asciiTheme="majorEastAsia" w:hAnsiTheme="majorEastAsia" w:eastAsiaTheme="majorEastAsia"/>
          <w:b/>
          <w:kern w:val="0"/>
          <w:sz w:val="34"/>
          <w:szCs w:val="34"/>
        </w:rPr>
        <w:t>十四、关于2020年度预算绩效情况说明</w:t>
      </w:r>
    </w:p>
    <w:p>
      <w:pPr>
        <w:widowControl/>
        <w:spacing w:line="600" w:lineRule="exact"/>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为进一步规范财政资金管理、强化绩效和责任意识，切实提高财政资金使用效益，根据财政预算管理要求及省财政厅的统一部署，我局对2020年度部门整体支出认真开展绩效自评，按财政要求及时报送了《衡南县文化旅游广电体育局2020年度部门整体支出绩效评价报告》、《部门整体支出绩效评价基础数据表》等表格及佐证资料，并在门户网站上进行了公开。</w:t>
      </w:r>
    </w:p>
    <w:p>
      <w:pPr>
        <w:widowControl/>
        <w:spacing w:line="600" w:lineRule="exact"/>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2020年，我厅严格贯彻落实县委、县政府关于党政机关厉行节约的有关要求，牢固树立“过紧日子”思想，坚持精打细算、勤俭节约，优化支出结构，大力压减一般性支出，保障重点支出，严格审核把关，加强“三公”经费管理，优化资产配置，切实规范有关资产管理，严格政府采购，强化国有资产信息化管理和动态监控，完善内控制度，切实严肃财经纪律，圆满完成了全年各项工作任务，得到了县委、县政府的充分肯定以及社会各界的普遍好评。我局连续多年保持县政府绩效评估优秀等次、文明标兵单位和综合治理先进单位等荣誉。</w:t>
      </w:r>
    </w:p>
    <w:p>
      <w:pPr>
        <w:widowControl/>
        <w:jc w:val="left"/>
        <w:rPr>
          <w:rFonts w:cs="黑体" w:asciiTheme="majorEastAsia" w:hAnsiTheme="majorEastAsia" w:eastAsiaTheme="majorEastAsia"/>
          <w:color w:val="000000"/>
          <w:kern w:val="0"/>
          <w:sz w:val="32"/>
          <w:szCs w:val="32"/>
        </w:rPr>
      </w:pPr>
      <w:r>
        <w:rPr>
          <w:rFonts w:cs="黑体" w:asciiTheme="majorEastAsia" w:hAnsiTheme="majorEastAsia" w:eastAsiaTheme="majorEastAsia"/>
          <w:color w:val="000000"/>
          <w:kern w:val="0"/>
          <w:sz w:val="32"/>
          <w:szCs w:val="32"/>
        </w:rPr>
        <w:br w:type="page"/>
      </w:r>
    </w:p>
    <w:p>
      <w:pPr>
        <w:ind w:firstLine="640" w:firstLineChars="200"/>
        <w:rPr>
          <w:rFonts w:cs="黑体" w:asciiTheme="minorEastAsia" w:hAnsiTheme="minorEastAsia"/>
          <w:color w:val="000000"/>
          <w:kern w:val="0"/>
          <w:sz w:val="32"/>
          <w:szCs w:val="32"/>
        </w:rPr>
      </w:pPr>
    </w:p>
    <w:p>
      <w:pPr>
        <w:pStyle w:val="14"/>
        <w:spacing w:before="0" w:beforeAutospacing="0"/>
        <w:jc w:val="center"/>
        <w:rPr>
          <w:rFonts w:hint="default" w:ascii="方正小标宋_GBK" w:hAnsi="方正小标宋_GBK" w:eastAsia="方正小标宋_GBK" w:cs="方正小标宋_GBK"/>
          <w:sz w:val="40"/>
          <w:szCs w:val="40"/>
          <w:shd w:val="clear" w:color="auto" w:fill="FFFFFF"/>
        </w:rPr>
      </w:pPr>
    </w:p>
    <w:p>
      <w:pPr>
        <w:pStyle w:val="14"/>
        <w:spacing w:before="0" w:beforeAutospacing="0"/>
        <w:jc w:val="center"/>
        <w:rPr>
          <w:rFonts w:hint="default" w:ascii="方正小标宋_GBK" w:hAnsi="方正小标宋_GBK" w:eastAsia="方正小标宋_GBK" w:cs="方正小标宋_GBK"/>
          <w:sz w:val="40"/>
          <w:szCs w:val="40"/>
          <w:shd w:val="clear" w:color="auto" w:fill="FFFFFF"/>
        </w:rPr>
      </w:pPr>
    </w:p>
    <w:p>
      <w:pPr>
        <w:pStyle w:val="14"/>
        <w:spacing w:before="0" w:beforeAutospacing="0"/>
        <w:jc w:val="center"/>
        <w:rPr>
          <w:rFonts w:hint="default" w:ascii="方正小标宋_GBK" w:hAnsi="方正小标宋_GBK" w:eastAsia="方正小标宋_GBK" w:cs="方正小标宋_GBK"/>
          <w:sz w:val="40"/>
          <w:szCs w:val="40"/>
          <w:shd w:val="clear" w:color="auto" w:fill="FFFFFF"/>
        </w:rPr>
      </w:pPr>
    </w:p>
    <w:p>
      <w:pPr>
        <w:pStyle w:val="14"/>
        <w:spacing w:before="0" w:beforeAutospacing="0"/>
        <w:jc w:val="center"/>
        <w:rPr>
          <w:rFonts w:hint="default" w:ascii="方正小标宋_GBK" w:hAnsi="方正小标宋_GBK" w:eastAsia="方正小标宋_GBK" w:cs="方正小标宋_GBK"/>
          <w:sz w:val="40"/>
          <w:szCs w:val="40"/>
          <w:shd w:val="clear" w:color="auto" w:fill="FFFFFF"/>
        </w:rPr>
      </w:pPr>
    </w:p>
    <w:p>
      <w:pPr>
        <w:pStyle w:val="14"/>
        <w:spacing w:before="0" w:beforeAutospacing="0"/>
        <w:jc w:val="center"/>
        <w:rPr>
          <w:rFonts w:hint="default" w:ascii="方正小标宋_GBK" w:hAnsi="方正小标宋_GBK" w:eastAsia="方正小标宋_GBK" w:cs="方正小标宋_GBK"/>
          <w:sz w:val="40"/>
          <w:szCs w:val="40"/>
          <w:shd w:val="clear" w:color="auto" w:fill="FFFFFF"/>
        </w:rPr>
      </w:pPr>
    </w:p>
    <w:p>
      <w:pPr>
        <w:widowControl/>
        <w:jc w:val="center"/>
        <w:rPr>
          <w:rFonts w:ascii="方正小标宋_GBK" w:hAnsi="方正小标宋_GBK" w:eastAsia="方正小标宋_GBK" w:cs="方正小标宋_GBK"/>
          <w:kern w:val="0"/>
          <w:sz w:val="52"/>
          <w:szCs w:val="52"/>
        </w:rPr>
      </w:pPr>
      <w:r>
        <w:rPr>
          <w:rFonts w:ascii="方正小标宋_GBK" w:hAnsi="方正小标宋_GBK" w:eastAsia="方正小标宋_GBK" w:cs="方正小标宋_GBK"/>
          <w:kern w:val="0"/>
          <w:sz w:val="52"/>
          <w:szCs w:val="52"/>
        </w:rPr>
        <w:t>第四部分</w:t>
      </w:r>
    </w:p>
    <w:p>
      <w:pPr>
        <w:widowControl/>
        <w:jc w:val="center"/>
        <w:rPr>
          <w:rFonts w:ascii="方正小标宋_GBK" w:hAnsi="方正小标宋_GBK" w:eastAsia="方正小标宋_GBK" w:cs="方正小标宋_GBK"/>
          <w:kern w:val="0"/>
          <w:sz w:val="52"/>
          <w:szCs w:val="52"/>
        </w:rPr>
      </w:pPr>
      <w:r>
        <w:rPr>
          <w:rFonts w:ascii="方正小标宋_GBK" w:hAnsi="方正小标宋_GBK" w:eastAsia="方正小标宋_GBK" w:cs="方正小标宋_GBK"/>
          <w:kern w:val="0"/>
          <w:sz w:val="52"/>
          <w:szCs w:val="52"/>
        </w:rPr>
        <w:t>名词解释</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ind w:firstLine="680" w:firstLineChars="200"/>
        <w:jc w:val="left"/>
        <w:rPr>
          <w:rFonts w:ascii="方正仿宋_GBK" w:hAnsi="方正仿宋_GBK" w:eastAsia="方正仿宋_GBK" w:cs="方正仿宋_GBK"/>
          <w:b/>
          <w:kern w:val="0"/>
          <w:sz w:val="34"/>
          <w:szCs w:val="34"/>
        </w:rPr>
      </w:pPr>
    </w:p>
    <w:p>
      <w:pPr>
        <w:widowControl/>
        <w:spacing w:line="600" w:lineRule="exact"/>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一、财政拨款收入：指财政部门核拨给单位的财政预算资金。</w:t>
      </w:r>
    </w:p>
    <w:p>
      <w:pPr>
        <w:ind w:firstLine="680" w:firstLineChars="200"/>
        <w:jc w:val="left"/>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二、一般公共服务支出（类）财政事务（款）财政国库业务项:指国库业务经费。</w:t>
      </w:r>
    </w:p>
    <w:p>
      <w:pPr>
        <w:ind w:firstLine="680" w:firstLineChars="200"/>
        <w:jc w:val="left"/>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三、文化旅游体育与传媒支出（类）文化和旅游（款）行政运行（项）：指指财政部门核拨给单位的基本工资和津贴。</w:t>
      </w:r>
    </w:p>
    <w:p>
      <w:pPr>
        <w:ind w:firstLine="680" w:firstLineChars="200"/>
        <w:jc w:val="left"/>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四、文化旅游体育与传媒支出（类）文化和旅游（款）一般行政管理事务（项）：指指财政部门核拨给单位的公用经费。</w:t>
      </w:r>
    </w:p>
    <w:p>
      <w:pPr>
        <w:ind w:firstLine="680" w:firstLineChars="200"/>
        <w:jc w:val="left"/>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五、文化旅游体育与传媒支出（类）文化和旅游（款）（文化活动、群众文化、文化创作与保护、文化和旅游市场管理、其他文化和旅游支出）（项）：指财政部门核拨给单位的专项经费。</w:t>
      </w:r>
    </w:p>
    <w:p>
      <w:pPr>
        <w:ind w:firstLine="680" w:firstLineChars="200"/>
        <w:jc w:val="left"/>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六、文化旅游体育与传媒支出（类）体育（款）（体育训练、群众体育）项：指财政部门核拨给单位的专项经费。</w:t>
      </w:r>
    </w:p>
    <w:p>
      <w:pPr>
        <w:ind w:firstLine="680" w:firstLineChars="200"/>
        <w:jc w:val="left"/>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七、文化旅游体育与传媒支出（类）新闻出版电影（款）其他新闻出版电影支出（项）：指财政部门核拨给单位的专项经费。</w:t>
      </w:r>
    </w:p>
    <w:p>
      <w:pPr>
        <w:ind w:firstLine="680" w:firstLineChars="200"/>
        <w:jc w:val="left"/>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八、文化旅游体育与传媒支出（类）其他文化体育与传媒支出（项）：指财政部门核拨给单位的专项经费。</w:t>
      </w:r>
    </w:p>
    <w:p>
      <w:pPr>
        <w:ind w:firstLine="680" w:firstLineChars="200"/>
        <w:jc w:val="left"/>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九、社会保障和就业支出（类）行政事业单位离退休（款）机关事业单位基本养老保险缴费支出（项）：指本级及文化站基本养老保险缴费支出。</w:t>
      </w:r>
    </w:p>
    <w:p>
      <w:pPr>
        <w:ind w:firstLine="680" w:firstLineChars="200"/>
        <w:jc w:val="left"/>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十、社会保障和就业支出（类）抚恤（款）死亡抚恤、其他优抚支出（项）：指本级及文化站抚恤支出。</w:t>
      </w:r>
    </w:p>
    <w:p>
      <w:pPr>
        <w:ind w:firstLine="680" w:firstLineChars="200"/>
        <w:jc w:val="left"/>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十一、卫生健康支出（类）行政事业单位医疗（款）行政单位医疗（项）：指本级医疗保障经费。</w:t>
      </w:r>
    </w:p>
    <w:p>
      <w:pPr>
        <w:widowControl/>
        <w:spacing w:line="600" w:lineRule="exact"/>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十二、卫生健康支出（类）行政事业单位医疗（款）事业单位医疗（项）：指文化站医疗保障经费。</w:t>
      </w:r>
    </w:p>
    <w:p>
      <w:pPr>
        <w:widowControl/>
        <w:spacing w:line="600" w:lineRule="exact"/>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十三、住房保障支出（类）住房改革支出（款）住房公积金（项）：指本级住房公积金。</w:t>
      </w:r>
    </w:p>
    <w:p>
      <w:pPr>
        <w:widowControl/>
        <w:spacing w:line="600" w:lineRule="exact"/>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十四、其他支出（类）彩票公益安排的支出（款）用于社会福利的彩票公益金支出（项）：指体彩公益金专项经费。</w:t>
      </w:r>
    </w:p>
    <w:p>
      <w:pPr>
        <w:widowControl/>
        <w:jc w:val="left"/>
        <w:rPr>
          <w:rFonts w:asciiTheme="minorEastAsia" w:hAnsiTheme="minorEastAsia"/>
          <w:i/>
          <w:color w:val="FF0000"/>
          <w:sz w:val="32"/>
          <w:szCs w:val="32"/>
        </w:rPr>
      </w:pPr>
      <w:r>
        <w:rPr>
          <w:rFonts w:asciiTheme="minorEastAsia" w:hAnsiTheme="minorEastAsia"/>
          <w:i/>
          <w:color w:val="FF0000"/>
          <w:sz w:val="32"/>
          <w:szCs w:val="32"/>
        </w:rPr>
        <w:br w:type="page"/>
      </w: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widowControl/>
        <w:jc w:val="center"/>
        <w:rPr>
          <w:rFonts w:ascii="方正小标宋_GBK" w:hAnsi="方正小标宋_GBK" w:eastAsia="方正小标宋_GBK" w:cs="方正小标宋_GBK"/>
          <w:kern w:val="0"/>
          <w:sz w:val="52"/>
          <w:szCs w:val="52"/>
        </w:rPr>
      </w:pPr>
      <w:r>
        <w:rPr>
          <w:rFonts w:ascii="方正小标宋_GBK" w:hAnsi="方正小标宋_GBK" w:eastAsia="方正小标宋_GBK" w:cs="方正小标宋_GBK"/>
          <w:kern w:val="0"/>
          <w:sz w:val="52"/>
          <w:szCs w:val="52"/>
        </w:rPr>
        <w:t>第五部分</w:t>
      </w:r>
    </w:p>
    <w:p>
      <w:pPr>
        <w:widowControl/>
        <w:jc w:val="center"/>
        <w:rPr>
          <w:rFonts w:ascii="方正小标宋_GBK" w:hAnsi="方正小标宋_GBK" w:eastAsia="方正小标宋_GBK" w:cs="方正小标宋_GBK"/>
          <w:kern w:val="0"/>
          <w:sz w:val="52"/>
          <w:szCs w:val="52"/>
        </w:rPr>
      </w:pPr>
      <w:r>
        <w:rPr>
          <w:rFonts w:ascii="方正小标宋_GBK" w:hAnsi="方正小标宋_GBK" w:eastAsia="方正小标宋_GBK" w:cs="方正小标宋_GBK"/>
          <w:kern w:val="0"/>
          <w:sz w:val="52"/>
          <w:szCs w:val="52"/>
        </w:rPr>
        <w:t>附件</w:t>
      </w:r>
    </w:p>
    <w:p>
      <w:pPr>
        <w:widowControl/>
        <w:spacing w:line="600" w:lineRule="exact"/>
        <w:jc w:val="center"/>
        <w:rPr>
          <w:rFonts w:ascii="方正仿宋_GBK" w:hAnsi="方正仿宋_GBK" w:eastAsia="方正仿宋_GBK" w:cs="方正仿宋_GBK"/>
          <w:b/>
          <w:bCs/>
          <w:kern w:val="0"/>
          <w:sz w:val="34"/>
          <w:szCs w:val="34"/>
        </w:rPr>
      </w:pPr>
    </w:p>
    <w:p>
      <w:pPr>
        <w:widowControl/>
        <w:spacing w:line="600" w:lineRule="exact"/>
        <w:jc w:val="center"/>
        <w:rPr>
          <w:rFonts w:ascii="黑体" w:eastAsia="黑体" w:cs="黑体"/>
          <w:color w:val="000000"/>
          <w:kern w:val="0"/>
          <w:sz w:val="70"/>
          <w:szCs w:val="70"/>
        </w:rPr>
      </w:pPr>
    </w:p>
    <w:p>
      <w:pPr>
        <w:widowControl/>
        <w:spacing w:line="600" w:lineRule="exact"/>
        <w:jc w:val="center"/>
        <w:rPr>
          <w:rFonts w:ascii="黑体" w:eastAsia="黑体" w:cs="黑体"/>
          <w:color w:val="000000"/>
          <w:kern w:val="0"/>
          <w:sz w:val="70"/>
          <w:szCs w:val="70"/>
        </w:rPr>
      </w:pPr>
    </w:p>
    <w:p>
      <w:pPr>
        <w:widowControl/>
        <w:spacing w:line="600" w:lineRule="exact"/>
        <w:jc w:val="center"/>
        <w:rPr>
          <w:rFonts w:ascii="黑体" w:eastAsia="黑体" w:cs="黑体"/>
          <w:color w:val="000000"/>
          <w:kern w:val="0"/>
          <w:sz w:val="70"/>
          <w:szCs w:val="70"/>
        </w:rPr>
      </w:pPr>
    </w:p>
    <w:p>
      <w:pPr>
        <w:widowControl/>
        <w:spacing w:line="600" w:lineRule="exact"/>
        <w:jc w:val="center"/>
        <w:rPr>
          <w:rFonts w:ascii="黑体" w:eastAsia="黑体" w:cs="黑体"/>
          <w:color w:val="000000"/>
          <w:kern w:val="0"/>
          <w:sz w:val="70"/>
          <w:szCs w:val="70"/>
        </w:rPr>
      </w:pPr>
    </w:p>
    <w:p>
      <w:pPr>
        <w:widowControl/>
        <w:spacing w:line="600" w:lineRule="exact"/>
        <w:jc w:val="center"/>
        <w:rPr>
          <w:rFonts w:ascii="黑体" w:eastAsia="黑体" w:cs="黑体"/>
          <w:color w:val="000000"/>
          <w:kern w:val="0"/>
          <w:sz w:val="70"/>
          <w:szCs w:val="70"/>
        </w:rPr>
      </w:pPr>
    </w:p>
    <w:p>
      <w:pPr>
        <w:widowControl/>
        <w:spacing w:line="600" w:lineRule="exact"/>
        <w:jc w:val="center"/>
        <w:rPr>
          <w:rFonts w:ascii="黑体" w:eastAsia="黑体" w:cs="黑体"/>
          <w:color w:val="000000"/>
          <w:kern w:val="0"/>
          <w:sz w:val="70"/>
          <w:szCs w:val="70"/>
        </w:rPr>
      </w:pPr>
    </w:p>
    <w:p>
      <w:pPr>
        <w:widowControl/>
        <w:spacing w:line="600" w:lineRule="exact"/>
        <w:jc w:val="center"/>
        <w:rPr>
          <w:rFonts w:ascii="黑体" w:eastAsia="黑体" w:cs="黑体"/>
          <w:color w:val="000000"/>
          <w:kern w:val="0"/>
          <w:sz w:val="70"/>
          <w:szCs w:val="70"/>
        </w:rPr>
      </w:pPr>
    </w:p>
    <w:p>
      <w:pPr>
        <w:widowControl/>
        <w:spacing w:line="600" w:lineRule="exact"/>
        <w:jc w:val="center"/>
        <w:rPr>
          <w:rFonts w:ascii="黑体" w:eastAsia="黑体" w:cs="黑体"/>
          <w:color w:val="000000"/>
          <w:kern w:val="0"/>
          <w:sz w:val="70"/>
          <w:szCs w:val="70"/>
        </w:rPr>
      </w:pPr>
    </w:p>
    <w:p>
      <w:pPr>
        <w:widowControl/>
        <w:spacing w:line="600" w:lineRule="exact"/>
        <w:jc w:val="center"/>
        <w:rPr>
          <w:rFonts w:ascii="黑体" w:eastAsia="黑体" w:cs="黑体"/>
          <w:color w:val="000000"/>
          <w:kern w:val="0"/>
          <w:sz w:val="70"/>
          <w:szCs w:val="70"/>
        </w:rPr>
      </w:pPr>
    </w:p>
    <w:p>
      <w:pPr>
        <w:jc w:val="center"/>
        <w:rPr>
          <w:rFonts w:eastAsia="方正小标宋_GBK"/>
          <w:sz w:val="48"/>
          <w:szCs w:val="48"/>
        </w:rPr>
      </w:pPr>
    </w:p>
    <w:p>
      <w:pPr>
        <w:jc w:val="center"/>
        <w:rPr>
          <w:rFonts w:eastAsia="方正小标宋_GBK"/>
          <w:sz w:val="48"/>
          <w:szCs w:val="48"/>
        </w:rPr>
      </w:pPr>
    </w:p>
    <w:p>
      <w:pPr>
        <w:jc w:val="center"/>
        <w:rPr>
          <w:rFonts w:eastAsia="方正小标宋_GBK"/>
          <w:sz w:val="48"/>
          <w:szCs w:val="48"/>
        </w:rPr>
      </w:pPr>
      <w:r>
        <w:rPr>
          <w:rFonts w:hint="eastAsia" w:eastAsia="方正小标宋_GBK"/>
          <w:sz w:val="48"/>
          <w:szCs w:val="48"/>
        </w:rPr>
        <w:t>衡南县文化旅游广电体育局</w:t>
      </w:r>
    </w:p>
    <w:p>
      <w:pPr>
        <w:spacing w:line="600" w:lineRule="exact"/>
        <w:jc w:val="center"/>
        <w:rPr>
          <w:rFonts w:eastAsia="方正小标宋_GBK"/>
          <w:sz w:val="48"/>
          <w:szCs w:val="48"/>
        </w:rPr>
      </w:pPr>
      <w:r>
        <w:rPr>
          <w:rFonts w:eastAsia="方正小标宋_GBK"/>
          <w:sz w:val="48"/>
          <w:szCs w:val="48"/>
        </w:rPr>
        <w:t>20</w:t>
      </w:r>
      <w:r>
        <w:rPr>
          <w:rFonts w:hint="eastAsia" w:eastAsia="方正小标宋_GBK"/>
          <w:sz w:val="48"/>
          <w:szCs w:val="48"/>
        </w:rPr>
        <w:t>20年</w:t>
      </w:r>
      <w:r>
        <w:rPr>
          <w:rFonts w:eastAsia="方正小标宋_GBK"/>
          <w:sz w:val="48"/>
          <w:szCs w:val="48"/>
        </w:rPr>
        <w:t>整体支出绩效评价报告</w:t>
      </w:r>
    </w:p>
    <w:p>
      <w:pPr>
        <w:spacing w:line="600" w:lineRule="exact"/>
        <w:jc w:val="center"/>
        <w:rPr>
          <w:rFonts w:eastAsia="方正小标宋简体"/>
          <w:sz w:val="52"/>
          <w:szCs w:val="52"/>
        </w:rPr>
      </w:pPr>
    </w:p>
    <w:p>
      <w:pPr>
        <w:spacing w:line="600" w:lineRule="exact"/>
        <w:jc w:val="left"/>
        <w:rPr>
          <w:rFonts w:ascii="仿宋" w:hAnsi="仿宋" w:eastAsia="仿宋" w:cs="仿宋_GB2312"/>
          <w:sz w:val="32"/>
          <w:szCs w:val="32"/>
        </w:rPr>
      </w:pPr>
    </w:p>
    <w:p>
      <w:pPr>
        <w:pStyle w:val="5"/>
        <w:spacing w:line="360" w:lineRule="atLeast"/>
        <w:ind w:firstLine="680" w:firstLineChars="200"/>
        <w:rPr>
          <w:rFonts w:cs="方正仿宋_GBK" w:asciiTheme="majorEastAsia" w:hAnsiTheme="majorEastAsia" w:eastAsiaTheme="majorEastAsia"/>
          <w:sz w:val="34"/>
          <w:szCs w:val="34"/>
        </w:rPr>
      </w:pPr>
      <w:r>
        <w:rPr>
          <w:rFonts w:hint="eastAsia" w:cs="方正仿宋_GBK" w:asciiTheme="majorEastAsia" w:hAnsiTheme="majorEastAsia" w:eastAsiaTheme="majorEastAsia"/>
          <w:sz w:val="34"/>
          <w:szCs w:val="34"/>
        </w:rPr>
        <w:t>根据《湖南省委办公厅湖南省人民政府办公厅关于全面实施预算绩效管理的意见》（湘办发【2019】10号）、财政部《项目支出绩效评价管理办法》（财预【2020】10号）、《湖南省预算绩效目标管理办法》（湘财绩【2020】7号）和《衡南县预算绩效管理工作考核办法》（清财绩【2021】66号）等文件要求，我局对2020年度部门整体支出绩效进行了全面综合评价，现将情况报告如下：：</w:t>
      </w:r>
    </w:p>
    <w:p>
      <w:pPr>
        <w:pStyle w:val="5"/>
        <w:spacing w:line="360" w:lineRule="atLeast"/>
        <w:ind w:firstLine="480"/>
        <w:rPr>
          <w:rFonts w:cs="方正仿宋_GBK" w:asciiTheme="majorEastAsia" w:hAnsiTheme="majorEastAsia" w:eastAsiaTheme="majorEastAsia"/>
          <w:b/>
          <w:sz w:val="34"/>
          <w:szCs w:val="34"/>
        </w:rPr>
      </w:pPr>
      <w:r>
        <w:rPr>
          <w:rFonts w:hint="eastAsia" w:cs="方正仿宋_GBK" w:asciiTheme="majorEastAsia" w:hAnsiTheme="majorEastAsia" w:eastAsiaTheme="majorEastAsia"/>
          <w:b/>
          <w:sz w:val="34"/>
          <w:szCs w:val="34"/>
        </w:rPr>
        <w:t>一、部门概况</w:t>
      </w:r>
    </w:p>
    <w:p>
      <w:pPr>
        <w:pStyle w:val="5"/>
        <w:spacing w:line="360" w:lineRule="atLeast"/>
        <w:ind w:firstLine="480"/>
        <w:rPr>
          <w:rFonts w:cs="方正仿宋_GBK" w:asciiTheme="majorEastAsia" w:hAnsiTheme="majorEastAsia" w:eastAsiaTheme="majorEastAsia"/>
          <w:sz w:val="34"/>
          <w:szCs w:val="34"/>
        </w:rPr>
      </w:pPr>
      <w:r>
        <w:rPr>
          <w:rFonts w:hint="eastAsia" w:cs="方正仿宋_GBK" w:asciiTheme="majorEastAsia" w:hAnsiTheme="majorEastAsia" w:eastAsiaTheme="majorEastAsia"/>
          <w:sz w:val="34"/>
          <w:szCs w:val="34"/>
        </w:rPr>
        <w:t>（一）部门主要职能</w:t>
      </w:r>
    </w:p>
    <w:p>
      <w:pPr>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衡南县文化旅游广电体育局属全额财政拨款的行政机关单位。我局现设有办公室、政策法规与组织人事股、行政审批服务股、公共文化艺术服务股、旅游与文化遗产管理股、广播电视与科技规划发展肥、群体竞争训股、审计与财务股8个股室。有文化馆、图书馆、全民健身服务中心、旅游服务中心、文化综合市场执大队等6个二级机构。主要工作职责：</w:t>
      </w:r>
    </w:p>
    <w:p>
      <w:pPr>
        <w:numPr>
          <w:ilvl w:val="0"/>
          <w:numId w:val="1"/>
        </w:numPr>
        <w:ind w:firstLine="640"/>
        <w:rPr>
          <w:rFonts w:cs="方正仿宋_GBK" w:asciiTheme="majorEastAsia" w:hAnsiTheme="majorEastAsia" w:eastAsiaTheme="majorEastAsia"/>
          <w:kern w:val="0"/>
          <w:sz w:val="34"/>
          <w:szCs w:val="34"/>
        </w:rPr>
      </w:pPr>
      <w:r>
        <w:rPr>
          <w:rFonts w:cs="方正仿宋_GBK" w:asciiTheme="majorEastAsia" w:hAnsiTheme="majorEastAsia" w:eastAsiaTheme="majorEastAsia"/>
          <w:kern w:val="0"/>
          <w:sz w:val="34"/>
          <w:szCs w:val="34"/>
        </w:rPr>
        <w:t>贯彻执行党和国家有关文化（文物）、旅游、）播电视、体育工作的方针、政策和法律、法规，拟订全县文化（文物）、旅游、广播电视、体育事业发展战略、规划并组织实施；推进文化旅游广电体育领域体制机制改革。</w:t>
      </w:r>
    </w:p>
    <w:p>
      <w:pPr>
        <w:numPr>
          <w:ilvl w:val="0"/>
          <w:numId w:val="1"/>
        </w:numPr>
        <w:ind w:firstLine="640"/>
        <w:rPr>
          <w:rFonts w:cs="方正仿宋_GBK" w:asciiTheme="majorEastAsia" w:hAnsiTheme="majorEastAsia" w:eastAsiaTheme="majorEastAsia"/>
          <w:kern w:val="0"/>
          <w:sz w:val="34"/>
          <w:szCs w:val="34"/>
        </w:rPr>
      </w:pPr>
      <w:r>
        <w:rPr>
          <w:rFonts w:cs="方正仿宋_GBK" w:asciiTheme="majorEastAsia" w:hAnsiTheme="majorEastAsia" w:eastAsiaTheme="majorEastAsia"/>
          <w:kern w:val="0"/>
          <w:sz w:val="34"/>
          <w:szCs w:val="34"/>
        </w:rPr>
        <w:t>管理全县性重大文体</w:t>
      </w:r>
      <w:r>
        <w:rPr>
          <w:rFonts w:hint="eastAsia" w:cs="方正仿宋_GBK" w:asciiTheme="majorEastAsia" w:hAnsiTheme="majorEastAsia" w:eastAsiaTheme="majorEastAsia"/>
          <w:kern w:val="0"/>
          <w:sz w:val="34"/>
          <w:szCs w:val="34"/>
        </w:rPr>
        <w:t>旅游</w:t>
      </w:r>
      <w:r>
        <w:rPr>
          <w:rFonts w:cs="方正仿宋_GBK" w:asciiTheme="majorEastAsia" w:hAnsiTheme="majorEastAsia" w:eastAsiaTheme="majorEastAsia"/>
          <w:kern w:val="0"/>
          <w:sz w:val="34"/>
          <w:szCs w:val="34"/>
        </w:rPr>
        <w:t>活动，指导重点文体设施建设，统筹规划文化产业、旅游、广电、体育产业，组织实施文化、旅游、广电、体育资源普查、挖掘、保护和利用工作，促进文化、旅游、广电、体育产业发展。</w:t>
      </w:r>
    </w:p>
    <w:p>
      <w:pPr>
        <w:numPr>
          <w:ilvl w:val="0"/>
          <w:numId w:val="1"/>
        </w:numPr>
        <w:ind w:firstLine="640"/>
        <w:rPr>
          <w:rFonts w:cs="方正仿宋_GBK" w:asciiTheme="majorEastAsia" w:hAnsiTheme="majorEastAsia" w:eastAsiaTheme="majorEastAsia"/>
          <w:kern w:val="0"/>
          <w:sz w:val="34"/>
          <w:szCs w:val="34"/>
        </w:rPr>
      </w:pPr>
      <w:r>
        <w:rPr>
          <w:rFonts w:cs="方正仿宋_GBK" w:asciiTheme="majorEastAsia" w:hAnsiTheme="majorEastAsia" w:eastAsiaTheme="majorEastAsia"/>
          <w:kern w:val="0"/>
          <w:sz w:val="34"/>
          <w:szCs w:val="34"/>
        </w:rPr>
        <w:t>指导文化、旅游、广电、体育市场发展，对文化（文物）、旅游、广电、体育、新闻出版（版权）市场经营进行行业监管，推进行业信用体系建设，依法规范文化、文物、旅游、广电、体育市场。</w:t>
      </w:r>
    </w:p>
    <w:p>
      <w:pPr>
        <w:numPr>
          <w:ilvl w:val="0"/>
          <w:numId w:val="1"/>
        </w:numPr>
        <w:ind w:firstLine="640"/>
        <w:rPr>
          <w:rFonts w:cs="方正仿宋_GBK" w:asciiTheme="majorEastAsia" w:hAnsiTheme="majorEastAsia" w:eastAsiaTheme="majorEastAsia"/>
          <w:kern w:val="0"/>
          <w:sz w:val="34"/>
          <w:szCs w:val="34"/>
        </w:rPr>
      </w:pPr>
      <w:r>
        <w:rPr>
          <w:rFonts w:cs="方正仿宋_GBK" w:asciiTheme="majorEastAsia" w:hAnsiTheme="majorEastAsia" w:eastAsiaTheme="majorEastAsia"/>
          <w:kern w:val="0"/>
          <w:sz w:val="34"/>
          <w:szCs w:val="34"/>
        </w:rPr>
        <w:t>指导、推进文化（文物）、旅游、广电、体育科技创新发展，推进文化、旅游、广电、体育行业信息化、标准化建设。</w:t>
      </w:r>
    </w:p>
    <w:p>
      <w:pPr>
        <w:numPr>
          <w:ilvl w:val="0"/>
          <w:numId w:val="1"/>
        </w:numPr>
        <w:ind w:firstLine="640"/>
        <w:rPr>
          <w:rFonts w:cs="方正仿宋_GBK" w:asciiTheme="majorEastAsia" w:hAnsiTheme="majorEastAsia" w:eastAsiaTheme="majorEastAsia"/>
          <w:kern w:val="0"/>
          <w:sz w:val="34"/>
          <w:szCs w:val="34"/>
        </w:rPr>
      </w:pPr>
      <w:r>
        <w:rPr>
          <w:rFonts w:cs="方正仿宋_GBK" w:asciiTheme="majorEastAsia" w:hAnsiTheme="majorEastAsia" w:eastAsiaTheme="majorEastAsia"/>
          <w:kern w:val="0"/>
          <w:sz w:val="34"/>
          <w:szCs w:val="34"/>
        </w:rPr>
        <w:t>推进文化（文物）、旅游、广电、体育领域的公共服务，会同有关部门统筹安排文旅广体相关事业经费：规划、指导全县文化旅游广电体育产品生产；组织、指导、协调全县重点公共文化、旅游、广电、体育设施建设和基层公共文化、体育设施建设：负责指导公共图书馆、文化馆（站）、美术馆、博物馆、纪念馆、体育场（馆）等基层公共文化体育事业建设。</w:t>
      </w:r>
    </w:p>
    <w:p>
      <w:pPr>
        <w:numPr>
          <w:ilvl w:val="0"/>
          <w:numId w:val="1"/>
        </w:numPr>
        <w:ind w:firstLine="640"/>
        <w:rPr>
          <w:rFonts w:cs="方正仿宋_GBK" w:asciiTheme="majorEastAsia" w:hAnsiTheme="majorEastAsia" w:eastAsiaTheme="majorEastAsia"/>
          <w:kern w:val="0"/>
          <w:sz w:val="34"/>
          <w:szCs w:val="34"/>
        </w:rPr>
      </w:pPr>
      <w:r>
        <w:rPr>
          <w:rFonts w:cs="方正仿宋_GBK" w:asciiTheme="majorEastAsia" w:hAnsiTheme="majorEastAsia" w:eastAsiaTheme="majorEastAsia"/>
          <w:kern w:val="0"/>
          <w:sz w:val="34"/>
          <w:szCs w:val="34"/>
        </w:rPr>
        <w:t>管理全县文化（文物）、旅游、体育、艺术事业；指导、协调艺术创作与艺术生产：扶持地方性、代表性、示范性、实验性文化艺术品种和体育项目，推动各门类艺术的发展；管理、指导艺术教育事业：指导、组织、协调全县性重大文化和体育活动。负责监测全县文化、旅游、广电、体有经济运行和全县文化、旅游、广电、体育统计及行业信息发布。</w:t>
      </w:r>
    </w:p>
    <w:p>
      <w:pPr>
        <w:numPr>
          <w:ilvl w:val="0"/>
          <w:numId w:val="1"/>
        </w:numPr>
        <w:ind w:firstLine="640"/>
        <w:rPr>
          <w:rFonts w:cs="方正仿宋_GBK" w:asciiTheme="majorEastAsia" w:hAnsiTheme="majorEastAsia" w:eastAsiaTheme="majorEastAsia"/>
          <w:kern w:val="0"/>
          <w:sz w:val="34"/>
          <w:szCs w:val="34"/>
        </w:rPr>
      </w:pPr>
      <w:r>
        <w:rPr>
          <w:rFonts w:cs="方正仿宋_GBK" w:asciiTheme="majorEastAsia" w:hAnsiTheme="majorEastAsia" w:eastAsiaTheme="majorEastAsia"/>
          <w:kern w:val="0"/>
          <w:sz w:val="34"/>
          <w:szCs w:val="34"/>
        </w:rPr>
        <w:t>指导、监督管理全县文化市场综合执法和文物、旅游、体育、新闻出版（版权）行政执法工作；负责对从事演艺活动的民办机构和网络游戏服务进行监管（不含网络游戏的网上出版前置审批）。</w:t>
      </w:r>
    </w:p>
    <w:p>
      <w:pPr>
        <w:numPr>
          <w:ilvl w:val="0"/>
          <w:numId w:val="1"/>
        </w:numPr>
        <w:ind w:firstLine="640"/>
        <w:rPr>
          <w:rFonts w:cs="方正仿宋_GBK" w:asciiTheme="majorEastAsia" w:hAnsiTheme="majorEastAsia" w:eastAsiaTheme="majorEastAsia"/>
          <w:kern w:val="0"/>
          <w:sz w:val="34"/>
          <w:szCs w:val="34"/>
        </w:rPr>
      </w:pPr>
      <w:r>
        <w:rPr>
          <w:rFonts w:cs="方正仿宋_GBK" w:asciiTheme="majorEastAsia" w:hAnsiTheme="majorEastAsia" w:eastAsiaTheme="majorEastAsia"/>
          <w:kern w:val="0"/>
          <w:sz w:val="34"/>
          <w:szCs w:val="34"/>
        </w:rPr>
        <w:t>统筹规划指导全县群众体育发展及活动开展：负责推行全民健身计划，监督实施国家体育锻炼标准：推动国民体质监测和社会体育指导工作队伍制度建设</w:t>
      </w:r>
      <w:r>
        <w:rPr>
          <w:rFonts w:hint="eastAsia" w:cs="方正仿宋_GBK" w:asciiTheme="majorEastAsia" w:hAnsiTheme="majorEastAsia" w:eastAsiaTheme="majorEastAsia"/>
          <w:kern w:val="0"/>
          <w:sz w:val="34"/>
          <w:szCs w:val="34"/>
        </w:rPr>
        <w:t>。</w:t>
      </w:r>
    </w:p>
    <w:p>
      <w:pPr>
        <w:numPr>
          <w:ilvl w:val="0"/>
          <w:numId w:val="1"/>
        </w:numPr>
        <w:ind w:firstLine="640"/>
        <w:rPr>
          <w:rFonts w:cs="方正仿宋_GBK" w:asciiTheme="majorEastAsia" w:hAnsiTheme="majorEastAsia" w:eastAsiaTheme="majorEastAsia"/>
          <w:kern w:val="0"/>
          <w:sz w:val="34"/>
          <w:szCs w:val="34"/>
        </w:rPr>
      </w:pPr>
      <w:r>
        <w:rPr>
          <w:rFonts w:cs="方正仿宋_GBK" w:asciiTheme="majorEastAsia" w:hAnsiTheme="majorEastAsia" w:eastAsiaTheme="majorEastAsia"/>
          <w:kern w:val="0"/>
          <w:sz w:val="34"/>
          <w:szCs w:val="34"/>
        </w:rPr>
        <w:t>组织管理体育训练、体育竞赛、运动队伍建设，协调运动员社会保障工作；统筹规划青少年体育发展，加强体育后备人才建设，指导和推进青少年体育工作。</w:t>
      </w:r>
    </w:p>
    <w:p>
      <w:pPr>
        <w:numPr>
          <w:ilvl w:val="0"/>
          <w:numId w:val="1"/>
        </w:numPr>
        <w:ind w:firstLine="640"/>
        <w:rPr>
          <w:rFonts w:cs="方正仿宋_GBK" w:asciiTheme="majorEastAsia" w:hAnsiTheme="majorEastAsia" w:eastAsiaTheme="majorEastAsia"/>
          <w:kern w:val="0"/>
          <w:sz w:val="34"/>
          <w:szCs w:val="34"/>
        </w:rPr>
      </w:pPr>
      <w:r>
        <w:rPr>
          <w:rFonts w:cs="方正仿宋_GBK" w:asciiTheme="majorEastAsia" w:hAnsiTheme="majorEastAsia" w:eastAsiaTheme="majorEastAsia"/>
          <w:kern w:val="0"/>
          <w:sz w:val="34"/>
          <w:szCs w:val="34"/>
        </w:rPr>
        <w:t>指导和监督全县广播电视事业，实施准入和退出管理：拟订发展规划；负责对广播电视摇出机构所播出的节目内容、质量及传输、监测、播出、覆益等进行监管；指导、协调电信网、广播电视网、互联网融合中的相关工作。</w:t>
      </w:r>
    </w:p>
    <w:p>
      <w:pPr>
        <w:numPr>
          <w:ilvl w:val="0"/>
          <w:numId w:val="1"/>
        </w:numPr>
        <w:ind w:firstLine="640"/>
        <w:rPr>
          <w:rFonts w:cs="方正仿宋_GBK" w:asciiTheme="majorEastAsia" w:hAnsiTheme="majorEastAsia" w:eastAsiaTheme="majorEastAsia"/>
          <w:kern w:val="0"/>
          <w:sz w:val="34"/>
          <w:szCs w:val="34"/>
        </w:rPr>
      </w:pPr>
      <w:r>
        <w:rPr>
          <w:rFonts w:cs="方正仿宋_GBK" w:asciiTheme="majorEastAsia" w:hAnsiTheme="majorEastAsia" w:eastAsiaTheme="majorEastAsia"/>
          <w:kern w:val="0"/>
          <w:sz w:val="34"/>
          <w:szCs w:val="34"/>
        </w:rPr>
        <w:t>协调和指导全县文物的保护、管理和利用工作。照行文物行政执法督察职责，依法组织协调重大文物违法案件的查处，协同有关部门查处文物犯罪的重大案件：负责文化遗产申报及保护、管理的监督工作，协同有关部门负责历史文化名城（镇、村）保护和监督管理工作。</w:t>
      </w:r>
    </w:p>
    <w:p>
      <w:pPr>
        <w:numPr>
          <w:ilvl w:val="0"/>
          <w:numId w:val="1"/>
        </w:numPr>
        <w:ind w:firstLine="640"/>
        <w:rPr>
          <w:rFonts w:cs="方正仿宋_GBK" w:asciiTheme="majorEastAsia" w:hAnsiTheme="majorEastAsia" w:eastAsiaTheme="majorEastAsia"/>
          <w:kern w:val="0"/>
          <w:sz w:val="34"/>
          <w:szCs w:val="34"/>
        </w:rPr>
      </w:pPr>
      <w:r>
        <w:rPr>
          <w:rFonts w:cs="方正仿宋_GBK" w:asciiTheme="majorEastAsia" w:hAnsiTheme="majorEastAsia" w:eastAsiaTheme="majorEastAsia"/>
          <w:kern w:val="0"/>
          <w:sz w:val="34"/>
          <w:szCs w:val="34"/>
        </w:rPr>
        <w:t>管理全县非物质文化遗产保护工作，拟订非物质文化遗产保护规划并组织实施：负责优秀民族文化的传承普及工作。</w:t>
      </w:r>
    </w:p>
    <w:p>
      <w:pPr>
        <w:numPr>
          <w:ilvl w:val="0"/>
          <w:numId w:val="1"/>
        </w:numPr>
        <w:ind w:firstLine="640"/>
        <w:rPr>
          <w:rFonts w:cs="方正仿宋_GBK" w:asciiTheme="majorEastAsia" w:hAnsiTheme="majorEastAsia" w:eastAsiaTheme="majorEastAsia"/>
          <w:kern w:val="0"/>
          <w:sz w:val="34"/>
          <w:szCs w:val="34"/>
        </w:rPr>
      </w:pPr>
      <w:r>
        <w:rPr>
          <w:rFonts w:cs="方正仿宋_GBK" w:asciiTheme="majorEastAsia" w:hAnsiTheme="majorEastAsia" w:eastAsiaTheme="majorEastAsia"/>
          <w:kern w:val="0"/>
          <w:sz w:val="34"/>
          <w:szCs w:val="34"/>
        </w:rPr>
        <w:t>拟订全县文旅广体系统人才教育、培训规划并组织实施：负责相关系列专业技术职称申报工作。</w:t>
      </w:r>
    </w:p>
    <w:p>
      <w:pPr>
        <w:numPr>
          <w:ilvl w:val="0"/>
          <w:numId w:val="1"/>
        </w:numPr>
        <w:ind w:firstLine="640"/>
        <w:rPr>
          <w:rFonts w:cs="方正仿宋_GBK" w:asciiTheme="majorEastAsia" w:hAnsiTheme="majorEastAsia" w:eastAsiaTheme="majorEastAsia"/>
          <w:kern w:val="0"/>
          <w:sz w:val="34"/>
          <w:szCs w:val="34"/>
        </w:rPr>
      </w:pPr>
      <w:r>
        <w:rPr>
          <w:rFonts w:cs="方正仿宋_GBK" w:asciiTheme="majorEastAsia" w:hAnsiTheme="majorEastAsia" w:eastAsiaTheme="majorEastAsia"/>
          <w:kern w:val="0"/>
          <w:sz w:val="34"/>
          <w:szCs w:val="34"/>
        </w:rPr>
        <w:t>承办县委、县政府交办的其他事项。</w:t>
      </w:r>
    </w:p>
    <w:p>
      <w:pPr>
        <w:ind w:firstLine="340" w:firstLineChars="1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（二）部门组织机构及人员情况</w:t>
      </w:r>
    </w:p>
    <w:p>
      <w:pPr>
        <w:spacing w:line="600" w:lineRule="exact"/>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1.机构设置情况</w:t>
      </w:r>
    </w:p>
    <w:p>
      <w:pPr>
        <w:spacing w:line="600" w:lineRule="exact"/>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我局现设有办公室、政策法规与组织人事股、行政审批服务股、公共文化艺术服务股、旅游与文化遗产管理股、广播电视与科技规划发展股、群体竞争训股、审计与财务股8个股室。</w:t>
      </w:r>
    </w:p>
    <w:p>
      <w:pPr>
        <w:spacing w:line="600" w:lineRule="exact"/>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2.人员编制情况</w:t>
      </w:r>
    </w:p>
    <w:p>
      <w:pPr>
        <w:widowControl/>
        <w:wordWrap w:val="0"/>
        <w:spacing w:line="450" w:lineRule="atLeast"/>
        <w:ind w:firstLine="64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截止2020年末，我单位共有在职人员153人(其中局机关30人，乡镇文化站123人)。</w:t>
      </w:r>
    </w:p>
    <w:p>
      <w:pPr>
        <w:widowControl/>
        <w:wordWrap w:val="0"/>
        <w:spacing w:line="450" w:lineRule="atLeast"/>
        <w:ind w:firstLine="680" w:firstLineChars="200"/>
        <w:rPr>
          <w:rFonts w:cs="方正仿宋_GBK" w:asciiTheme="majorEastAsia" w:hAnsiTheme="majorEastAsia" w:eastAsiaTheme="majorEastAsia"/>
          <w:b/>
          <w:kern w:val="0"/>
          <w:sz w:val="34"/>
          <w:szCs w:val="34"/>
        </w:rPr>
      </w:pPr>
      <w:r>
        <w:rPr>
          <w:rFonts w:hint="eastAsia" w:cs="方正仿宋_GBK" w:asciiTheme="majorEastAsia" w:hAnsiTheme="majorEastAsia" w:eastAsiaTheme="majorEastAsia"/>
          <w:b/>
          <w:kern w:val="0"/>
          <w:sz w:val="34"/>
          <w:szCs w:val="34"/>
        </w:rPr>
        <w:t>二、部门整体支出管理及使用情况</w:t>
      </w:r>
    </w:p>
    <w:p>
      <w:pPr>
        <w:spacing w:line="600" w:lineRule="exact"/>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（一）2020年部门预算收支情况</w:t>
      </w:r>
    </w:p>
    <w:p>
      <w:pPr>
        <w:spacing w:line="600" w:lineRule="exact"/>
        <w:ind w:firstLine="850" w:firstLineChars="25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按照综合预算的原则，所有收入和支出均纳入预算管理。2020年,县文旅广体育局年初预算为1215.84万元，均为财政拨款。 (其中：财政</w:t>
      </w:r>
      <w:r>
        <w:rPr>
          <w:rFonts w:hint="eastAsia" w:cs="方正仿宋_GBK" w:asciiTheme="majorEastAsia" w:hAnsiTheme="majorEastAsia" w:eastAsiaTheme="majorEastAsia"/>
          <w:kern w:val="0"/>
          <w:sz w:val="34"/>
          <w:szCs w:val="34"/>
          <w:lang w:val="en-US" w:eastAsia="zh-CN"/>
        </w:rPr>
        <w:t>拨</w:t>
      </w:r>
      <w:r>
        <w:rPr>
          <w:rFonts w:hint="eastAsia" w:cs="方正仿宋_GBK" w:asciiTheme="majorEastAsia" w:hAnsiTheme="majorEastAsia" w:eastAsiaTheme="majorEastAsia"/>
          <w:kern w:val="0"/>
          <w:sz w:val="34"/>
          <w:szCs w:val="34"/>
        </w:rPr>
        <w:t>款万元，纳入预算管理的非税收入万元。)，比上年1005.6万元增加210.24万元，主要原因：增加广播站转隶26人预算拨款。</w:t>
      </w:r>
    </w:p>
    <w:p>
      <w:pPr>
        <w:pStyle w:val="5"/>
        <w:spacing w:line="360" w:lineRule="atLeast"/>
        <w:ind w:firstLine="680" w:firstLineChars="200"/>
        <w:rPr>
          <w:rFonts w:cs="方正仿宋_GBK" w:asciiTheme="majorEastAsia" w:hAnsiTheme="majorEastAsia" w:eastAsiaTheme="majorEastAsia"/>
          <w:sz w:val="34"/>
          <w:szCs w:val="34"/>
        </w:rPr>
      </w:pPr>
      <w:r>
        <w:rPr>
          <w:rFonts w:hint="eastAsia" w:cs="方正仿宋_GBK" w:asciiTheme="majorEastAsia" w:hAnsiTheme="majorEastAsia" w:eastAsiaTheme="majorEastAsia"/>
          <w:sz w:val="34"/>
          <w:szCs w:val="34"/>
        </w:rPr>
        <w:t>2020年单位预算总支出1215.84万元，其中：工资福利支出1085.84万元，一般商品和服务支出18万元，对个人和家庭补助支出2.21万元，专项商品和服务支出130万元。</w:t>
      </w:r>
    </w:p>
    <w:p>
      <w:pPr>
        <w:spacing w:line="600" w:lineRule="exact"/>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（二）2020年部门决算情况</w:t>
      </w:r>
    </w:p>
    <w:p>
      <w:pPr>
        <w:pStyle w:val="5"/>
        <w:spacing w:line="360" w:lineRule="atLeast"/>
        <w:ind w:firstLine="850" w:firstLineChars="250"/>
        <w:rPr>
          <w:rFonts w:cs="方正仿宋_GBK" w:asciiTheme="majorEastAsia" w:hAnsiTheme="majorEastAsia" w:eastAsiaTheme="majorEastAsia"/>
          <w:sz w:val="34"/>
          <w:szCs w:val="34"/>
        </w:rPr>
      </w:pPr>
      <w:r>
        <w:rPr>
          <w:rFonts w:hint="eastAsia" w:cs="方正仿宋_GBK" w:asciiTheme="majorEastAsia" w:hAnsiTheme="majorEastAsia" w:eastAsiaTheme="majorEastAsia"/>
          <w:sz w:val="34"/>
          <w:szCs w:val="34"/>
        </w:rPr>
        <w:t>1.决算资金来源情况</w:t>
      </w:r>
    </w:p>
    <w:p>
      <w:pPr>
        <w:spacing w:line="600" w:lineRule="exact"/>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县文旅广体育局2020年决算资金来源共2019.4万元，其中：一般公共预算拔款资金1809.4万元，占收支总比89.6%。政府性基金210万元（来源于体育彩票县级分成、省体彩中心的全民健身赛事经费），占收支总比10.4%。</w:t>
      </w:r>
    </w:p>
    <w:p>
      <w:pPr>
        <w:spacing w:line="600" w:lineRule="exact"/>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2.决算资金使用情况</w:t>
      </w:r>
    </w:p>
    <w:p>
      <w:pPr>
        <w:pStyle w:val="5"/>
        <w:spacing w:line="360" w:lineRule="atLeast"/>
        <w:ind w:firstLine="480"/>
        <w:rPr>
          <w:rFonts w:cs="方正仿宋_GBK" w:asciiTheme="majorEastAsia" w:hAnsiTheme="majorEastAsia" w:eastAsiaTheme="majorEastAsia"/>
          <w:sz w:val="34"/>
          <w:szCs w:val="34"/>
        </w:rPr>
      </w:pPr>
      <w:r>
        <w:rPr>
          <w:rFonts w:hint="eastAsia" w:cs="方正仿宋_GBK" w:asciiTheme="majorEastAsia" w:hAnsiTheme="majorEastAsia" w:eastAsiaTheme="majorEastAsia"/>
          <w:sz w:val="34"/>
          <w:szCs w:val="34"/>
        </w:rPr>
        <w:t>县文体广电新局2020年度支出合计2019.4万元。其中：基本支出968.28万元，占总支出的48％；项目支出1051.12万元，占总支出的52％。2020年度决算总支出合计为2002.05万元，2020年与上年对比总支出上升了0.87%，其中：基本支出下降8.1%（上年度基本支出1053.42万元），主要原因是我局、全县乡镇文化站由去年130人减为123人；项目支出上升10.8%（上年度项目支出948.63万元），主要原因是：2020年我局加大对旅游和社会足球场基础设施的投入。</w:t>
      </w:r>
    </w:p>
    <w:p>
      <w:pPr>
        <w:spacing w:line="600" w:lineRule="exact"/>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（三）2020年决算支出分类情况</w:t>
      </w:r>
    </w:p>
    <w:p>
      <w:pPr>
        <w:spacing w:line="600" w:lineRule="exact"/>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（1）基本支出情况</w:t>
      </w:r>
    </w:p>
    <w:p>
      <w:pPr>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2020年度用于保障县文旅广体育局、乡镇文化站正常运转的日常支出968.28万元。包括基本工资、津贴补贴等人员经费支出955.68万元，占基本支出的98.7％；</w:t>
      </w:r>
    </w:p>
    <w:p>
      <w:pPr>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办公费、印刷费、水电费、办公设备购置等日常公用经费支出12.6万元，占基本支出的1.3％；</w:t>
      </w:r>
    </w:p>
    <w:p>
      <w:pPr>
        <w:pStyle w:val="5"/>
        <w:spacing w:line="360" w:lineRule="atLeast"/>
        <w:rPr>
          <w:rFonts w:cs="方正仿宋_GBK" w:asciiTheme="majorEastAsia" w:hAnsiTheme="majorEastAsia" w:eastAsiaTheme="majorEastAsia"/>
          <w:sz w:val="34"/>
          <w:szCs w:val="34"/>
        </w:rPr>
      </w:pPr>
      <w:r>
        <w:rPr>
          <w:rFonts w:hint="eastAsia" w:cs="方正仿宋_GBK" w:asciiTheme="majorEastAsia" w:hAnsiTheme="majorEastAsia" w:eastAsiaTheme="majorEastAsia"/>
          <w:sz w:val="34"/>
          <w:szCs w:val="34"/>
        </w:rPr>
        <w:t>（2）项目支出情况</w:t>
      </w:r>
    </w:p>
    <w:p>
      <w:pPr>
        <w:pStyle w:val="5"/>
        <w:spacing w:line="360" w:lineRule="atLeast"/>
        <w:rPr>
          <w:rFonts w:cs="方正仿宋_GBK" w:asciiTheme="majorEastAsia" w:hAnsiTheme="majorEastAsia" w:eastAsiaTheme="majorEastAsia"/>
          <w:sz w:val="34"/>
          <w:szCs w:val="34"/>
        </w:rPr>
      </w:pPr>
      <w:r>
        <w:rPr>
          <w:rFonts w:hint="eastAsia" w:cs="方正仿宋_GBK" w:asciiTheme="majorEastAsia" w:hAnsiTheme="majorEastAsia" w:eastAsiaTheme="majorEastAsia"/>
          <w:sz w:val="34"/>
          <w:szCs w:val="34"/>
        </w:rPr>
        <w:t>项目支出系我局为完成文化、旅游、体育、广电等工作而发生的支出， 2020年项目支出1051.12万元，2020年项目支出948.63万元，较上年增加了102.49万元。2020年项目支出主要有：省级全域旅游示范区创建、社会足球场建设、健身设施添置、湖南省青少年射击锦标赛等发生的支出。</w:t>
      </w:r>
    </w:p>
    <w:p>
      <w:pPr>
        <w:spacing w:line="600" w:lineRule="exact"/>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（二）“三公”经费支出使用和管理情况</w:t>
      </w:r>
    </w:p>
    <w:p>
      <w:pPr>
        <w:pStyle w:val="5"/>
        <w:spacing w:line="360" w:lineRule="atLeast"/>
        <w:ind w:firstLine="680" w:firstLineChars="200"/>
        <w:rPr>
          <w:rFonts w:cs="方正仿宋_GBK" w:asciiTheme="majorEastAsia" w:hAnsiTheme="majorEastAsia" w:eastAsiaTheme="majorEastAsia"/>
          <w:sz w:val="34"/>
          <w:szCs w:val="34"/>
        </w:rPr>
      </w:pPr>
      <w:r>
        <w:rPr>
          <w:rFonts w:hint="eastAsia" w:cs="方正仿宋_GBK" w:asciiTheme="majorEastAsia" w:hAnsiTheme="majorEastAsia" w:eastAsiaTheme="majorEastAsia"/>
          <w:sz w:val="34"/>
          <w:szCs w:val="34"/>
        </w:rPr>
        <w:t>1. 因公出国（境）经费</w:t>
      </w:r>
    </w:p>
    <w:p>
      <w:pPr>
        <w:widowControl/>
        <w:shd w:val="clear" w:color="auto" w:fill="FFFFFF"/>
        <w:spacing w:line="450" w:lineRule="atLeast"/>
        <w:ind w:firstLine="680" w:firstLineChars="200"/>
        <w:jc w:val="left"/>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2020年预算安排0万元。无安排因公出国(境)经费。</w:t>
      </w:r>
    </w:p>
    <w:p>
      <w:pPr>
        <w:widowControl/>
        <w:shd w:val="clear" w:color="auto" w:fill="FFFFFF"/>
        <w:spacing w:line="450" w:lineRule="atLeast"/>
        <w:ind w:firstLine="680" w:firstLineChars="200"/>
        <w:jc w:val="left"/>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2.公务接待费</w:t>
      </w:r>
    </w:p>
    <w:p>
      <w:pPr>
        <w:widowControl/>
        <w:shd w:val="clear" w:color="auto" w:fill="FFFFFF"/>
        <w:spacing w:line="450" w:lineRule="atLeast"/>
        <w:ind w:firstLine="680" w:firstLineChars="200"/>
        <w:jc w:val="left"/>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2020年公务接待费1.36万元。主要用于各类文化体育活动演职员、运动员餐费，省、市领导莅临县文旅广体育局指导检查接待等方面的接待活动。我单位将严格执行国家、省、市、县的相关规定，厉行节约。</w:t>
      </w:r>
    </w:p>
    <w:p>
      <w:pPr>
        <w:widowControl/>
        <w:shd w:val="clear" w:color="auto" w:fill="FFFFFF"/>
        <w:spacing w:line="450" w:lineRule="atLeast"/>
        <w:ind w:firstLine="480"/>
        <w:jc w:val="left"/>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3. 公务用车购置及运行费</w:t>
      </w:r>
    </w:p>
    <w:p>
      <w:pPr>
        <w:widowControl/>
        <w:shd w:val="clear" w:color="auto" w:fill="FFFFFF"/>
        <w:spacing w:line="450" w:lineRule="atLeast"/>
        <w:ind w:firstLine="480"/>
        <w:jc w:val="left"/>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2020年我局从县公务用车平台费为5.2万元，与上年2.27万元相比上升了2.93万元。</w:t>
      </w:r>
    </w:p>
    <w:p>
      <w:pPr>
        <w:widowControl/>
        <w:shd w:val="clear" w:color="auto" w:fill="FFFFFF"/>
        <w:spacing w:line="450" w:lineRule="atLeast"/>
        <w:ind w:firstLine="480"/>
        <w:jc w:val="left"/>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（四）其他事项说明</w:t>
      </w:r>
    </w:p>
    <w:p>
      <w:pPr>
        <w:widowControl/>
        <w:shd w:val="clear" w:color="auto" w:fill="FFFFFF"/>
        <w:spacing w:line="450" w:lineRule="atLeast"/>
        <w:ind w:firstLine="510" w:firstLineChars="150"/>
        <w:jc w:val="left"/>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1.日常公用经费</w:t>
      </w:r>
    </w:p>
    <w:p>
      <w:pPr>
        <w:widowControl/>
        <w:shd w:val="clear" w:color="auto" w:fill="FFFFFF"/>
        <w:spacing w:line="450" w:lineRule="atLeast"/>
        <w:ind w:firstLine="480"/>
        <w:jc w:val="left"/>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2020年县文旅广体育局一般公共预算拨款安排的机关运行经费支出18万元，与2018年13.8万增加4.2万元。</w:t>
      </w:r>
    </w:p>
    <w:p>
      <w:pPr>
        <w:widowControl/>
        <w:shd w:val="clear" w:color="auto" w:fill="FFFFFF"/>
        <w:spacing w:line="450" w:lineRule="atLeast"/>
        <w:ind w:firstLine="480"/>
        <w:jc w:val="left"/>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3.国有资产占用使用情况</w:t>
      </w:r>
    </w:p>
    <w:p>
      <w:pPr>
        <w:widowControl/>
        <w:shd w:val="clear" w:color="auto" w:fill="FFFFFF"/>
        <w:spacing w:line="450" w:lineRule="atLeast"/>
        <w:ind w:firstLine="480"/>
        <w:jc w:val="left"/>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截止2020年底，县文旅广体育局本级现有车辆0辆。</w:t>
      </w:r>
    </w:p>
    <w:p>
      <w:pPr>
        <w:ind w:firstLine="680" w:firstLineChars="200"/>
        <w:rPr>
          <w:rFonts w:cs="方正仿宋_GBK" w:asciiTheme="majorEastAsia" w:hAnsiTheme="majorEastAsia" w:eastAsiaTheme="majorEastAsia"/>
          <w:b/>
          <w:kern w:val="0"/>
          <w:sz w:val="34"/>
          <w:szCs w:val="34"/>
        </w:rPr>
      </w:pPr>
      <w:r>
        <w:rPr>
          <w:rFonts w:hint="eastAsia" w:cs="方正仿宋_GBK" w:asciiTheme="majorEastAsia" w:hAnsiTheme="majorEastAsia" w:eastAsiaTheme="majorEastAsia"/>
          <w:b/>
          <w:kern w:val="0"/>
          <w:sz w:val="34"/>
          <w:szCs w:val="34"/>
        </w:rPr>
        <w:t>三、部门整体支出绩效情况</w:t>
      </w:r>
    </w:p>
    <w:p>
      <w:pPr>
        <w:spacing w:line="600" w:lineRule="exact"/>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对照有关规定，我局从预算编制、预算配置、预算执行和管理等方面对2020年部门整体支出绩效开展了评价，具体情况如下：</w:t>
      </w:r>
    </w:p>
    <w:p>
      <w:pPr>
        <w:spacing w:line="600" w:lineRule="exact"/>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（一）预算配置指标</w:t>
      </w:r>
    </w:p>
    <w:p>
      <w:pPr>
        <w:spacing w:line="600" w:lineRule="exact"/>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编制数153人，在职人员153人，在编制控制范围内。</w:t>
      </w:r>
    </w:p>
    <w:p>
      <w:pPr>
        <w:spacing w:line="600" w:lineRule="exact"/>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（二）预算执行指标</w:t>
      </w:r>
    </w:p>
    <w:p>
      <w:pPr>
        <w:spacing w:line="600" w:lineRule="exact"/>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2020年支出决算为2019.4万元，为全年预算的166%。“三公经费”支出5.57万元，还需增加控制节约。</w:t>
      </w:r>
    </w:p>
    <w:p>
      <w:pPr>
        <w:spacing w:line="600" w:lineRule="exact"/>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（三）预算管理指标</w:t>
      </w:r>
    </w:p>
    <w:p>
      <w:pPr>
        <w:spacing w:line="600" w:lineRule="exact"/>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2020年我局预算管理各项指标控制较好。2021年将主要从以下几个方面加强预算管理：</w:t>
      </w:r>
    </w:p>
    <w:p>
      <w:pPr>
        <w:spacing w:line="600" w:lineRule="exact"/>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一是进一步规范财务管理。今年，根据中央八项规定精神以及财务管理方面的法律、法规和审计等部门的意见，我中心对机关财务管理制度进一步进行了完善。同时，在财务开支把关方面认真执行相关文件并严格财务开支审批程序，加强对差旅费、会议费、接待费等各项开支的管理。重点保障日常运转及重点工作</w:t>
      </w:r>
      <w:bookmarkStart w:id="0" w:name="_GoBack"/>
      <w:bookmarkEnd w:id="0"/>
      <w:r>
        <w:rPr>
          <w:rFonts w:hint="eastAsia" w:cs="方正仿宋_GBK" w:asciiTheme="majorEastAsia" w:hAnsiTheme="majorEastAsia" w:eastAsiaTheme="majorEastAsia"/>
          <w:kern w:val="0"/>
          <w:sz w:val="34"/>
          <w:szCs w:val="34"/>
        </w:rPr>
        <w:t>的需要，大力压缩一般性支出，提高财政资金使用效益。</w:t>
      </w:r>
    </w:p>
    <w:p>
      <w:pPr>
        <w:spacing w:line="600" w:lineRule="exact"/>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二是依法依规公开部门预决算。根据全县部门预决算公开工作统一安排部署，我局已在衡南县党政门户网站公开了2020年部门预算和“三公”经费预算，社会反响良好，圆满完成了“三公”经费预算公开工作。</w:t>
      </w:r>
    </w:p>
    <w:p>
      <w:pPr>
        <w:spacing w:line="600" w:lineRule="exact"/>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三是进一步加强固定资产管理。我局机关所属资产进行了较为全面的清查，加强国有资产管理。</w:t>
      </w:r>
    </w:p>
    <w:p>
      <w:pPr>
        <w:spacing w:line="600" w:lineRule="exact"/>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（四）履职效益指标</w:t>
      </w:r>
    </w:p>
    <w:p>
      <w:pPr>
        <w:spacing w:line="600" w:lineRule="exact"/>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行政效能方面。我中心切实提高行政效率，降低行政成本。进一步精简文件数量，提高文件质量。规范行文程序，严格行文规则，控制文件规格。减少会议数量，压缩会议时间。控制会议规模，创新会议形式。节约会议成本，严肃会议纪律。简化办事程序，对重大事项实行督查交办制度。按照政务公开要求，推进办事公开，对涉及财政相关的资料及时挂网方便老百姓查询。社会公众满意度方面。长期以来，群众的满意度颇高。</w:t>
      </w:r>
    </w:p>
    <w:p>
      <w:pPr>
        <w:ind w:firstLine="680" w:firstLineChars="200"/>
        <w:rPr>
          <w:rFonts w:cs="方正仿宋_GBK" w:asciiTheme="majorEastAsia" w:hAnsiTheme="majorEastAsia" w:eastAsiaTheme="majorEastAsia"/>
          <w:b/>
          <w:kern w:val="0"/>
          <w:sz w:val="34"/>
          <w:szCs w:val="34"/>
        </w:rPr>
      </w:pPr>
      <w:r>
        <w:rPr>
          <w:rFonts w:hint="eastAsia" w:cs="方正仿宋_GBK" w:asciiTheme="majorEastAsia" w:hAnsiTheme="majorEastAsia" w:eastAsiaTheme="majorEastAsia"/>
          <w:b/>
          <w:kern w:val="0"/>
          <w:sz w:val="34"/>
          <w:szCs w:val="34"/>
        </w:rPr>
        <w:t>四、存在的主要问题</w:t>
      </w:r>
    </w:p>
    <w:p>
      <w:pPr>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1、预算的编制是一项对政策性、技术性和时效性都很强的工作，需要预算编制人员具有较高政策水平、专业技术水平和很强预测力。为适应国家更为严格、规范、精细化的财务管理要求提高预算的科学性、合理性，提高预算与执行资金的口径基本同步。因此我们需加强业务学习。</w:t>
      </w:r>
    </w:p>
    <w:p>
      <w:pPr>
        <w:spacing w:line="600" w:lineRule="exact"/>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２、内部控制制度还待于进一步完善。</w:t>
      </w:r>
    </w:p>
    <w:p>
      <w:pPr>
        <w:rPr>
          <w:rFonts w:cs="方正仿宋_GBK" w:asciiTheme="majorEastAsia" w:hAnsiTheme="majorEastAsia" w:eastAsiaTheme="majorEastAsia"/>
          <w:b/>
          <w:kern w:val="0"/>
          <w:sz w:val="34"/>
          <w:szCs w:val="34"/>
        </w:rPr>
      </w:pPr>
      <w:r>
        <w:rPr>
          <w:rFonts w:hint="eastAsia" w:cs="方正仿宋_GBK" w:asciiTheme="majorEastAsia" w:hAnsiTheme="majorEastAsia" w:eastAsiaTheme="majorEastAsia"/>
          <w:kern w:val="0"/>
          <w:sz w:val="34"/>
          <w:szCs w:val="34"/>
        </w:rPr>
        <w:t>　</w:t>
      </w:r>
      <w:r>
        <w:rPr>
          <w:rFonts w:hint="eastAsia" w:cs="方正仿宋_GBK" w:asciiTheme="majorEastAsia" w:hAnsiTheme="majorEastAsia" w:eastAsiaTheme="majorEastAsia"/>
          <w:b/>
          <w:kern w:val="0"/>
          <w:sz w:val="34"/>
          <w:szCs w:val="34"/>
        </w:rPr>
        <w:t>　五、改进措施和建议</w:t>
      </w:r>
    </w:p>
    <w:p>
      <w:pPr>
        <w:ind w:firstLine="680" w:firstLineChars="200"/>
        <w:rPr>
          <w:rFonts w:cs="方正仿宋_GBK" w:asciiTheme="majorEastAsia" w:hAnsiTheme="majorEastAsia" w:eastAsiaTheme="majorEastAsia"/>
          <w:kern w:val="0"/>
          <w:sz w:val="34"/>
          <w:szCs w:val="34"/>
        </w:rPr>
      </w:pPr>
      <w:r>
        <w:rPr>
          <w:rFonts w:hint="eastAsia" w:cs="方正仿宋_GBK" w:asciiTheme="majorEastAsia" w:hAnsiTheme="majorEastAsia" w:eastAsiaTheme="majorEastAsia"/>
          <w:kern w:val="0"/>
          <w:sz w:val="34"/>
          <w:szCs w:val="34"/>
        </w:rPr>
        <w:t>进一步加强内部机构的预算管理意识，严格按照预算编制的相关制度和要求，进一步提高预算编制的科学性、合理性、严谨性和可控性，在日常预算管理过程中，进一步加强预算支出的审核、跟踪及预算执行情况分析。</w:t>
      </w:r>
    </w:p>
    <w:p>
      <w:pPr>
        <w:rPr>
          <w:rFonts w:ascii="方正仿宋_GBK" w:hAnsi="方正仿宋_GBK" w:eastAsia="方正仿宋_GBK" w:cs="方正仿宋_GBK"/>
          <w:kern w:val="0"/>
          <w:sz w:val="34"/>
          <w:szCs w:val="34"/>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_GBK">
    <w:altName w:val="微软雅黑"/>
    <w:panose1 w:val="00000000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仿宋_GBK">
    <w:altName w:val="微软雅黑"/>
    <w:panose1 w:val="00000000000000000000"/>
    <w:charset w:val="86"/>
    <w:family w:val="auto"/>
    <w:pitch w:val="default"/>
    <w:sig w:usb0="00000000" w:usb1="00000000" w:usb2="00000000" w:usb3="00000000" w:csb0="00040000" w:csb1="00000000"/>
  </w:font>
  <w:font w:name="方正黑体_GBK">
    <w:altName w:val="微软雅黑"/>
    <w:panose1 w:val="00000000000000000000"/>
    <w:charset w:val="86"/>
    <w:family w:val="auto"/>
    <w:pitch w:val="default"/>
    <w:sig w:usb0="00000000" w:usb1="00000000" w:usb2="00000000" w:usb3="00000000" w:csb0="00040000" w:csb1="00000000"/>
  </w:font>
  <w:font w:name="方正楷体_GBK">
    <w:altName w:val="微软雅黑"/>
    <w:panose1 w:val="00000000000000000000"/>
    <w:charset w:val="86"/>
    <w:family w:val="auto"/>
    <w:pitch w:val="default"/>
    <w:sig w:usb0="00000000" w:usb1="00000000" w:usb2="00000000" w:usb3="00000000" w:csb0="00040000" w:csb1="00000000"/>
  </w:font>
  <w:font w:name="方正小标宋简体">
    <w:panose1 w:val="02000000000000000000"/>
    <w:charset w:val="86"/>
    <w:family w:val="script"/>
    <w:pitch w:val="default"/>
    <w:sig w:usb0="00000001" w:usb1="08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A712462"/>
    <w:multiLevelType w:val="multilevel"/>
    <w:tmpl w:val="5A712462"/>
    <w:lvl w:ilvl="0" w:tentative="0">
      <w:start w:val="1"/>
      <w:numFmt w:val="decimal"/>
      <w:lvlText w:val="%1."/>
      <w:lvlJc w:val="left"/>
      <w:pPr>
        <w:tabs>
          <w:tab w:val="left" w:pos="738"/>
        </w:tabs>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zgzM2VlNDI5ZmQzOWVmNTE0ZjNlYTUxY2M5ZDk4MDkifQ=="/>
  </w:docVars>
  <w:rsids>
    <w:rsidRoot w:val="004506F9"/>
    <w:rsid w:val="0002229B"/>
    <w:rsid w:val="000273BD"/>
    <w:rsid w:val="00037761"/>
    <w:rsid w:val="000415B7"/>
    <w:rsid w:val="000465D5"/>
    <w:rsid w:val="000658A3"/>
    <w:rsid w:val="00074155"/>
    <w:rsid w:val="000A3F69"/>
    <w:rsid w:val="00152C6D"/>
    <w:rsid w:val="00162D39"/>
    <w:rsid w:val="001A67DB"/>
    <w:rsid w:val="001D51E5"/>
    <w:rsid w:val="001F0C3B"/>
    <w:rsid w:val="0020240D"/>
    <w:rsid w:val="00214427"/>
    <w:rsid w:val="00265724"/>
    <w:rsid w:val="0027426B"/>
    <w:rsid w:val="002B6042"/>
    <w:rsid w:val="003479BD"/>
    <w:rsid w:val="00373CF2"/>
    <w:rsid w:val="003768D5"/>
    <w:rsid w:val="003B12B3"/>
    <w:rsid w:val="003D5469"/>
    <w:rsid w:val="00402D32"/>
    <w:rsid w:val="004506F9"/>
    <w:rsid w:val="004717A2"/>
    <w:rsid w:val="004734CD"/>
    <w:rsid w:val="00491741"/>
    <w:rsid w:val="004F0978"/>
    <w:rsid w:val="004F6C64"/>
    <w:rsid w:val="00500E5F"/>
    <w:rsid w:val="005122EF"/>
    <w:rsid w:val="00517C33"/>
    <w:rsid w:val="00523644"/>
    <w:rsid w:val="0054069E"/>
    <w:rsid w:val="00541CD5"/>
    <w:rsid w:val="00554BB9"/>
    <w:rsid w:val="005767CC"/>
    <w:rsid w:val="00590D9F"/>
    <w:rsid w:val="00595D26"/>
    <w:rsid w:val="00596A53"/>
    <w:rsid w:val="005A74E6"/>
    <w:rsid w:val="005D4D55"/>
    <w:rsid w:val="005E2CFB"/>
    <w:rsid w:val="0062378F"/>
    <w:rsid w:val="00632828"/>
    <w:rsid w:val="00651EEC"/>
    <w:rsid w:val="006A351B"/>
    <w:rsid w:val="006B0422"/>
    <w:rsid w:val="006C1B53"/>
    <w:rsid w:val="006D7730"/>
    <w:rsid w:val="006E5284"/>
    <w:rsid w:val="006F3EB5"/>
    <w:rsid w:val="00702E34"/>
    <w:rsid w:val="00704395"/>
    <w:rsid w:val="00720FF1"/>
    <w:rsid w:val="007226F2"/>
    <w:rsid w:val="00812ED5"/>
    <w:rsid w:val="008277D9"/>
    <w:rsid w:val="0084125E"/>
    <w:rsid w:val="0088768A"/>
    <w:rsid w:val="008A3E8D"/>
    <w:rsid w:val="008D5EB3"/>
    <w:rsid w:val="009237C4"/>
    <w:rsid w:val="00924742"/>
    <w:rsid w:val="00950252"/>
    <w:rsid w:val="00967F5D"/>
    <w:rsid w:val="00976683"/>
    <w:rsid w:val="009A0F95"/>
    <w:rsid w:val="009B3ADF"/>
    <w:rsid w:val="009C3B52"/>
    <w:rsid w:val="009C4200"/>
    <w:rsid w:val="00A25CD3"/>
    <w:rsid w:val="00A42218"/>
    <w:rsid w:val="00A70249"/>
    <w:rsid w:val="00AC482B"/>
    <w:rsid w:val="00AD6F1C"/>
    <w:rsid w:val="00B11E4C"/>
    <w:rsid w:val="00B33BEA"/>
    <w:rsid w:val="00B57C9F"/>
    <w:rsid w:val="00B845B3"/>
    <w:rsid w:val="00B85D8B"/>
    <w:rsid w:val="00BB5166"/>
    <w:rsid w:val="00BC322B"/>
    <w:rsid w:val="00BE3674"/>
    <w:rsid w:val="00BF57E1"/>
    <w:rsid w:val="00C16BA4"/>
    <w:rsid w:val="00C21008"/>
    <w:rsid w:val="00C3049A"/>
    <w:rsid w:val="00C31B1E"/>
    <w:rsid w:val="00C546DA"/>
    <w:rsid w:val="00C77645"/>
    <w:rsid w:val="00C80ECE"/>
    <w:rsid w:val="00C96C3D"/>
    <w:rsid w:val="00CE04C3"/>
    <w:rsid w:val="00CE76A0"/>
    <w:rsid w:val="00D0230D"/>
    <w:rsid w:val="00D148C6"/>
    <w:rsid w:val="00D232EF"/>
    <w:rsid w:val="00DC5ACE"/>
    <w:rsid w:val="00DD06FF"/>
    <w:rsid w:val="00DD5FE9"/>
    <w:rsid w:val="00DD6CF2"/>
    <w:rsid w:val="00DF7B02"/>
    <w:rsid w:val="00E00C7A"/>
    <w:rsid w:val="00E2583E"/>
    <w:rsid w:val="00E301F0"/>
    <w:rsid w:val="00E4313B"/>
    <w:rsid w:val="00E55B68"/>
    <w:rsid w:val="00EC33B4"/>
    <w:rsid w:val="00F311BB"/>
    <w:rsid w:val="00F74360"/>
    <w:rsid w:val="00F90B17"/>
    <w:rsid w:val="00FB462F"/>
    <w:rsid w:val="00FE16FA"/>
    <w:rsid w:val="00FE2D87"/>
    <w:rsid w:val="00FE328A"/>
    <w:rsid w:val="00FF0DF6"/>
    <w:rsid w:val="05BC2413"/>
    <w:rsid w:val="0A733E75"/>
    <w:rsid w:val="22F5453E"/>
    <w:rsid w:val="2A2C24F5"/>
    <w:rsid w:val="60AF4A7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Balloon Text"/>
    <w:basedOn w:val="1"/>
    <w:link w:val="12"/>
    <w:autoRedefine/>
    <w:semiHidden/>
    <w:unhideWhenUsed/>
    <w:qFormat/>
    <w:uiPriority w:val="99"/>
    <w:rPr>
      <w:sz w:val="18"/>
      <w:szCs w:val="18"/>
    </w:rPr>
  </w:style>
  <w:style w:type="paragraph" w:styleId="3">
    <w:name w:val="footer"/>
    <w:basedOn w:val="1"/>
    <w:link w:val="9"/>
    <w:autoRedefine/>
    <w:unhideWhenUsed/>
    <w:qFormat/>
    <w:uiPriority w:val="99"/>
    <w:pPr>
      <w:tabs>
        <w:tab w:val="center" w:pos="4153"/>
        <w:tab w:val="right" w:pos="8306"/>
      </w:tabs>
      <w:snapToGrid w:val="0"/>
      <w:jc w:val="left"/>
    </w:pPr>
    <w:rPr>
      <w:sz w:val="18"/>
      <w:szCs w:val="18"/>
    </w:rPr>
  </w:style>
  <w:style w:type="paragraph" w:styleId="4">
    <w:name w:val="header"/>
    <w:basedOn w:val="1"/>
    <w:link w:val="8"/>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autoRedefine/>
    <w:unhideWhenUsed/>
    <w:qFormat/>
    <w:uiPriority w:val="99"/>
    <w:pPr>
      <w:widowControl/>
      <w:jc w:val="left"/>
    </w:pPr>
    <w:rPr>
      <w:rFonts w:ascii="宋体" w:hAnsi="宋体" w:eastAsia="宋体" w:cs="宋体"/>
      <w:kern w:val="0"/>
      <w:sz w:val="24"/>
      <w:szCs w:val="24"/>
    </w:rPr>
  </w:style>
  <w:style w:type="character" w:customStyle="1" w:styleId="8">
    <w:name w:val="页眉 Char"/>
    <w:basedOn w:val="7"/>
    <w:link w:val="4"/>
    <w:qFormat/>
    <w:uiPriority w:val="99"/>
    <w:rPr>
      <w:sz w:val="18"/>
      <w:szCs w:val="18"/>
    </w:rPr>
  </w:style>
  <w:style w:type="character" w:customStyle="1" w:styleId="9">
    <w:name w:val="页脚 Char"/>
    <w:basedOn w:val="7"/>
    <w:link w:val="3"/>
    <w:qFormat/>
    <w:uiPriority w:val="99"/>
    <w:rPr>
      <w:sz w:val="18"/>
      <w:szCs w:val="18"/>
    </w:rPr>
  </w:style>
  <w:style w:type="paragraph" w:customStyle="1" w:styleId="10">
    <w:name w:val="Default"/>
    <w:autoRedefine/>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11">
    <w:name w:val="List Paragraph"/>
    <w:basedOn w:val="1"/>
    <w:autoRedefine/>
    <w:qFormat/>
    <w:uiPriority w:val="34"/>
    <w:pPr>
      <w:ind w:firstLine="420" w:firstLineChars="200"/>
    </w:pPr>
  </w:style>
  <w:style w:type="character" w:customStyle="1" w:styleId="12">
    <w:name w:val="批注框文本 Char"/>
    <w:basedOn w:val="7"/>
    <w:link w:val="2"/>
    <w:autoRedefine/>
    <w:semiHidden/>
    <w:qFormat/>
    <w:uiPriority w:val="99"/>
    <w:rPr>
      <w:sz w:val="18"/>
      <w:szCs w:val="18"/>
    </w:rPr>
  </w:style>
  <w:style w:type="character" w:customStyle="1" w:styleId="13">
    <w:name w:val="20"/>
    <w:basedOn w:val="7"/>
    <w:autoRedefine/>
    <w:qFormat/>
    <w:uiPriority w:val="0"/>
    <w:rPr>
      <w:rFonts w:hint="default" w:ascii="Times New Roman" w:hAnsi="Times New Roman" w:cs="Times New Roman"/>
      <w:i/>
    </w:rPr>
  </w:style>
  <w:style w:type="paragraph" w:customStyle="1" w:styleId="14">
    <w:name w:val="普通(网站) Char"/>
    <w:basedOn w:val="1"/>
    <w:autoRedefine/>
    <w:qFormat/>
    <w:uiPriority w:val="0"/>
    <w:pPr>
      <w:widowControl/>
      <w:spacing w:before="100" w:beforeAutospacing="1" w:after="100" w:afterAutospacing="1"/>
      <w:jc w:val="left"/>
    </w:pPr>
    <w:rPr>
      <w:rFonts w:hint="eastAsia" w:ascii="宋体" w:hAnsi="宋体" w:eastAsia="宋体" w:cs="Times New Roman"/>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F7C89A-1CD9-4E92-BD62-297CE55511CC}">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29</Pages>
  <Words>1806</Words>
  <Characters>10299</Characters>
  <Lines>85</Lines>
  <Paragraphs>24</Paragraphs>
  <TotalTime>428</TotalTime>
  <ScaleCrop>false</ScaleCrop>
  <LinksUpToDate>false</LinksUpToDate>
  <CharactersWithSpaces>12081</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2021-11-10T03:38:00Z</dcterms:created>
  <dc:creator>李航 null</dc:creator>
  <cp:lastModifiedBy>茜茜</cp:lastModifiedBy>
  <cp:lastPrinted>2021-11-10T01:14:00Z</cp:lastPrinted>
  <dcterms:modified xsi:type="dcterms:W3CDTF">2025-09-02T02:50:28Z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D547383EAB644726BD513F7A849AA9C8</vt:lpwstr>
  </property>
</Properties>
</file>