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44"/>
          <w:szCs w:val="44"/>
        </w:rPr>
      </w:pPr>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w:t>
      </w:r>
      <w:bookmarkStart w:id="0" w:name="_GoBack"/>
      <w:bookmarkEnd w:id="0"/>
      <w:r>
        <w:rPr>
          <w:rFonts w:hint="eastAsia" w:ascii="方正小标宋_GBK" w:eastAsia="方正小标宋_GBK"/>
          <w:sz w:val="44"/>
          <w:szCs w:val="44"/>
        </w:rPr>
        <w:t>效自评报告</w:t>
      </w:r>
    </w:p>
    <w:p/>
    <w:p>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21</w:t>
      </w:r>
      <w:r>
        <w:rPr>
          <w:rFonts w:hint="eastAsia" w:ascii="仿宋_GB2312" w:eastAsia="仿宋_GB2312"/>
          <w:sz w:val="32"/>
          <w:szCs w:val="32"/>
        </w:rPr>
        <w:t>年度 ）</w:t>
      </w:r>
    </w:p>
    <w:p>
      <w:pPr>
        <w:rPr>
          <w:rFonts w:hint="eastAsia"/>
        </w:rPr>
      </w:pPr>
    </w:p>
    <w:p>
      <w:pPr>
        <w:rPr>
          <w:rFonts w:hint="eastAsia"/>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部门(单位)名称：衡南县</w:t>
      </w:r>
      <w:r>
        <w:rPr>
          <w:rFonts w:hint="eastAsia" w:ascii="仿宋_GB2312" w:eastAsia="仿宋_GB2312"/>
          <w:sz w:val="32"/>
          <w:szCs w:val="32"/>
          <w:lang w:val="en-US" w:eastAsia="zh-CN"/>
        </w:rPr>
        <w:t>泉湖</w:t>
      </w:r>
      <w:r>
        <w:rPr>
          <w:rFonts w:hint="eastAsia" w:ascii="仿宋_GB2312" w:eastAsia="仿宋_GB2312"/>
          <w:sz w:val="32"/>
          <w:szCs w:val="32"/>
        </w:rPr>
        <w:t xml:space="preserve">镇人民政府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预算编码：                    </w:t>
      </w:r>
    </w:p>
    <w:p>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pPr>
        <w:ind w:firstLine="2240" w:firstLineChars="700"/>
        <w:rPr>
          <w:rFonts w:hint="eastAsia" w:ascii="仿宋_GB2312" w:eastAsia="仿宋_GB2312"/>
          <w:sz w:val="32"/>
          <w:szCs w:val="32"/>
        </w:rPr>
      </w:pPr>
      <w:r>
        <w:rPr>
          <w:rFonts w:hint="eastAsia" w:ascii="仿宋_GB2312" w:eastAsia="仿宋_GB2312"/>
          <w:sz w:val="32"/>
          <w:szCs w:val="32"/>
        </w:rPr>
        <w:t>中介机构□</w:t>
      </w:r>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2022</w:t>
      </w:r>
      <w:r>
        <w:rPr>
          <w:rFonts w:hint="eastAsia" w:ascii="仿宋_GB2312" w:eastAsia="仿宋_GB2312"/>
          <w:sz w:val="32"/>
          <w:szCs w:val="32"/>
        </w:rPr>
        <w:t xml:space="preserve"> 年 </w:t>
      </w:r>
      <w:r>
        <w:rPr>
          <w:rFonts w:hint="eastAsia" w:ascii="仿宋_GB2312" w:eastAsia="仿宋_GB2312"/>
          <w:sz w:val="32"/>
          <w:szCs w:val="32"/>
          <w:lang w:val="en-US" w:eastAsia="zh-CN"/>
        </w:rPr>
        <w:t>04</w:t>
      </w:r>
      <w:r>
        <w:rPr>
          <w:rFonts w:hint="eastAsia" w:ascii="仿宋_GB2312" w:eastAsia="仿宋_GB2312"/>
          <w:sz w:val="32"/>
          <w:szCs w:val="32"/>
        </w:rPr>
        <w:t xml:space="preserve"> 月 </w:t>
      </w:r>
      <w:r>
        <w:rPr>
          <w:rFonts w:hint="eastAsia" w:ascii="仿宋_GB2312" w:eastAsia="仿宋_GB2312"/>
          <w:sz w:val="32"/>
          <w:szCs w:val="32"/>
          <w:lang w:val="en-US" w:eastAsia="zh-CN"/>
        </w:rPr>
        <w:t>25</w:t>
      </w:r>
      <w:r>
        <w:rPr>
          <w:rFonts w:hint="eastAsia" w:ascii="仿宋_GB2312" w:eastAsia="仿宋_GB2312"/>
          <w:sz w:val="32"/>
          <w:szCs w:val="32"/>
        </w:rPr>
        <w:t xml:space="preserve"> 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both"/>
        <w:rPr>
          <w:rFonts w:hint="eastAsia" w:ascii="宋体" w:hAnsi="宋体" w:eastAsia="宋体" w:cs="宋体"/>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hint="eastAsia" w:ascii="仿宋" w:hAnsi="仿宋" w:eastAsia="仿宋" w:cs="仿宋"/>
          <w:b/>
          <w:bCs/>
          <w:sz w:val="36"/>
          <w:szCs w:val="36"/>
        </w:rPr>
      </w:pPr>
      <w:r>
        <w:rPr>
          <w:rFonts w:hint="eastAsia" w:ascii="仿宋" w:hAnsi="仿宋" w:eastAsia="仿宋" w:cs="仿宋"/>
          <w:b/>
          <w:bCs/>
          <w:i w:val="0"/>
          <w:caps w:val="0"/>
          <w:color w:val="000000"/>
          <w:spacing w:val="0"/>
          <w:kern w:val="0"/>
          <w:sz w:val="36"/>
          <w:szCs w:val="36"/>
          <w:lang w:val="en-US" w:eastAsia="zh-CN"/>
        </w:rPr>
        <w:t>泉湖镇2021年部门整体支出绩效自评报告</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cs="仿宋"/>
          <w:b w:val="0"/>
          <w:i w:val="0"/>
          <w:caps w:val="0"/>
          <w:color w:val="000000"/>
          <w:spacing w:val="0"/>
          <w:kern w:val="0"/>
          <w:sz w:val="28"/>
          <w:szCs w:val="28"/>
          <w:lang w:val="en-US" w:eastAsia="zh-CN"/>
        </w:rPr>
        <w:t> </w:t>
      </w:r>
      <w:r>
        <w:rPr>
          <w:rFonts w:hint="eastAsia" w:ascii="仿宋" w:hAnsi="仿宋" w:eastAsia="仿宋"/>
          <w:b w:val="0"/>
          <w:bCs/>
          <w:color w:val="383838"/>
          <w:sz w:val="32"/>
          <w:shd w:val="clear" w:color="auto" w:fill="FFFFFF"/>
          <w:lang w:val="en-US" w:eastAsia="zh-CN"/>
        </w:rPr>
        <w:t>为进一步规范财政资金管理，强化部门责任意识，切实提高财政资金使用效益，根据《衡南县财政局关于开展2021年度财政资金绩效自评工作的通知》（清财绩[2022]32号）要求，我镇对2021年度本单位财政性资金整体使用情况进行了绩效自评，现将具体绩效评价情况报告如下：</w:t>
      </w:r>
    </w:p>
    <w:p>
      <w:pPr>
        <w:keepNext w:val="0"/>
        <w:keepLines w:val="0"/>
        <w:pageBreakBefore w:val="0"/>
        <w:widowControl w:val="0"/>
        <w:numPr>
          <w:ilvl w:val="0"/>
          <w:numId w:val="1"/>
        </w:numPr>
        <w:kinsoku/>
        <w:wordWrap/>
        <w:overflowPunct/>
        <w:topLinePunct w:val="0"/>
        <w:autoSpaceDE/>
        <w:bidi w:val="0"/>
        <w:adjustRightInd/>
        <w:snapToGrid/>
        <w:spacing w:line="600" w:lineRule="exact"/>
        <w:ind w:left="0" w:leftChars="0" w:firstLine="640" w:firstLineChars="200"/>
        <w:textAlignment w:val="auto"/>
        <w:rPr>
          <w:rFonts w:hint="eastAsia" w:ascii="黑体" w:eastAsia="黑体"/>
          <w:sz w:val="32"/>
          <w:szCs w:val="32"/>
        </w:rPr>
      </w:pPr>
      <w:r>
        <w:rPr>
          <w:rFonts w:hint="eastAsia" w:ascii="黑体" w:eastAsia="黑体"/>
          <w:sz w:val="32"/>
          <w:szCs w:val="32"/>
          <w:lang w:val="en-US" w:eastAsia="zh-CN"/>
        </w:rPr>
        <w:t>单位</w:t>
      </w:r>
      <w:r>
        <w:rPr>
          <w:rFonts w:hint="eastAsia" w:ascii="黑体" w:eastAsia="黑体"/>
          <w:sz w:val="32"/>
          <w:szCs w:val="32"/>
        </w:rPr>
        <w:t>基本情况</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line="240" w:lineRule="auto"/>
        <w:ind w:left="0" w:leftChars="0" w:firstLine="640" w:firstLineChars="200"/>
        <w:textAlignment w:val="auto"/>
        <w:rPr>
          <w:rFonts w:hint="eastAsia" w:ascii="仿宋" w:hAnsi="仿宋" w:eastAsia="仿宋"/>
          <w:b w:val="0"/>
          <w:bCs/>
          <w:color w:val="383838"/>
          <w:sz w:val="32"/>
          <w:shd w:val="clear" w:color="auto" w:fill="FFFFFF"/>
          <w:lang w:eastAsia="zh-CN"/>
        </w:rPr>
      </w:pPr>
      <w:r>
        <w:rPr>
          <w:rFonts w:hint="eastAsia" w:ascii="仿宋" w:hAnsi="仿宋" w:eastAsia="仿宋"/>
          <w:b w:val="0"/>
          <w:bCs/>
          <w:color w:val="383838"/>
          <w:sz w:val="32"/>
          <w:shd w:val="clear" w:color="auto" w:fill="FFFFFF"/>
          <w:lang w:val="en-US" w:eastAsia="zh-CN"/>
        </w:rPr>
        <w:t>泉湖镇人民政府</w:t>
      </w:r>
      <w:r>
        <w:rPr>
          <w:rFonts w:hint="eastAsia" w:ascii="仿宋" w:hAnsi="仿宋" w:eastAsia="仿宋"/>
          <w:b w:val="0"/>
          <w:bCs/>
          <w:color w:val="383838"/>
          <w:sz w:val="32"/>
          <w:shd w:val="clear" w:color="auto" w:fill="FFFFFF"/>
          <w:lang w:eastAsia="zh-CN"/>
        </w:rPr>
        <w:t>为全额财政拨款单位，纳入财政会计集中核算和国库集中支付体系，财务制度执行《预算法》、《行政单位会计制度》。</w:t>
      </w:r>
    </w:p>
    <w:p>
      <w:pPr>
        <w:keepNext w:val="0"/>
        <w:keepLines w:val="0"/>
        <w:pageBreakBefore w:val="0"/>
        <w:widowControl w:val="0"/>
        <w:numPr>
          <w:ilvl w:val="0"/>
          <w:numId w:val="2"/>
        </w:numPr>
        <w:kinsoku/>
        <w:wordWrap/>
        <w:overflowPunct/>
        <w:topLinePunct w:val="0"/>
        <w:autoSpaceDE/>
        <w:bidi w:val="0"/>
        <w:adjustRightInd/>
        <w:snapToGrid/>
        <w:spacing w:line="600" w:lineRule="exact"/>
        <w:ind w:left="0" w:leftChars="0" w:firstLine="643" w:firstLineChars="200"/>
        <w:textAlignment w:val="auto"/>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部门职能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 xml:space="preserve"> 1.执行上级国家行政机关的决定、命令和国家制定的法令、法规，接受同级党委的领导，执行本级人民代表大会的各项决议，并报告执行决议、决定和命令的情况；</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2.制定并落实本行政区域的经济计划和措施，促进产业结构调整及其他经济保持平衡协调发展，全面提高人民群众的生活水平和生活质量；</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3.承担国有资产、集体资产管理、监督及增值保值责任；保护公民私人所有合法财产，保障集体经济组织应有的自主权；监督企业和各种经济凉亭、个体户认真执行国家的法律、法令和政策，履行经济合同；</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4. 开展社会主义民主和法制的宣传教育，保障公民的权利；制定社会治安综合治理工作规划并组织实施；处理人民来信来访，调解民间纠纷，打击违法犯罪，维护社会稳定；</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 xml:space="preserve">5. 制定社会各项事业发展计划，发展教育、卫生、科技、民政、广播电视、文化事业；组织实施义务教育和其他各类教育；加强计划生育工作；推进社会保障、社会福利事业和养老保险工作；做好劳动管理、科普、老龄等工作；   </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6.加强镇级财政的监督和管理，按计划组织、管理财政收入和支出，执行国家有关财经纪律和政策，保证国家财政收入的完成；做好统计工作；</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7.指导、支持、帮助村民委员会的组织建设和业务建设，促进村民委员会自治；</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eastAsia" w:ascii="仿宋" w:hAnsi="仿宋" w:eastAsia="仿宋"/>
          <w:b w:val="0"/>
          <w:bCs/>
          <w:color w:val="383838"/>
          <w:sz w:val="32"/>
          <w:shd w:val="clear" w:color="auto" w:fill="FFFFFF"/>
          <w:lang w:val="en-US"/>
        </w:rPr>
      </w:pPr>
      <w:r>
        <w:rPr>
          <w:rFonts w:hint="eastAsia" w:ascii="仿宋" w:hAnsi="仿宋" w:eastAsia="仿宋"/>
          <w:b w:val="0"/>
          <w:bCs/>
          <w:color w:val="383838"/>
          <w:sz w:val="32"/>
          <w:shd w:val="clear" w:color="auto" w:fill="FFFFFF"/>
          <w:lang w:val="en-US"/>
        </w:rPr>
        <w:t>8.制定和组织实施镇村建设规划；加强公用设施、水利建设和管理以及房屋土地管理和环境综合整治工作、保护和改善生活环境、生态环境；</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0" w:firstLineChars="200"/>
        <w:textAlignment w:val="auto"/>
        <w:rPr>
          <w:rFonts w:hint="default" w:ascii="仿宋" w:hAnsi="仿宋" w:eastAsia="仿宋"/>
          <w:b/>
          <w:bCs w:val="0"/>
          <w:color w:val="383838"/>
          <w:sz w:val="32"/>
          <w:shd w:val="clear" w:color="auto" w:fill="FFFFFF"/>
          <w:lang w:val="en-US" w:eastAsia="zh-CN"/>
        </w:rPr>
      </w:pPr>
      <w:r>
        <w:rPr>
          <w:rFonts w:hint="eastAsia" w:ascii="仿宋" w:hAnsi="仿宋" w:eastAsia="仿宋"/>
          <w:b w:val="0"/>
          <w:bCs/>
          <w:color w:val="383838"/>
          <w:sz w:val="32"/>
          <w:shd w:val="clear" w:color="auto" w:fill="FFFFFF"/>
          <w:lang w:val="en-US"/>
        </w:rPr>
        <w:t>9.承办上级人民政府交办的其他事项。</w:t>
      </w:r>
    </w:p>
    <w:p>
      <w:pPr>
        <w:keepNext w:val="0"/>
        <w:keepLines w:val="0"/>
        <w:pageBreakBefore w:val="0"/>
        <w:widowControl w:val="0"/>
        <w:numPr>
          <w:ilvl w:val="0"/>
          <w:numId w:val="0"/>
        </w:numPr>
        <w:kinsoku/>
        <w:wordWrap/>
        <w:overflowPunct/>
        <w:topLinePunct w:val="0"/>
        <w:autoSpaceDE/>
        <w:bidi w:val="0"/>
        <w:adjustRightInd/>
        <w:snapToGrid/>
        <w:spacing w:line="600" w:lineRule="exact"/>
        <w:ind w:left="0" w:leftChars="0" w:firstLine="643" w:firstLineChars="200"/>
        <w:textAlignment w:val="auto"/>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（二）基本情况。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本镇</w:t>
      </w:r>
      <w:r>
        <w:rPr>
          <w:rFonts w:hint="eastAsia" w:ascii="仿宋" w:hAnsi="仿宋" w:eastAsia="仿宋"/>
          <w:b w:val="0"/>
          <w:bCs/>
          <w:color w:val="383838"/>
          <w:sz w:val="32"/>
          <w:shd w:val="clear" w:color="auto" w:fill="FFFFFF"/>
          <w:lang w:eastAsia="zh-CN"/>
        </w:rPr>
        <w:t>总面积96平方公里，辖有16个村，2个居委会，372个村民小组，共计121</w:t>
      </w:r>
      <w:r>
        <w:rPr>
          <w:rFonts w:hint="eastAsia" w:ascii="仿宋" w:hAnsi="仿宋" w:eastAsia="仿宋"/>
          <w:b w:val="0"/>
          <w:bCs/>
          <w:color w:val="383838"/>
          <w:sz w:val="32"/>
          <w:shd w:val="clear" w:color="auto" w:fill="FFFFFF"/>
          <w:lang w:val="en-US" w:eastAsia="zh-CN"/>
        </w:rPr>
        <w:t>35</w:t>
      </w:r>
      <w:r>
        <w:rPr>
          <w:rFonts w:hint="eastAsia" w:ascii="仿宋" w:hAnsi="仿宋" w:eastAsia="仿宋"/>
          <w:b w:val="0"/>
          <w:bCs/>
          <w:color w:val="383838"/>
          <w:sz w:val="32"/>
          <w:shd w:val="clear" w:color="auto" w:fill="FFFFFF"/>
          <w:lang w:eastAsia="zh-CN"/>
        </w:rPr>
        <w:t>户，</w:t>
      </w:r>
      <w:r>
        <w:rPr>
          <w:rFonts w:hint="eastAsia" w:ascii="仿宋" w:hAnsi="仿宋" w:eastAsia="仿宋"/>
          <w:b w:val="0"/>
          <w:bCs/>
          <w:color w:val="383838"/>
          <w:sz w:val="32"/>
          <w:shd w:val="clear" w:color="auto" w:fill="FFFFFF"/>
          <w:lang w:val="en-US" w:eastAsia="zh-CN"/>
        </w:rPr>
        <w:t>总人口</w:t>
      </w:r>
      <w:r>
        <w:rPr>
          <w:rFonts w:hint="eastAsia" w:ascii="仿宋" w:hAnsi="仿宋" w:eastAsia="仿宋"/>
          <w:b w:val="0"/>
          <w:bCs/>
          <w:color w:val="383838"/>
          <w:sz w:val="32"/>
          <w:shd w:val="clear" w:color="auto" w:fill="FFFFFF"/>
          <w:lang w:eastAsia="zh-CN"/>
        </w:rPr>
        <w:t>45</w:t>
      </w:r>
      <w:r>
        <w:rPr>
          <w:rFonts w:hint="eastAsia" w:ascii="仿宋" w:hAnsi="仿宋" w:eastAsia="仿宋"/>
          <w:b w:val="0"/>
          <w:bCs/>
          <w:color w:val="383838"/>
          <w:sz w:val="32"/>
          <w:shd w:val="clear" w:color="auto" w:fill="FFFFFF"/>
          <w:lang w:val="en-US" w:eastAsia="zh-CN"/>
        </w:rPr>
        <w:t>719</w:t>
      </w:r>
      <w:r>
        <w:rPr>
          <w:rFonts w:hint="eastAsia" w:ascii="仿宋" w:hAnsi="仿宋" w:eastAsia="仿宋"/>
          <w:b w:val="0"/>
          <w:bCs/>
          <w:color w:val="383838"/>
          <w:sz w:val="32"/>
          <w:shd w:val="clear" w:color="auto" w:fill="FFFFFF"/>
          <w:lang w:eastAsia="zh-CN"/>
        </w:rPr>
        <w:t>人。政府机关现有在编财政供养人员</w:t>
      </w:r>
      <w:r>
        <w:rPr>
          <w:rFonts w:hint="eastAsia" w:ascii="仿宋" w:hAnsi="仿宋" w:eastAsia="仿宋"/>
          <w:b w:val="0"/>
          <w:bCs/>
          <w:color w:val="383838"/>
          <w:sz w:val="32"/>
          <w:shd w:val="clear" w:color="auto" w:fill="FFFFFF"/>
          <w:lang w:val="en-US" w:eastAsia="zh-CN"/>
        </w:rPr>
        <w:t>92</w:t>
      </w:r>
      <w:r>
        <w:rPr>
          <w:rFonts w:hint="eastAsia" w:ascii="仿宋" w:hAnsi="仿宋" w:eastAsia="仿宋"/>
          <w:b w:val="0"/>
          <w:bCs/>
          <w:color w:val="383838"/>
          <w:sz w:val="32"/>
          <w:shd w:val="clear" w:color="auto" w:fill="FFFFFF"/>
          <w:lang w:eastAsia="zh-CN"/>
        </w:rPr>
        <w:t>人（</w:t>
      </w:r>
      <w:r>
        <w:rPr>
          <w:rFonts w:hint="eastAsia" w:ascii="仿宋" w:hAnsi="仿宋" w:eastAsia="仿宋"/>
          <w:b w:val="0"/>
          <w:bCs/>
          <w:color w:val="383838"/>
          <w:sz w:val="32"/>
          <w:shd w:val="clear" w:color="auto" w:fill="FFFFFF"/>
          <w:lang w:val="en-US" w:eastAsia="zh-CN"/>
        </w:rPr>
        <w:t>在职编制人员90人，临骋人员2人）</w:t>
      </w:r>
      <w:r>
        <w:rPr>
          <w:rFonts w:hint="eastAsia" w:ascii="仿宋" w:hAnsi="仿宋" w:eastAsia="仿宋"/>
          <w:b w:val="0"/>
          <w:bCs/>
          <w:color w:val="383838"/>
          <w:sz w:val="32"/>
          <w:shd w:val="clear" w:color="auto" w:fill="FFFFFF"/>
          <w:lang w:eastAsia="zh-CN"/>
        </w:rPr>
        <w:t>；享受遗</w:t>
      </w:r>
      <w:r>
        <w:rPr>
          <w:rFonts w:hint="eastAsia" w:ascii="仿宋" w:hAnsi="仿宋" w:eastAsia="仿宋"/>
          <w:b w:val="0"/>
          <w:bCs/>
          <w:color w:val="383838"/>
          <w:sz w:val="32"/>
          <w:shd w:val="clear" w:color="auto" w:fill="FFFFFF"/>
          <w:lang w:val="en-US" w:eastAsia="zh-CN"/>
        </w:rPr>
        <w:t>属</w:t>
      </w:r>
      <w:r>
        <w:rPr>
          <w:rFonts w:hint="eastAsia" w:ascii="仿宋" w:hAnsi="仿宋" w:eastAsia="仿宋"/>
          <w:b w:val="0"/>
          <w:bCs/>
          <w:color w:val="383838"/>
          <w:sz w:val="32"/>
          <w:shd w:val="clear" w:color="auto" w:fill="FFFFFF"/>
          <w:lang w:eastAsia="zh-CN"/>
        </w:rPr>
        <w:t>补助人员</w:t>
      </w:r>
      <w:r>
        <w:rPr>
          <w:rFonts w:hint="eastAsia" w:ascii="仿宋" w:hAnsi="仿宋" w:eastAsia="仿宋"/>
          <w:b w:val="0"/>
          <w:bCs/>
          <w:color w:val="383838"/>
          <w:sz w:val="32"/>
          <w:shd w:val="clear" w:color="auto" w:fill="FFFFFF"/>
          <w:lang w:val="en-US" w:eastAsia="zh-CN"/>
        </w:rPr>
        <w:t>12</w:t>
      </w:r>
      <w:r>
        <w:rPr>
          <w:rFonts w:hint="eastAsia" w:ascii="仿宋" w:hAnsi="仿宋" w:eastAsia="仿宋"/>
          <w:b w:val="0"/>
          <w:bCs/>
          <w:color w:val="383838"/>
          <w:sz w:val="32"/>
          <w:shd w:val="clear" w:color="auto" w:fill="FFFFFF"/>
          <w:lang w:eastAsia="zh-CN"/>
        </w:rPr>
        <w:t>人；政府工勤人员2人。政府公务用车1辆。</w:t>
      </w:r>
      <w:r>
        <w:rPr>
          <w:rFonts w:hint="eastAsia" w:ascii="仿宋" w:hAnsi="仿宋" w:eastAsia="仿宋"/>
          <w:b w:val="0"/>
          <w:bCs/>
          <w:color w:val="383838"/>
          <w:sz w:val="32"/>
          <w:shd w:val="clear" w:color="auto" w:fill="FFFFFF"/>
          <w:lang w:val="en-US" w:eastAsia="zh-CN"/>
        </w:rPr>
        <w:t>本单位分政府机关及三中心一大队一站。</w:t>
      </w:r>
    </w:p>
    <w:p>
      <w:pPr>
        <w:numPr>
          <w:ilvl w:val="0"/>
          <w:numId w:val="0"/>
        </w:numPr>
        <w:spacing w:line="600" w:lineRule="exact"/>
        <w:ind w:left="0" w:leftChars="0" w:firstLine="643" w:firstLineChars="200"/>
        <w:rPr>
          <w:rFonts w:hint="eastAsia" w:ascii="仿宋" w:hAnsi="仿宋" w:eastAsia="仿宋" w:cs="Times New Roman"/>
          <w:b/>
          <w:bCs w:val="0"/>
          <w:color w:val="383838"/>
          <w:sz w:val="32"/>
          <w:shd w:val="clear" w:color="auto" w:fill="FFFFFF"/>
          <w:lang w:eastAsia="zh-CN"/>
        </w:rPr>
      </w:pPr>
      <w:r>
        <w:rPr>
          <w:rFonts w:hint="eastAsia" w:ascii="仿宋" w:hAnsi="仿宋" w:eastAsia="仿宋" w:cs="Times New Roman"/>
          <w:b/>
          <w:bCs w:val="0"/>
          <w:color w:val="383838"/>
          <w:sz w:val="32"/>
          <w:shd w:val="clear" w:color="auto" w:fill="FFFFFF"/>
          <w:lang w:eastAsia="zh-CN"/>
        </w:rPr>
        <w:t>（</w:t>
      </w:r>
      <w:r>
        <w:rPr>
          <w:rFonts w:hint="eastAsia" w:ascii="仿宋" w:hAnsi="仿宋" w:eastAsia="仿宋" w:cs="Times New Roman"/>
          <w:b/>
          <w:bCs w:val="0"/>
          <w:color w:val="383838"/>
          <w:sz w:val="32"/>
          <w:shd w:val="clear" w:color="auto" w:fill="FFFFFF"/>
          <w:lang w:val="en-US" w:eastAsia="zh-CN"/>
        </w:rPr>
        <w:t>三）</w:t>
      </w:r>
      <w:r>
        <w:rPr>
          <w:rFonts w:hint="eastAsia" w:ascii="仿宋" w:hAnsi="仿宋" w:eastAsia="仿宋" w:cs="Times New Roman"/>
          <w:b/>
          <w:bCs w:val="0"/>
          <w:color w:val="383838"/>
          <w:sz w:val="32"/>
          <w:shd w:val="clear" w:color="auto" w:fill="FFFFFF"/>
          <w:lang w:eastAsia="zh-CN"/>
        </w:rPr>
        <w:t>部门主要工作任务及实施情况。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全镇较好地完成了2021年初设定的工作任务，各项专项项目得到有序开展。到年底项目实施已完成100%，资金拨付报账到位率为90%，项目验收完成率为100%。</w:t>
      </w:r>
    </w:p>
    <w:p>
      <w:pPr>
        <w:spacing w:line="600" w:lineRule="exact"/>
        <w:ind w:firstLine="640" w:firstLineChars="200"/>
        <w:rPr>
          <w:rFonts w:hint="eastAsia" w:ascii="黑体" w:eastAsia="黑体"/>
          <w:sz w:val="32"/>
          <w:szCs w:val="32"/>
        </w:rPr>
      </w:pPr>
      <w:r>
        <w:rPr>
          <w:rFonts w:hint="eastAsia" w:ascii="黑体" w:eastAsia="黑体"/>
          <w:sz w:val="32"/>
          <w:szCs w:val="32"/>
        </w:rPr>
        <w:t>二、部门整体支出管理及使用情况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（一）部门预算决算收支情况</w:t>
      </w:r>
    </w:p>
    <w:p>
      <w:pPr>
        <w:spacing w:line="600" w:lineRule="exact"/>
        <w:ind w:firstLine="640" w:firstLineChars="200"/>
        <w:rPr>
          <w:rFonts w:ascii="仿宋" w:hAnsi="仿宋" w:eastAsia="仿宋" w:cs="仿宋"/>
          <w:color w:val="333333"/>
          <w:sz w:val="32"/>
          <w:szCs w:val="32"/>
        </w:rPr>
      </w:pPr>
      <w:r>
        <w:rPr>
          <w:rFonts w:hint="eastAsia" w:ascii="仿宋" w:hAnsi="仿宋" w:eastAsia="仿宋" w:cs="仿宋"/>
          <w:b w:val="0"/>
          <w:bCs/>
          <w:color w:val="383838"/>
          <w:sz w:val="32"/>
          <w:szCs w:val="32"/>
          <w:shd w:val="clear" w:color="auto" w:fill="FFFFFF"/>
          <w:lang w:val="en-US" w:eastAsia="zh-CN"/>
        </w:rPr>
        <w:t>20</w:t>
      </w:r>
      <w:r>
        <w:rPr>
          <w:rFonts w:hint="eastAsia" w:ascii="仿宋" w:hAnsi="仿宋" w:eastAsia="仿宋" w:cs="仿宋"/>
          <w:b w:val="0"/>
          <w:i w:val="0"/>
          <w:caps w:val="0"/>
          <w:color w:val="333333"/>
          <w:spacing w:val="-2"/>
          <w:sz w:val="32"/>
          <w:szCs w:val="32"/>
          <w:lang w:val="en-US" w:eastAsia="zh-CN"/>
        </w:rPr>
        <w:t>21</w:t>
      </w:r>
      <w:r>
        <w:rPr>
          <w:rFonts w:hint="eastAsia" w:ascii="仿宋" w:hAnsi="仿宋" w:eastAsia="仿宋" w:cs="Times New Roman"/>
          <w:b w:val="0"/>
          <w:bCs/>
          <w:color w:val="383838"/>
          <w:sz w:val="32"/>
          <w:shd w:val="clear" w:color="auto" w:fill="FFFFFF"/>
          <w:lang w:val="en-US" w:eastAsia="zh-CN"/>
        </w:rPr>
        <w:t>年年初预算收入1,262.25万元，</w:t>
      </w:r>
      <w:r>
        <w:rPr>
          <w:rFonts w:hint="eastAsia" w:ascii="仿宋" w:hAnsi="仿宋" w:eastAsia="仿宋" w:cs="仿宋"/>
          <w:color w:val="333333"/>
          <w:sz w:val="32"/>
          <w:szCs w:val="32"/>
        </w:rPr>
        <w:t>其中：工资福利支出</w:t>
      </w:r>
      <w:r>
        <w:rPr>
          <w:rFonts w:hint="eastAsia" w:ascii="仿宋" w:hAnsi="仿宋" w:eastAsia="仿宋" w:cs="仿宋"/>
          <w:color w:val="333333"/>
          <w:sz w:val="32"/>
          <w:szCs w:val="32"/>
          <w:lang w:val="en-US" w:eastAsia="zh-CN"/>
        </w:rPr>
        <w:t>722.7</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val="en-US" w:eastAsia="zh-CN"/>
        </w:rPr>
        <w:t>一般商品和服务</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113</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对个人和家庭的补助</w:t>
      </w:r>
      <w:r>
        <w:rPr>
          <w:rFonts w:hint="eastAsia" w:ascii="仿宋" w:hAnsi="仿宋" w:eastAsia="仿宋" w:cs="仿宋"/>
          <w:color w:val="333333"/>
          <w:sz w:val="32"/>
          <w:szCs w:val="32"/>
          <w:lang w:val="en-US" w:eastAsia="zh-CN"/>
        </w:rPr>
        <w:t>21.44万元，</w:t>
      </w:r>
      <w:r>
        <w:rPr>
          <w:rFonts w:hint="eastAsia" w:ascii="仿宋" w:hAnsi="仿宋" w:eastAsia="仿宋" w:cs="仿宋"/>
          <w:color w:val="333333"/>
          <w:sz w:val="32"/>
          <w:szCs w:val="32"/>
        </w:rPr>
        <w:t>项目支出</w:t>
      </w:r>
      <w:r>
        <w:rPr>
          <w:rFonts w:hint="eastAsia" w:ascii="仿宋" w:hAnsi="仿宋" w:eastAsia="仿宋" w:cs="仿宋"/>
          <w:color w:val="333333"/>
          <w:sz w:val="32"/>
          <w:szCs w:val="32"/>
          <w:lang w:val="en-US" w:eastAsia="zh-CN"/>
        </w:rPr>
        <w:t>405.11</w:t>
      </w:r>
      <w:r>
        <w:rPr>
          <w:rFonts w:hint="eastAsia" w:ascii="仿宋" w:hAnsi="仿宋" w:eastAsia="仿宋" w:cs="仿宋"/>
          <w:color w:val="333333"/>
          <w:sz w:val="32"/>
          <w:szCs w:val="32"/>
        </w:rPr>
        <w:t>万元。</w:t>
      </w:r>
    </w:p>
    <w:p>
      <w:pPr>
        <w:spacing w:line="600" w:lineRule="exact"/>
        <w:ind w:firstLine="640" w:firstLineChars="200"/>
        <w:rPr>
          <w:rFonts w:hint="eastAsia" w:ascii="仿宋" w:hAnsi="仿宋" w:eastAsia="仿宋" w:cs="仿宋"/>
          <w:b w:val="0"/>
          <w:bCs/>
          <w:color w:val="383838"/>
          <w:sz w:val="32"/>
          <w:szCs w:val="32"/>
          <w:shd w:val="clear" w:color="auto" w:fill="FFFFFF"/>
          <w:lang w:val="en-US" w:eastAsia="zh-CN"/>
        </w:rPr>
      </w:pPr>
      <w:r>
        <w:rPr>
          <w:rFonts w:hint="eastAsia" w:ascii="仿宋" w:hAnsi="仿宋" w:eastAsia="仿宋" w:cs="仿宋"/>
          <w:b w:val="0"/>
          <w:bCs/>
          <w:color w:val="383838"/>
          <w:sz w:val="32"/>
          <w:szCs w:val="32"/>
          <w:shd w:val="clear" w:color="auto" w:fill="FFFFFF"/>
          <w:lang w:val="en-US" w:eastAsia="zh-CN"/>
        </w:rPr>
        <w:t>2021年决算收入2,181.19万元，比年初预算增加918.94万元（其中人员异动64.84万元，上级追加225.64万元，本级追加628.46万元）。本年度总支出2,181.19万元，其中：工资福利支出724.67万元，一般商品和服务支出181.44万元，对个人和家庭的补助7.65万元，资本性支出3.83万元；项目支出1,263.60万元。</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b w:val="0"/>
          <w:bCs/>
          <w:color w:val="383838"/>
          <w:sz w:val="32"/>
          <w:szCs w:val="32"/>
          <w:shd w:val="clear" w:color="auto" w:fill="FFFFFF"/>
          <w:lang w:val="en-US" w:eastAsia="zh-CN"/>
        </w:rPr>
        <w:t>2021年本单位元</w:t>
      </w:r>
      <w:r>
        <w:rPr>
          <w:rFonts w:hint="eastAsia" w:ascii="仿宋" w:hAnsi="仿宋" w:eastAsia="仿宋" w:cs="仿宋"/>
          <w:sz w:val="32"/>
          <w:szCs w:val="32"/>
          <w:lang w:val="en-US" w:eastAsia="zh-CN"/>
        </w:rPr>
        <w:t>政府性基金预算财政拨款收支。</w:t>
      </w:r>
    </w:p>
    <w:p>
      <w:pPr>
        <w:pStyle w:val="2"/>
        <w:rPr>
          <w:rFonts w:hint="default"/>
          <w:lang w:val="en-US" w:eastAsia="zh-CN"/>
        </w:rPr>
      </w:pP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（二）支出分类情况。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1.基本支出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基本支出为保障单位机构正常运转、完成日常工作任务而发生的各项支出，包括用于基本工资、津贴补贴等人员经费以及办公费、印刷费、水电费等日常公用经费。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2021年年初预算批复的基本支出为857.14万元，2021年决算基本支出917.59万元，其中：</w:t>
      </w:r>
      <w:r>
        <w:rPr>
          <w:rFonts w:hint="eastAsia" w:ascii="仿宋" w:hAnsi="仿宋" w:eastAsia="仿宋" w:cs="仿宋"/>
          <w:color w:val="333333"/>
          <w:sz w:val="32"/>
          <w:szCs w:val="32"/>
        </w:rPr>
        <w:t>工资福利支出</w:t>
      </w:r>
      <w:r>
        <w:rPr>
          <w:rFonts w:hint="eastAsia" w:ascii="仿宋" w:hAnsi="仿宋" w:eastAsia="仿宋" w:cs="仿宋"/>
          <w:color w:val="333333"/>
          <w:sz w:val="32"/>
          <w:szCs w:val="32"/>
          <w:lang w:val="en-US" w:eastAsia="zh-CN"/>
        </w:rPr>
        <w:t>724.67</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val="en-US" w:eastAsia="zh-CN"/>
        </w:rPr>
        <w:t>一般商品和服务</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181.44</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对个人和家庭的补助</w:t>
      </w:r>
      <w:r>
        <w:rPr>
          <w:rFonts w:hint="eastAsia" w:ascii="仿宋" w:hAnsi="仿宋" w:eastAsia="仿宋" w:cs="仿宋"/>
          <w:color w:val="333333"/>
          <w:sz w:val="32"/>
          <w:szCs w:val="32"/>
          <w:lang w:val="en-US" w:eastAsia="zh-CN"/>
        </w:rPr>
        <w:t>7.65万元，资本性支出3.83万元</w:t>
      </w:r>
      <w:r>
        <w:rPr>
          <w:rFonts w:hint="eastAsia" w:ascii="仿宋" w:hAnsi="仿宋" w:eastAsia="仿宋" w:cs="Times New Roman"/>
          <w:b w:val="0"/>
          <w:bCs/>
          <w:color w:val="383838"/>
          <w:sz w:val="32"/>
          <w:shd w:val="clear" w:color="auto" w:fill="FFFFFF"/>
          <w:lang w:val="en-US" w:eastAsia="zh-CN"/>
        </w:rPr>
        <w:t>。</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2.“三公”经费情况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w:t>
      </w:r>
      <w:r>
        <w:rPr>
          <w:rFonts w:hint="eastAsia" w:ascii="仿宋" w:hAnsi="仿宋" w:eastAsia="仿宋" w:cs="仿宋"/>
          <w:b w:val="0"/>
          <w:i w:val="0"/>
          <w:caps w:val="0"/>
          <w:color w:val="333333"/>
          <w:spacing w:val="-2"/>
          <w:sz w:val="32"/>
          <w:szCs w:val="32"/>
          <w:lang w:val="en-US" w:eastAsia="zh-CN"/>
        </w:rPr>
        <w:t>21</w:t>
      </w:r>
      <w:r>
        <w:rPr>
          <w:rFonts w:hint="eastAsia" w:ascii="仿宋" w:hAnsi="仿宋" w:eastAsia="仿宋" w:cs="Times New Roman"/>
          <w:b w:val="0"/>
          <w:bCs/>
          <w:color w:val="383838"/>
          <w:sz w:val="32"/>
          <w:shd w:val="clear" w:color="auto" w:fill="FFFFFF"/>
          <w:lang w:val="en-US" w:eastAsia="zh-CN"/>
        </w:rPr>
        <w:t>年“三公”经费实际支出3.7万元，其中公务接待1.84万元，公务用车1.86，2021年“三公”经费比上年增加2.47万元，原因是2020年部分公务接待费记入了会议费中。</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 xml:space="preserve">我镇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3.项目支出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zCs w:val="32"/>
          <w:shd w:val="clear" w:color="auto" w:fill="FFFFFF"/>
          <w:lang w:val="en-US" w:eastAsia="zh-CN"/>
        </w:rPr>
        <w:t>20</w:t>
      </w:r>
      <w:r>
        <w:rPr>
          <w:rFonts w:hint="eastAsia" w:ascii="仿宋" w:hAnsi="仿宋" w:eastAsia="仿宋" w:cs="仿宋"/>
          <w:b w:val="0"/>
          <w:i w:val="0"/>
          <w:caps w:val="0"/>
          <w:color w:val="333333"/>
          <w:spacing w:val="-2"/>
          <w:sz w:val="32"/>
          <w:szCs w:val="32"/>
          <w:lang w:val="en-US" w:eastAsia="zh-CN"/>
        </w:rPr>
        <w:t>21</w:t>
      </w:r>
      <w:r>
        <w:rPr>
          <w:rFonts w:hint="eastAsia" w:ascii="仿宋" w:hAnsi="仿宋" w:eastAsia="仿宋" w:cs="Times New Roman"/>
          <w:b w:val="0"/>
          <w:bCs/>
          <w:color w:val="383838"/>
          <w:sz w:val="32"/>
          <w:shd w:val="clear" w:color="auto" w:fill="FFFFFF"/>
          <w:lang w:val="en-US" w:eastAsia="zh-CN"/>
        </w:rPr>
        <w:t>年年初预算批复的项目支出为405.11万元，2021年决算项目支出</w:t>
      </w:r>
      <w:r>
        <w:rPr>
          <w:rFonts w:hint="eastAsia" w:ascii="仿宋" w:hAnsi="仿宋" w:eastAsia="仿宋" w:cs="仿宋"/>
          <w:color w:val="333333"/>
          <w:sz w:val="32"/>
          <w:szCs w:val="32"/>
          <w:lang w:val="en-US" w:eastAsia="zh-CN"/>
        </w:rPr>
        <w:t>1,263.60</w:t>
      </w:r>
      <w:r>
        <w:rPr>
          <w:rFonts w:hint="eastAsia" w:ascii="仿宋" w:hAnsi="仿宋" w:eastAsia="仿宋" w:cs="Times New Roman"/>
          <w:b w:val="0"/>
          <w:bCs/>
          <w:color w:val="383838"/>
          <w:sz w:val="32"/>
          <w:shd w:val="clear" w:color="auto" w:fill="FFFFFF"/>
          <w:lang w:val="en-US" w:eastAsia="zh-CN"/>
        </w:rPr>
        <w:t>万元，其中：</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1.信访维稳2.6万元；（信访维稳工作经费及广告开支）</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2.应急储备资金3.23万元；（应急办购置应急储备物资及应急办公室维修）</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3.村级会计培训2万元；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4.水库水费13万元；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5.社会保障专项经费10万元（用于农村合作医疗征收工作经费）；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6.村委会及居委会基层政权经费及建设资金33万元；（村委会及居委会村部建设等）</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7.财源建设26万元；（用于塘坝维修加固）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8.二八文化广场20万元；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9.农业生产10万元；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10.公益事业奖补资金23万元；（用于道路维修拓宽）</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11.公卫改水20万元；（用于农村改厕）</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12.村级转移性支付及2020年村级组织运转绩效奖励资金共460.27万元；（用于村干部及离任村干部工资及村级组织运转经费）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13.结算补助资金231万元（其中红湖村9万元，七塘村12万元，大星村8万元，小江村5万元，双口村8万元，先锋村43万元，建伟村15万元，凤山村19万元，清水村8万元，八塘村8万元，龙秀村12万元，康龙村8万元，中伍村7万元，上白村10万元，青叶10万元，源泉村22万元，泉龙居委会5万元，九莲塘居委会22万元，主要用于道路拓宽及维修，村部建设等）；</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14.污水处理接户管网工程50万元；（用于镇内污水处理中心建设）</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15.样板河项目50万元（其中先锋村38万元，双口村12万元，主要用于河道清淤，河坝加固及绿化）；</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16.美丽乡村建设69万元（红湖村40万元、七塘村29万元，主要用于道路维修、硬化及绿化，河道清淤等）；</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17.农村基础设施建设114万元（其中南湖种养合作社6万元、宏溪合作社6万元、红湖村11.5万元、上白村16万元、双口村15.5、八塘村15万元、青叶9万元、龙秀村15万元、八塘村10万元、九莲塘文体广场建设10万元，主要用于农业生产基础设施建设及塘坝维修及硬化）；</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18.新农村建设126.5万元（其中青叶村10万元、建伟村14.5万元、龙秀村5万元、先锋村10万元、凤山村35万元、康龙村10万元、小江村8万元、源泉村34万元，主要用于道路硬化）。</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项目的开展主要根据县委县政府的安排，绩效总目标和阶段性目标都已按照计划完成，未逾期。所有开支均按照我单位财务管理制度执行，资金的使用严格把关。</w:t>
      </w:r>
    </w:p>
    <w:p>
      <w:pPr>
        <w:spacing w:line="600" w:lineRule="exact"/>
        <w:ind w:firstLine="640" w:firstLineChars="200"/>
        <w:rPr>
          <w:rFonts w:ascii="仿宋_GB2312" w:hAnsi="仿宋_GB2312" w:eastAsia="仿宋_GB2312" w:cs="仿宋_GB2312"/>
          <w:sz w:val="32"/>
          <w:szCs w:val="32"/>
        </w:rPr>
      </w:pPr>
    </w:p>
    <w:p>
      <w:pPr>
        <w:numPr>
          <w:ilvl w:val="0"/>
          <w:numId w:val="0"/>
        </w:numPr>
        <w:spacing w:line="600" w:lineRule="exact"/>
        <w:ind w:left="0" w:leftChars="0" w:firstLine="640" w:firstLineChars="200"/>
        <w:rPr>
          <w:rFonts w:hint="eastAsia" w:ascii="黑体" w:eastAsia="黑体"/>
          <w:sz w:val="32"/>
          <w:szCs w:val="32"/>
        </w:rPr>
      </w:pPr>
      <w:r>
        <w:rPr>
          <w:rFonts w:hint="eastAsia" w:ascii="黑体" w:eastAsia="黑体"/>
          <w:sz w:val="32"/>
          <w:szCs w:val="32"/>
          <w:lang w:val="en-US" w:eastAsia="zh-CN"/>
        </w:rPr>
        <w:t>三、</w:t>
      </w:r>
      <w:r>
        <w:rPr>
          <w:rFonts w:hint="eastAsia" w:ascii="黑体" w:eastAsia="黑体"/>
          <w:sz w:val="32"/>
          <w:szCs w:val="32"/>
        </w:rPr>
        <w:t>绩效评价</w:t>
      </w:r>
      <w:r>
        <w:rPr>
          <w:rFonts w:hint="eastAsia" w:ascii="黑体" w:eastAsia="黑体"/>
          <w:sz w:val="32"/>
          <w:szCs w:val="32"/>
          <w:lang w:val="en-US" w:eastAsia="zh-CN"/>
        </w:rPr>
        <w:t>工作</w:t>
      </w:r>
      <w:r>
        <w:rPr>
          <w:rFonts w:hint="eastAsia" w:ascii="黑体" w:eastAsia="黑体"/>
          <w:sz w:val="32"/>
          <w:szCs w:val="32"/>
        </w:rPr>
        <w:t>情况</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（一）评价目的</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2021年各项工作的开展。</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（二）评价方法</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根据衡南县财政局《衡南县预算绩效管理工作考核办法》（南财预[2015]174号）及县财政局会议精神，我镇成立了绩效评价工作组，于2021年11月中旬起开展了部门整体支出绩效评价工作，具体工作方法包括：</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1、查阅资料。查阅2021年度预算安排、预算追加、经费支出、资金管理、资产管理等相关文件资料和财务凭证。</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2、核实数据。对2021年度部门整体支出数据的准确性、真实性进行核实，将2021年度部门整体支出情况与2021年度预算情况、2021年度部门整体支出情况进行比较分析。</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3、实地查看。现场查看各类实物资产。</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4、汇总归纳。根据取得的各项数据及文件资料，结合现场评价情况进行综合分析、归纳汇总，填写基础数据表、评价指标评分表。</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5、形成绩效评价报告。</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黑体" w:eastAsia="黑体"/>
          <w:sz w:val="32"/>
          <w:szCs w:val="32"/>
        </w:rPr>
        <w:t>四、</w:t>
      </w:r>
      <w:r>
        <w:rPr>
          <w:rFonts w:hint="eastAsia" w:ascii="黑体" w:eastAsia="黑体"/>
          <w:sz w:val="32"/>
          <w:szCs w:val="32"/>
          <w:lang w:val="en-US" w:eastAsia="zh-CN"/>
        </w:rPr>
        <w:t>部门总体支出</w:t>
      </w:r>
      <w:r>
        <w:rPr>
          <w:rFonts w:hint="eastAsia" w:ascii="黑体" w:eastAsia="黑体"/>
          <w:sz w:val="32"/>
          <w:szCs w:val="32"/>
        </w:rPr>
        <w:t>绩效评价</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2021年我镇根据年初工作规划及财政预算计划，积极履职、强化管理，较好地完成了年度工作目标。通过加强预算收支管理、不断建立健全内部管理制度、梳理内部管理流程，部门整体支出管理情况得到提升。我镇2021年度部门整体支出绩效评价自评得分为97.3分。具体工作主要体现在以下几个方面：</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一是进一步规范财务管理，加强预算管理。根据中央八项规定精神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支出总额控制在预算总额以内。</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二是依法依规公开部门预决算。根据全县部门预决算公开工作统一安排部署，我部公开了2021年部门预算和“三公”经费预算，社会反响良好，圆满完成了“三公”经费预算公开工作。</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三是加强资产管理。建立了资产管理制度，固定资产利用率高于91%，定期进行了资产盘点和资产清理，总体执行情况良好。</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w:t>
      </w:r>
    </w:p>
    <w:p>
      <w:pPr>
        <w:spacing w:line="600" w:lineRule="exact"/>
        <w:ind w:firstLine="640" w:firstLineChars="200"/>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2021年村级转移支付项目支付到达村账村均金额超过县级下达拨付的最低标准，及时、达标的完成了支付，充分保障了村干办公、村委的正常合理支出，得到村干部及民众的好评。项目资金主要用于村组道路修建、维修、硬化，塘坝扩容、加固、硬化，河道清淤、硬化，河坝绿化等农村基础设施建设，方便群众出行，改善饮水、加强灌溉，得到了民众的高度认可 。</w:t>
      </w:r>
    </w:p>
    <w:p>
      <w:pPr>
        <w:spacing w:line="600" w:lineRule="exact"/>
        <w:ind w:firstLine="640" w:firstLineChars="200"/>
        <w:rPr>
          <w:rFonts w:hint="eastAsia" w:ascii="黑体" w:eastAsia="黑体"/>
          <w:sz w:val="32"/>
          <w:szCs w:val="32"/>
        </w:rPr>
      </w:pPr>
      <w:r>
        <w:rPr>
          <w:rFonts w:hint="eastAsia" w:ascii="黑体" w:eastAsia="黑体"/>
          <w:sz w:val="32"/>
          <w:szCs w:val="32"/>
        </w:rPr>
        <w:t>五、存在的主要问题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1.预决算项目支出编制需进一步明确、精细化。同时项目执行率需进一步提高。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 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pPr>
        <w:spacing w:line="600" w:lineRule="exact"/>
        <w:ind w:firstLine="640" w:firstLineChars="200"/>
        <w:rPr>
          <w:rFonts w:hint="eastAsia" w:ascii="黑体" w:eastAsia="黑体"/>
          <w:sz w:val="32"/>
          <w:szCs w:val="32"/>
        </w:rPr>
      </w:pPr>
      <w:r>
        <w:rPr>
          <w:rFonts w:hint="eastAsia" w:ascii="黑体" w:eastAsia="黑体"/>
          <w:sz w:val="32"/>
          <w:szCs w:val="32"/>
        </w:rPr>
        <w:t>六、改进措施及建议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2、合理安排会计岗位，强烈要求提升村级会计人员工作能力，增加业务知识培训，加强决算工作与财务处理工作对接。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right"/>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 xml:space="preserve"> 衡南县泉湖镇人民政府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 w:lineRule="atLeast"/>
        <w:ind w:left="0" w:right="0" w:firstLine="420"/>
        <w:jc w:val="right"/>
        <w:rPr>
          <w:rFonts w:hint="default"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 xml:space="preserve">2022年4月25日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0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ind w:left="1050" w:leftChars="0" w:firstLine="0" w:firstLineChars="0"/>
      </w:pPr>
      <w:rPr>
        <w:rFonts w:hint="eastAsia"/>
      </w:rPr>
    </w:lvl>
  </w:abstractNum>
  <w:abstractNum w:abstractNumId="1">
    <w:nsid w:val="55EFAA59"/>
    <w:multiLevelType w:val="singleLevel"/>
    <w:tmpl w:val="55EFAA5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00000000"/>
    <w:rsid w:val="030D32C1"/>
    <w:rsid w:val="08993DBF"/>
    <w:rsid w:val="0C2C2042"/>
    <w:rsid w:val="0D6F0A16"/>
    <w:rsid w:val="0F0D4910"/>
    <w:rsid w:val="10673EFE"/>
    <w:rsid w:val="273E63C6"/>
    <w:rsid w:val="291A3AD9"/>
    <w:rsid w:val="29DB03AA"/>
    <w:rsid w:val="2DD26BA4"/>
    <w:rsid w:val="2EEA4BF6"/>
    <w:rsid w:val="30D469FD"/>
    <w:rsid w:val="31D10829"/>
    <w:rsid w:val="368F221D"/>
    <w:rsid w:val="3E1306BC"/>
    <w:rsid w:val="3ED66130"/>
    <w:rsid w:val="42A67168"/>
    <w:rsid w:val="461079B5"/>
    <w:rsid w:val="49D07917"/>
    <w:rsid w:val="4E4C612B"/>
    <w:rsid w:val="4F24177D"/>
    <w:rsid w:val="54064DF3"/>
    <w:rsid w:val="5CF83D31"/>
    <w:rsid w:val="61C51262"/>
    <w:rsid w:val="6925087C"/>
    <w:rsid w:val="6A1A6A4B"/>
    <w:rsid w:val="6CBD2DD9"/>
    <w:rsid w:val="6FDD303A"/>
    <w:rsid w:val="70543B2B"/>
    <w:rsid w:val="70FE723A"/>
    <w:rsid w:val="77037C89"/>
    <w:rsid w:val="77B30D43"/>
    <w:rsid w:val="78C50A04"/>
    <w:rsid w:val="7E0E2983"/>
    <w:rsid w:val="7EFF09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qFormat/>
    <w:uiPriority w:val="99"/>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3">
    <w:name w:val="Normal (Web)"/>
    <w:basedOn w:val="1"/>
    <w:qFormat/>
    <w:uiPriority w:val="0"/>
    <w:pPr>
      <w:jc w:val="left"/>
    </w:pPr>
    <w:rPr>
      <w:kern w:val="0"/>
      <w:sz w:val="18"/>
      <w:szCs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4382</Words>
  <Characters>4748</Characters>
  <Paragraphs>74</Paragraphs>
  <TotalTime>57</TotalTime>
  <ScaleCrop>false</ScaleCrop>
  <LinksUpToDate>false</LinksUpToDate>
  <CharactersWithSpaces>5364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2018-01-31T04:49:00Z</dcterms:created>
  <dc:creator>Administrator</dc:creator>
  <cp:lastModifiedBy>茜茜</cp:lastModifiedBy>
  <cp:lastPrinted>2022-05-16T07:42:00Z</cp:lastPrinted>
  <dcterms:modified xsi:type="dcterms:W3CDTF">2025-09-16T01:09:22Z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105343C1B5524C6693CDD0C6E2505B20_13</vt:lpwstr>
  </property>
</Properties>
</file>