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1DCD41">
      <w:pPr>
        <w:spacing w:line="600" w:lineRule="exact"/>
        <w:jc w:val="both"/>
        <w:rPr>
          <w:rFonts w:ascii="仿宋" w:hAnsi="仿宋" w:eastAsia="仿宋" w:cs="仿宋"/>
          <w:sz w:val="32"/>
          <w:szCs w:val="32"/>
        </w:rPr>
      </w:pPr>
    </w:p>
    <w:p w14:paraId="31E2F66B">
      <w:pPr>
        <w:spacing w:line="600" w:lineRule="exact"/>
        <w:jc w:val="center"/>
        <w:rPr>
          <w:rFonts w:ascii="仿宋" w:hAnsi="仿宋" w:eastAsia="仿宋" w:cs="仿宋"/>
          <w:sz w:val="32"/>
          <w:szCs w:val="32"/>
        </w:rPr>
      </w:pPr>
      <w:r>
        <w:rPr>
          <w:rFonts w:hint="eastAsia" w:ascii="仿宋" w:hAnsi="仿宋" w:eastAsia="仿宋" w:cs="仿宋"/>
          <w:sz w:val="32"/>
          <w:szCs w:val="32"/>
        </w:rPr>
        <w:t xml:space="preserve">                               衡清环审字〔202</w:t>
      </w:r>
      <w:r>
        <w:rPr>
          <w:rFonts w:hint="eastAsia" w:ascii="仿宋" w:hAnsi="仿宋" w:eastAsia="仿宋" w:cs="仿宋"/>
          <w:sz w:val="32"/>
          <w:szCs w:val="32"/>
          <w:lang w:val="en-US" w:eastAsia="zh-CN"/>
        </w:rPr>
        <w:t>5</w:t>
      </w:r>
      <w:r>
        <w:rPr>
          <w:rFonts w:hint="eastAsia" w:ascii="仿宋" w:hAnsi="仿宋" w:eastAsia="仿宋" w:cs="仿宋"/>
          <w:sz w:val="32"/>
          <w:szCs w:val="32"/>
        </w:rPr>
        <w:t>〕号</w:t>
      </w:r>
    </w:p>
    <w:p w14:paraId="1381EE75">
      <w:pPr>
        <w:spacing w:line="600" w:lineRule="exact"/>
        <w:jc w:val="center"/>
        <w:rPr>
          <w:rFonts w:ascii="仿宋" w:hAnsi="仿宋" w:eastAsia="仿宋" w:cs="仿宋"/>
          <w:sz w:val="32"/>
          <w:szCs w:val="32"/>
          <w:highlight w:val="none"/>
        </w:rPr>
      </w:pPr>
    </w:p>
    <w:p w14:paraId="3229FD07">
      <w:pPr>
        <w:spacing w:line="660" w:lineRule="exact"/>
        <w:jc w:val="center"/>
        <w:rPr>
          <w:rFonts w:ascii="华文中宋" w:hAnsi="华文中宋" w:eastAsia="华文中宋" w:cs="华文中宋"/>
          <w:b/>
          <w:bCs/>
          <w:sz w:val="42"/>
          <w:szCs w:val="42"/>
          <w:highlight w:val="none"/>
        </w:rPr>
      </w:pPr>
      <w:r>
        <w:rPr>
          <w:rFonts w:hint="eastAsia" w:ascii="华文中宋" w:hAnsi="华文中宋" w:eastAsia="华文中宋" w:cs="华文中宋"/>
          <w:b/>
          <w:bCs/>
          <w:sz w:val="42"/>
          <w:szCs w:val="42"/>
          <w:highlight w:val="none"/>
        </w:rPr>
        <w:t>衡阳市生态环境局</w:t>
      </w:r>
    </w:p>
    <w:p w14:paraId="7E2367C9">
      <w:pPr>
        <w:spacing w:line="660" w:lineRule="exact"/>
        <w:jc w:val="center"/>
        <w:rPr>
          <w:rFonts w:ascii="华文中宋" w:hAnsi="华文中宋" w:eastAsia="华文中宋" w:cs="华文中宋"/>
          <w:b/>
          <w:bCs/>
          <w:sz w:val="42"/>
          <w:szCs w:val="42"/>
        </w:rPr>
      </w:pPr>
      <w:r>
        <w:rPr>
          <w:rFonts w:hint="eastAsia" w:ascii="华文中宋" w:hAnsi="华文中宋" w:eastAsia="华文中宋" w:cs="华文中宋"/>
          <w:b/>
          <w:bCs/>
          <w:sz w:val="42"/>
          <w:szCs w:val="42"/>
          <w:highlight w:val="none"/>
        </w:rPr>
        <w:t>关于《</w:t>
      </w:r>
      <w:r>
        <w:rPr>
          <w:rFonts w:hint="eastAsia" w:ascii="华文中宋" w:hAnsi="华文中宋" w:eastAsia="华文中宋" w:cs="华文中宋"/>
          <w:b/>
          <w:bCs/>
          <w:sz w:val="42"/>
          <w:szCs w:val="42"/>
          <w:highlight w:val="none"/>
          <w:lang w:val="en-US" w:eastAsia="zh-CN"/>
        </w:rPr>
        <w:t>湖南杰衡电气科技有限公司电力变压器建设项目</w:t>
      </w:r>
      <w:r>
        <w:rPr>
          <w:rFonts w:hint="eastAsia" w:ascii="华文中宋" w:hAnsi="华文中宋" w:eastAsia="华文中宋" w:cs="华文中宋"/>
          <w:b/>
          <w:bCs/>
          <w:sz w:val="42"/>
          <w:szCs w:val="42"/>
          <w:highlight w:val="none"/>
        </w:rPr>
        <w:t>环境影响报告表》</w:t>
      </w:r>
      <w:r>
        <w:rPr>
          <w:rFonts w:hint="eastAsia" w:ascii="华文中宋" w:hAnsi="华文中宋" w:eastAsia="华文中宋" w:cs="华文中宋"/>
          <w:b/>
          <w:bCs/>
          <w:sz w:val="42"/>
          <w:szCs w:val="42"/>
        </w:rPr>
        <w:t>的批复</w:t>
      </w:r>
    </w:p>
    <w:p w14:paraId="679DDC6A">
      <w:pPr>
        <w:spacing w:line="460" w:lineRule="atLeast"/>
        <w:rPr>
          <w:rStyle w:val="47"/>
          <w:rFonts w:ascii="仿宋" w:hAnsi="仿宋" w:eastAsia="仿宋" w:cs="仿宋"/>
          <w:color w:val="auto"/>
          <w:sz w:val="32"/>
          <w:szCs w:val="32"/>
        </w:rPr>
      </w:pPr>
    </w:p>
    <w:p w14:paraId="7C7E6792">
      <w:pPr>
        <w:spacing w:line="600" w:lineRule="exact"/>
        <w:rPr>
          <w:rStyle w:val="47"/>
          <w:rFonts w:ascii="仿宋" w:hAnsi="仿宋" w:eastAsia="仿宋" w:cs="仿宋"/>
          <w:color w:val="auto"/>
          <w:sz w:val="32"/>
          <w:szCs w:val="32"/>
        </w:rPr>
      </w:pPr>
      <w:r>
        <w:rPr>
          <w:rStyle w:val="47"/>
          <w:rFonts w:hint="eastAsia" w:ascii="仿宋" w:hAnsi="仿宋" w:eastAsia="仿宋" w:cs="仿宋"/>
          <w:color w:val="auto"/>
          <w:sz w:val="32"/>
          <w:szCs w:val="32"/>
          <w:lang w:val="en-US" w:eastAsia="zh-CN"/>
        </w:rPr>
        <w:t>湖南杰衡电气科技有限公司</w:t>
      </w:r>
      <w:r>
        <w:rPr>
          <w:rStyle w:val="47"/>
          <w:rFonts w:hint="eastAsia" w:ascii="仿宋" w:hAnsi="仿宋" w:eastAsia="仿宋" w:cs="仿宋"/>
          <w:color w:val="auto"/>
          <w:sz w:val="32"/>
          <w:szCs w:val="32"/>
        </w:rPr>
        <w:t>：</w:t>
      </w:r>
    </w:p>
    <w:p w14:paraId="74AD9EA6">
      <w:pPr>
        <w:widowControl/>
        <w:spacing w:line="600" w:lineRule="exact"/>
        <w:ind w:firstLine="640" w:firstLineChars="200"/>
        <w:rPr>
          <w:rStyle w:val="47"/>
          <w:rFonts w:ascii="仿宋" w:hAnsi="仿宋" w:eastAsia="仿宋" w:cs="仿宋"/>
          <w:sz w:val="32"/>
          <w:szCs w:val="32"/>
        </w:rPr>
      </w:pPr>
      <w:r>
        <w:rPr>
          <w:rStyle w:val="47"/>
          <w:rFonts w:hint="eastAsia" w:ascii="仿宋" w:hAnsi="仿宋" w:eastAsia="仿宋" w:cs="仿宋"/>
          <w:sz w:val="32"/>
          <w:szCs w:val="32"/>
        </w:rPr>
        <w:t>你公司</w:t>
      </w:r>
      <w:r>
        <w:rPr>
          <w:rStyle w:val="47"/>
          <w:rFonts w:hint="eastAsia" w:ascii="仿宋" w:hAnsi="仿宋" w:eastAsia="仿宋" w:cs="仿宋"/>
          <w:sz w:val="32"/>
          <w:szCs w:val="32"/>
          <w:lang w:val="en-US" w:eastAsia="zh-CN"/>
        </w:rPr>
        <w:t>报送</w:t>
      </w:r>
      <w:r>
        <w:rPr>
          <w:rStyle w:val="47"/>
          <w:rFonts w:hint="eastAsia" w:ascii="仿宋" w:hAnsi="仿宋" w:eastAsia="仿宋" w:cs="仿宋"/>
          <w:sz w:val="32"/>
          <w:szCs w:val="32"/>
        </w:rPr>
        <w:t>的《</w:t>
      </w:r>
      <w:r>
        <w:rPr>
          <w:rStyle w:val="47"/>
          <w:rFonts w:hint="eastAsia" w:ascii="仿宋" w:hAnsi="仿宋" w:eastAsia="仿宋" w:cs="仿宋"/>
          <w:sz w:val="32"/>
          <w:szCs w:val="32"/>
          <w:lang w:val="en-US" w:eastAsia="zh-CN"/>
        </w:rPr>
        <w:t>湖南杰衡电气科技有限公司电力变压器建设项目环境影响报告表</w:t>
      </w:r>
      <w:r>
        <w:rPr>
          <w:rStyle w:val="47"/>
          <w:rFonts w:hint="eastAsia" w:ascii="仿宋" w:hAnsi="仿宋" w:eastAsia="仿宋" w:cs="仿宋"/>
          <w:sz w:val="32"/>
          <w:szCs w:val="32"/>
        </w:rPr>
        <w:t>》（报批稿）及专家组评审意见均已收悉，经研究，批复如下：</w:t>
      </w:r>
    </w:p>
    <w:p w14:paraId="1A182B18">
      <w:pPr>
        <w:pStyle w:val="48"/>
        <w:numPr>
          <w:ilvl w:val="0"/>
          <w:numId w:val="4"/>
        </w:numPr>
        <w:adjustRightInd w:val="0"/>
        <w:snapToGrid w:val="0"/>
        <w:spacing w:line="600" w:lineRule="exact"/>
        <w:ind w:firstLine="640"/>
        <w:rPr>
          <w:rStyle w:val="47"/>
          <w:rFonts w:ascii="仿宋" w:hAnsi="仿宋" w:eastAsia="仿宋" w:cs="仿宋"/>
          <w:sz w:val="32"/>
          <w:szCs w:val="32"/>
        </w:rPr>
      </w:pPr>
      <w:r>
        <w:rPr>
          <w:rStyle w:val="47"/>
          <w:rFonts w:hint="eastAsia" w:ascii="仿宋" w:hAnsi="仿宋" w:eastAsia="仿宋" w:cs="仿宋"/>
          <w:kern w:val="2"/>
          <w:sz w:val="32"/>
          <w:szCs w:val="32"/>
          <w:lang w:val="en-US" w:eastAsia="zh-CN" w:bidi="ar-SA"/>
        </w:rPr>
        <w:t>项目建设的主要内容。湖南杰衡电气科技有限公司拟投资4000万元购置衡南高新技术产业开发区（云集片区）沁园路与普贤路交口东南角地块建设湖南杰衡电气科技有限公司年产2400台油浸式、1440台干式电力变压器建设项目，总用地面积约</w:t>
      </w:r>
      <w:r>
        <w:rPr>
          <w:rStyle w:val="47"/>
          <w:rFonts w:hint="default" w:ascii="仿宋" w:hAnsi="仿宋" w:eastAsia="仿宋" w:cs="仿宋"/>
          <w:kern w:val="2"/>
          <w:sz w:val="32"/>
          <w:szCs w:val="32"/>
          <w:lang w:val="en-US" w:eastAsia="zh-CN" w:bidi="ar-SA"/>
        </w:rPr>
        <w:t>13333</w:t>
      </w:r>
      <w:r>
        <w:rPr>
          <w:rStyle w:val="47"/>
          <w:rFonts w:hint="eastAsia" w:ascii="仿宋" w:hAnsi="仿宋" w:eastAsia="仿宋" w:cs="仿宋"/>
          <w:kern w:val="2"/>
          <w:sz w:val="32"/>
          <w:szCs w:val="32"/>
          <w:lang w:val="en-US" w:eastAsia="zh-CN" w:bidi="ar-SA"/>
        </w:rPr>
        <w:t>m</w:t>
      </w:r>
      <w:r>
        <w:rPr>
          <w:rStyle w:val="47"/>
          <w:rFonts w:hint="eastAsia" w:ascii="仿宋" w:hAnsi="仿宋" w:eastAsia="仿宋" w:cs="仿宋"/>
          <w:kern w:val="2"/>
          <w:sz w:val="32"/>
          <w:szCs w:val="32"/>
          <w:vertAlign w:val="superscript"/>
          <w:lang w:val="en-US" w:eastAsia="zh-CN" w:bidi="ar-SA"/>
        </w:rPr>
        <w:t>2</w:t>
      </w:r>
      <w:r>
        <w:rPr>
          <w:rStyle w:val="47"/>
          <w:rFonts w:hint="eastAsia" w:ascii="仿宋" w:hAnsi="仿宋" w:eastAsia="仿宋" w:cs="仿宋"/>
          <w:kern w:val="2"/>
          <w:sz w:val="32"/>
          <w:szCs w:val="32"/>
          <w:vertAlign w:val="baseline"/>
          <w:lang w:val="en-US" w:eastAsia="zh-CN" w:bidi="ar-SA"/>
        </w:rPr>
        <w:t>（20亩）</w:t>
      </w:r>
      <w:r>
        <w:rPr>
          <w:rStyle w:val="47"/>
          <w:rFonts w:hint="eastAsia" w:ascii="仿宋" w:hAnsi="仿宋" w:eastAsia="仿宋" w:cs="仿宋"/>
          <w:kern w:val="2"/>
          <w:sz w:val="32"/>
          <w:szCs w:val="32"/>
          <w:lang w:val="en-US" w:eastAsia="zh-CN" w:bidi="ar-SA"/>
        </w:rPr>
        <w:t>。主要建设内容：生产厂房（主要设备有高低压绕线机18台、60吨冲床1台、烘箱5个、50吨折弯机1台、变压器油罐10吨2个，20吨1个等）、综合办公楼等主体工程及辅助工程、环保工程等。</w:t>
      </w:r>
      <w:r>
        <w:rPr>
          <w:rStyle w:val="47"/>
          <w:rFonts w:hint="eastAsia" w:ascii="仿宋" w:hAnsi="仿宋" w:eastAsia="仿宋" w:cs="仿宋"/>
          <w:sz w:val="32"/>
          <w:szCs w:val="32"/>
        </w:rPr>
        <w:t>该项目环境影响报告表提出的污染防治措施客观可行，从环保角度分析，同意该项目建设。</w:t>
      </w:r>
    </w:p>
    <w:p w14:paraId="2839ECFE">
      <w:pPr>
        <w:spacing w:line="600" w:lineRule="exact"/>
        <w:ind w:firstLine="640" w:firstLineChars="200"/>
        <w:rPr>
          <w:rFonts w:ascii="仿宋" w:hAnsi="仿宋" w:eastAsia="仿宋" w:cs="仿宋"/>
          <w:color w:val="000000"/>
          <w:sz w:val="32"/>
          <w:szCs w:val="32"/>
        </w:rPr>
      </w:pPr>
      <w:r>
        <w:rPr>
          <w:rStyle w:val="47"/>
          <w:rFonts w:hint="eastAsia" w:ascii="仿宋" w:hAnsi="仿宋" w:eastAsia="仿宋" w:cs="仿宋"/>
          <w:sz w:val="32"/>
          <w:szCs w:val="32"/>
        </w:rPr>
        <w:t>二、</w:t>
      </w:r>
      <w:r>
        <w:rPr>
          <w:rFonts w:hint="eastAsia" w:ascii="仿宋" w:hAnsi="仿宋" w:eastAsia="仿宋" w:cs="仿宋"/>
          <w:color w:val="000000"/>
          <w:sz w:val="32"/>
          <w:szCs w:val="32"/>
        </w:rPr>
        <w:t>在项目建设和运行中，必须严格执行环保法律法规，认真落实报告表提出的各项污染防治措施，并着重做好以下工作：</w:t>
      </w:r>
    </w:p>
    <w:p w14:paraId="454325C5">
      <w:pPr>
        <w:adjustRightInd w:val="0"/>
        <w:snapToGrid w:val="0"/>
        <w:spacing w:line="600" w:lineRule="exact"/>
        <w:ind w:firstLine="640" w:firstLineChars="200"/>
        <w:rPr>
          <w:rStyle w:val="47"/>
          <w:rFonts w:hint="default" w:ascii="仿宋" w:hAnsi="仿宋" w:eastAsia="仿宋" w:cs="仿宋"/>
          <w:color w:val="auto"/>
          <w:sz w:val="32"/>
          <w:szCs w:val="32"/>
          <w:highlight w:val="none"/>
          <w:lang w:val="en-US" w:eastAsia="zh-CN"/>
        </w:rPr>
      </w:pPr>
      <w:r>
        <w:rPr>
          <w:rStyle w:val="47"/>
          <w:rFonts w:hint="eastAsia" w:ascii="仿宋" w:hAnsi="仿宋" w:eastAsia="仿宋" w:cs="仿宋"/>
          <w:color w:val="auto"/>
          <w:sz w:val="32"/>
          <w:szCs w:val="32"/>
          <w:highlight w:val="none"/>
          <w:lang w:val="en-US" w:eastAsia="zh-CN"/>
        </w:rPr>
        <w:t>（一）加强施工期的环境管理。严格落实各项污染防治措施，采取围挡、路面洒水、渣土封闭运输、在施工场地设置清洗点等措施减少扬尘污染；施工废水经沉淀池处理后回用于施工区洒水抑尘，生活污水经化粪池处理后用做农肥不外排；合理布置施工现场，合理安排施工时间，防止噪声扰民；施工建筑垃圾分类收集后回收利用，不能回收利用的部分则日产日清，不随意堆放，减少对周边环境影响。</w:t>
      </w:r>
    </w:p>
    <w:p w14:paraId="733CCADA">
      <w:pPr>
        <w:adjustRightInd w:val="0"/>
        <w:snapToGrid w:val="0"/>
        <w:spacing w:line="600" w:lineRule="exact"/>
        <w:ind w:firstLine="640" w:firstLineChars="200"/>
        <w:rPr>
          <w:rStyle w:val="47"/>
          <w:rFonts w:hint="default" w:ascii="仿宋" w:hAnsi="仿宋" w:eastAsia="仿宋" w:cs="仿宋"/>
          <w:color w:val="auto"/>
          <w:sz w:val="32"/>
          <w:szCs w:val="32"/>
          <w:highlight w:val="none"/>
          <w:lang w:val="en-US" w:eastAsia="zh-CN"/>
        </w:rPr>
      </w:pPr>
      <w:r>
        <w:rPr>
          <w:rStyle w:val="47"/>
          <w:rFonts w:hint="eastAsia" w:ascii="仿宋" w:hAnsi="仿宋" w:eastAsia="仿宋" w:cs="仿宋"/>
          <w:color w:val="auto"/>
          <w:sz w:val="32"/>
          <w:szCs w:val="32"/>
          <w:highlight w:val="none"/>
          <w:lang w:val="en-US" w:eastAsia="zh-CN"/>
        </w:rPr>
        <w:t>（二）做好运营期大气污染防治工作。项目钢材下料金属粉尘在封闭车间自然沉降后无组织达标排放；焊接烟尘经移动式焊烟净化器收集处理后在车间内无组织达标排放；喷塑废气经收集由设备自带的二级滤筒装置处理后，经15m高排气筒（DA001）达标排放；浸漆、晾干、浇注、固化有机</w:t>
      </w:r>
      <w:bookmarkStart w:id="1" w:name="_GoBack"/>
      <w:bookmarkEnd w:id="1"/>
      <w:r>
        <w:rPr>
          <w:rStyle w:val="47"/>
          <w:rFonts w:hint="eastAsia" w:ascii="仿宋" w:hAnsi="仿宋" w:eastAsia="仿宋" w:cs="仿宋"/>
          <w:color w:val="auto"/>
          <w:sz w:val="32"/>
          <w:szCs w:val="32"/>
          <w:highlight w:val="none"/>
          <w:lang w:val="en-US" w:eastAsia="zh-CN"/>
        </w:rPr>
        <w:t>废气经收集由二级活性炭吸附装置处理后，通过15m高排气筒（DA002）达标排放；打磨粉尘经收集通过布袋除尘器处理后，在车间内无组织达标排放</w:t>
      </w:r>
      <w:r>
        <w:rPr>
          <w:rStyle w:val="47"/>
          <w:rFonts w:hint="eastAsia" w:ascii="仿宋" w:hAnsi="仿宋" w:eastAsia="仿宋" w:cs="仿宋"/>
          <w:b w:val="0"/>
          <w:color w:val="auto"/>
          <w:kern w:val="2"/>
          <w:sz w:val="32"/>
          <w:szCs w:val="32"/>
          <w:highlight w:val="none"/>
          <w:lang w:val="en-US" w:eastAsia="zh-CN" w:bidi="ar-SA"/>
        </w:rPr>
        <w:t>。</w:t>
      </w:r>
    </w:p>
    <w:p w14:paraId="1F7060D4">
      <w:pPr>
        <w:spacing w:line="600" w:lineRule="exact"/>
        <w:ind w:firstLine="640" w:firstLineChars="200"/>
        <w:rPr>
          <w:rStyle w:val="47"/>
          <w:rFonts w:hint="default" w:ascii="仿宋" w:hAnsi="仿宋" w:eastAsia="仿宋" w:cs="仿宋"/>
          <w:sz w:val="32"/>
          <w:szCs w:val="32"/>
          <w:lang w:val="en-US" w:eastAsia="zh-CN"/>
        </w:rPr>
      </w:pPr>
      <w:bookmarkStart w:id="0" w:name="OLE_LINK1"/>
      <w:r>
        <w:rPr>
          <w:rStyle w:val="47"/>
          <w:rFonts w:hint="eastAsia" w:ascii="仿宋" w:hAnsi="仿宋" w:eastAsia="仿宋" w:cs="仿宋"/>
          <w:sz w:val="32"/>
          <w:szCs w:val="32"/>
        </w:rPr>
        <w:t>（</w:t>
      </w:r>
      <w:r>
        <w:rPr>
          <w:rStyle w:val="47"/>
          <w:rFonts w:hint="eastAsia" w:ascii="仿宋" w:hAnsi="仿宋" w:eastAsia="仿宋" w:cs="仿宋"/>
          <w:sz w:val="32"/>
          <w:szCs w:val="32"/>
          <w:lang w:val="en-US" w:eastAsia="zh-CN"/>
        </w:rPr>
        <w:t>三</w:t>
      </w:r>
      <w:r>
        <w:rPr>
          <w:rStyle w:val="47"/>
          <w:rFonts w:hint="eastAsia" w:ascii="仿宋" w:hAnsi="仿宋" w:eastAsia="仿宋" w:cs="仿宋"/>
          <w:sz w:val="32"/>
          <w:szCs w:val="32"/>
        </w:rPr>
        <w:t>）强化</w:t>
      </w:r>
      <w:r>
        <w:rPr>
          <w:rStyle w:val="47"/>
          <w:rFonts w:hint="eastAsia" w:ascii="仿宋" w:hAnsi="仿宋" w:eastAsia="仿宋" w:cs="仿宋"/>
          <w:color w:val="auto"/>
          <w:sz w:val="32"/>
          <w:szCs w:val="32"/>
          <w:highlight w:val="none"/>
          <w:lang w:val="en-US" w:eastAsia="zh-CN"/>
        </w:rPr>
        <w:t>运营期</w:t>
      </w:r>
      <w:r>
        <w:rPr>
          <w:rStyle w:val="47"/>
          <w:rFonts w:hint="eastAsia" w:ascii="仿宋" w:hAnsi="仿宋" w:eastAsia="仿宋" w:cs="仿宋"/>
          <w:sz w:val="32"/>
          <w:szCs w:val="32"/>
        </w:rPr>
        <w:t>水污染防治措施。</w:t>
      </w:r>
      <w:bookmarkEnd w:id="0"/>
      <w:r>
        <w:rPr>
          <w:rStyle w:val="47"/>
          <w:rFonts w:hint="eastAsia" w:ascii="仿宋" w:hAnsi="仿宋" w:eastAsia="仿宋" w:cs="仿宋"/>
          <w:sz w:val="32"/>
          <w:szCs w:val="32"/>
          <w:lang w:val="en-US" w:eastAsia="zh-CN"/>
        </w:rPr>
        <w:t>生活污水经隔油化粪池预处理后排入</w:t>
      </w:r>
      <w:r>
        <w:rPr>
          <w:rStyle w:val="47"/>
          <w:rFonts w:hint="eastAsia" w:ascii="Times New Roman" w:hAnsi="Times New Roman" w:eastAsia="仿宋" w:cs="Times New Roman"/>
          <w:color w:val="auto"/>
          <w:sz w:val="32"/>
          <w:szCs w:val="32"/>
          <w:lang w:eastAsia="zh-CN"/>
        </w:rPr>
        <w:t>衡南县城乡污水处理云集污水处理厂处理</w:t>
      </w:r>
      <w:r>
        <w:rPr>
          <w:rStyle w:val="47"/>
          <w:rFonts w:hint="eastAsia" w:ascii="Times New Roman" w:hAnsi="Times New Roman" w:eastAsia="仿宋" w:cs="Times New Roman"/>
          <w:color w:val="auto"/>
          <w:sz w:val="32"/>
          <w:szCs w:val="32"/>
          <w:lang w:val="en-US" w:eastAsia="zh-CN"/>
        </w:rPr>
        <w:t>达标排放</w:t>
      </w:r>
      <w:r>
        <w:rPr>
          <w:rStyle w:val="47"/>
          <w:rFonts w:hint="default" w:ascii="Times New Roman" w:hAnsi="Times New Roman" w:eastAsia="仿宋" w:cs="Times New Roman"/>
          <w:color w:val="auto"/>
          <w:sz w:val="32"/>
          <w:szCs w:val="32"/>
        </w:rPr>
        <w:t>。</w:t>
      </w:r>
    </w:p>
    <w:p w14:paraId="2E1F07D6">
      <w:pPr>
        <w:spacing w:line="600" w:lineRule="exact"/>
        <w:ind w:firstLine="640" w:firstLineChars="200"/>
        <w:rPr>
          <w:rStyle w:val="47"/>
          <w:rFonts w:hint="eastAsia" w:ascii="仿宋" w:hAnsi="仿宋" w:eastAsia="仿宋" w:cs="仿宋"/>
          <w:sz w:val="32"/>
          <w:szCs w:val="32"/>
        </w:rPr>
      </w:pPr>
      <w:r>
        <w:rPr>
          <w:rStyle w:val="47"/>
          <w:rFonts w:hint="eastAsia" w:ascii="仿宋" w:hAnsi="仿宋" w:eastAsia="仿宋" w:cs="仿宋"/>
          <w:sz w:val="32"/>
          <w:szCs w:val="32"/>
        </w:rPr>
        <w:t>（</w:t>
      </w:r>
      <w:r>
        <w:rPr>
          <w:rStyle w:val="47"/>
          <w:rFonts w:hint="eastAsia" w:ascii="仿宋" w:hAnsi="仿宋" w:eastAsia="仿宋" w:cs="仿宋"/>
          <w:sz w:val="32"/>
          <w:szCs w:val="32"/>
          <w:lang w:val="en-US" w:eastAsia="zh-CN"/>
        </w:rPr>
        <w:t>四</w:t>
      </w:r>
      <w:r>
        <w:rPr>
          <w:rStyle w:val="47"/>
          <w:rFonts w:hint="eastAsia" w:ascii="仿宋" w:hAnsi="仿宋" w:eastAsia="仿宋" w:cs="仿宋"/>
          <w:sz w:val="32"/>
          <w:szCs w:val="32"/>
        </w:rPr>
        <w:t>）加强</w:t>
      </w:r>
      <w:r>
        <w:rPr>
          <w:rStyle w:val="47"/>
          <w:rFonts w:hint="eastAsia" w:ascii="仿宋" w:hAnsi="仿宋" w:eastAsia="仿宋" w:cs="仿宋"/>
          <w:color w:val="auto"/>
          <w:sz w:val="32"/>
          <w:szCs w:val="32"/>
          <w:highlight w:val="none"/>
          <w:lang w:val="en-US" w:eastAsia="zh-CN"/>
        </w:rPr>
        <w:t>运营期</w:t>
      </w:r>
      <w:r>
        <w:rPr>
          <w:rStyle w:val="47"/>
          <w:rFonts w:hint="eastAsia" w:ascii="仿宋" w:hAnsi="仿宋" w:eastAsia="仿宋" w:cs="仿宋"/>
          <w:sz w:val="32"/>
          <w:szCs w:val="32"/>
        </w:rPr>
        <w:t>各类固废管理，并采取有效措施防止二次污染</w:t>
      </w:r>
      <w:r>
        <w:rPr>
          <w:rStyle w:val="47"/>
          <w:rFonts w:hint="eastAsia" w:ascii="仿宋" w:hAnsi="仿宋" w:eastAsia="仿宋" w:cs="仿宋"/>
          <w:sz w:val="32"/>
          <w:szCs w:val="32"/>
          <w:lang w:eastAsia="zh-CN"/>
        </w:rPr>
        <w:t>。</w:t>
      </w:r>
      <w:r>
        <w:rPr>
          <w:rStyle w:val="47"/>
          <w:rFonts w:hint="eastAsia" w:ascii="仿宋" w:hAnsi="仿宋" w:eastAsia="仿宋" w:cs="仿宋"/>
          <w:sz w:val="32"/>
          <w:szCs w:val="32"/>
          <w:lang w:val="en-US" w:eastAsia="zh-CN"/>
        </w:rPr>
        <w:t>焊渣外售综合利用；废边角料和废包装外售废品回收公司；废滤芯、废胶桶、树脂包装桶、废活性炭、废树脂、含油废抹布等危险废物</w:t>
      </w:r>
      <w:r>
        <w:rPr>
          <w:rStyle w:val="47"/>
          <w:rFonts w:hint="default" w:ascii="Times New Roman" w:hAnsi="Times New Roman" w:eastAsia="仿宋" w:cs="Times New Roman"/>
          <w:color w:val="auto"/>
          <w:sz w:val="32"/>
          <w:szCs w:val="32"/>
        </w:rPr>
        <w:t>经危废暂存间暂存后，</w:t>
      </w:r>
      <w:r>
        <w:rPr>
          <w:rStyle w:val="47"/>
          <w:rFonts w:hint="eastAsia" w:ascii="仿宋" w:hAnsi="仿宋" w:eastAsia="仿宋" w:cs="仿宋"/>
          <w:sz w:val="32"/>
          <w:szCs w:val="32"/>
          <w:lang w:val="en-US" w:eastAsia="zh-CN"/>
        </w:rPr>
        <w:t>定期</w:t>
      </w:r>
      <w:r>
        <w:rPr>
          <w:rStyle w:val="47"/>
          <w:rFonts w:hint="eastAsia" w:ascii="仿宋" w:hAnsi="仿宋" w:eastAsia="仿宋" w:cs="仿宋"/>
          <w:sz w:val="32"/>
          <w:szCs w:val="32"/>
        </w:rPr>
        <w:t>委托有资质的单位进行处置，并办理好危险废物转移手续。一般工业固废暂存间按照《一般工业固体废物贮存和填埋污染控制标准》(GB18599-2020)要求建设；危险废物暂存间严格按照《危险废物贮存污染控制标准》（GB18597-2023）要求建设。</w:t>
      </w:r>
    </w:p>
    <w:p w14:paraId="0DE69FFE">
      <w:pPr>
        <w:spacing w:line="600" w:lineRule="exact"/>
        <w:ind w:firstLine="640" w:firstLineChars="200"/>
        <w:rPr>
          <w:rStyle w:val="47"/>
          <w:rFonts w:hint="eastAsia" w:ascii="仿宋" w:hAnsi="仿宋" w:eastAsia="仿宋" w:cs="仿宋"/>
          <w:sz w:val="32"/>
          <w:szCs w:val="32"/>
        </w:rPr>
      </w:pPr>
      <w:r>
        <w:rPr>
          <w:rStyle w:val="47"/>
          <w:rFonts w:hint="eastAsia" w:ascii="仿宋" w:hAnsi="仿宋" w:eastAsia="仿宋" w:cs="仿宋"/>
          <w:sz w:val="32"/>
          <w:szCs w:val="32"/>
        </w:rPr>
        <w:t>（</w:t>
      </w:r>
      <w:r>
        <w:rPr>
          <w:rStyle w:val="47"/>
          <w:rFonts w:hint="eastAsia" w:ascii="仿宋" w:hAnsi="仿宋" w:eastAsia="仿宋" w:cs="仿宋"/>
          <w:sz w:val="32"/>
          <w:szCs w:val="32"/>
          <w:lang w:val="en-US" w:eastAsia="zh-CN"/>
        </w:rPr>
        <w:t>五</w:t>
      </w:r>
      <w:r>
        <w:rPr>
          <w:rStyle w:val="47"/>
          <w:rFonts w:hint="eastAsia" w:ascii="仿宋" w:hAnsi="仿宋" w:eastAsia="仿宋" w:cs="仿宋"/>
          <w:sz w:val="32"/>
          <w:szCs w:val="32"/>
        </w:rPr>
        <w:t>）做好</w:t>
      </w:r>
      <w:r>
        <w:rPr>
          <w:rStyle w:val="47"/>
          <w:rFonts w:hint="eastAsia" w:ascii="仿宋" w:hAnsi="仿宋" w:eastAsia="仿宋" w:cs="仿宋"/>
          <w:color w:val="auto"/>
          <w:sz w:val="32"/>
          <w:szCs w:val="32"/>
          <w:highlight w:val="none"/>
          <w:lang w:val="en-US" w:eastAsia="zh-CN"/>
        </w:rPr>
        <w:t>运营期</w:t>
      </w:r>
      <w:r>
        <w:rPr>
          <w:rStyle w:val="47"/>
          <w:rFonts w:hint="eastAsia" w:ascii="仿宋" w:hAnsi="仿宋" w:eastAsia="仿宋" w:cs="仿宋"/>
          <w:sz w:val="32"/>
          <w:szCs w:val="32"/>
        </w:rPr>
        <w:t>噪声污染控制工作。项目生产设备噪声通过厂房隔噪，选用低噪声设备，采取消声减振并对设备合理布置等措施，确保营运期噪声厂界噪声达到《工业企业厂界环境噪声排放标准》(GB12348-2008)中的3类标准限值要求。</w:t>
      </w:r>
    </w:p>
    <w:p w14:paraId="3ADF4C8D">
      <w:pPr>
        <w:spacing w:line="600" w:lineRule="exact"/>
        <w:ind w:firstLine="640" w:firstLineChars="200"/>
        <w:rPr>
          <w:rStyle w:val="47"/>
          <w:rFonts w:hint="eastAsia" w:ascii="仿宋" w:hAnsi="仿宋" w:eastAsia="仿宋" w:cs="仿宋"/>
          <w:sz w:val="32"/>
          <w:szCs w:val="32"/>
        </w:rPr>
      </w:pPr>
      <w:r>
        <w:rPr>
          <w:rStyle w:val="47"/>
          <w:rFonts w:hint="eastAsia" w:ascii="仿宋" w:hAnsi="仿宋" w:eastAsia="仿宋" w:cs="仿宋"/>
          <w:sz w:val="32"/>
          <w:szCs w:val="32"/>
        </w:rPr>
        <w:t>三、加强日常环境管理。建设单位应安排专职环保管理人员，建立健全环境管理制度，制定有效的风险防范措施和应急预案，防止发生环境风险事故。</w:t>
      </w:r>
    </w:p>
    <w:p w14:paraId="13D17A31">
      <w:pPr>
        <w:spacing w:line="600" w:lineRule="exact"/>
        <w:ind w:firstLine="640" w:firstLineChars="200"/>
      </w:pPr>
      <w:r>
        <w:rPr>
          <w:rStyle w:val="47"/>
          <w:rFonts w:hint="eastAsia" w:ascii="仿宋" w:hAnsi="仿宋" w:eastAsia="仿宋" w:cs="仿宋"/>
          <w:sz w:val="32"/>
          <w:szCs w:val="32"/>
        </w:rPr>
        <w:t>四、项目竣工后，必须严格执行排污许可制度,在发生实际排污行为前按照国家有关规定申领排污许可证。同时，按照相关规定要求做好环保竣工验收工作，并主动接受衡南生态环境保护综合行政执法大队监管。如项目性质、规模、地点、采用的工艺及污染防治措施等发生重大变动，建设单位应当依法重新报批该项目的环境影响评价文件。</w:t>
      </w:r>
    </w:p>
    <w:p w14:paraId="49FBED24">
      <w:pPr>
        <w:adjustRightInd w:val="0"/>
        <w:snapToGrid w:val="0"/>
        <w:spacing w:line="600" w:lineRule="exact"/>
        <w:jc w:val="right"/>
        <w:rPr>
          <w:rFonts w:ascii="仿宋" w:hAnsi="仿宋" w:eastAsia="仿宋" w:cs="仿宋"/>
          <w:color w:val="000000"/>
          <w:sz w:val="32"/>
          <w:szCs w:val="32"/>
        </w:rPr>
      </w:pPr>
      <w:r>
        <w:rPr>
          <w:rStyle w:val="47"/>
          <w:rFonts w:hint="eastAsia" w:ascii="仿宋" w:hAnsi="仿宋" w:eastAsia="仿宋" w:cs="仿宋"/>
          <w:color w:val="auto"/>
          <w:sz w:val="32"/>
          <w:szCs w:val="32"/>
        </w:rPr>
        <w:t xml:space="preserve">                    </w:t>
      </w:r>
      <w:r>
        <w:rPr>
          <w:rFonts w:hint="eastAsia" w:ascii="仿宋" w:hAnsi="仿宋" w:eastAsia="仿宋" w:cs="仿宋"/>
          <w:color w:val="000000"/>
          <w:sz w:val="32"/>
          <w:szCs w:val="32"/>
        </w:rPr>
        <w:t xml:space="preserve">            衡阳市生态环境局</w:t>
      </w:r>
    </w:p>
    <w:p w14:paraId="1F0E6DE6">
      <w:pPr>
        <w:spacing w:line="600" w:lineRule="exact"/>
        <w:jc w:val="right"/>
        <w:rPr>
          <w:rFonts w:ascii="仿宋" w:hAnsi="仿宋" w:eastAsia="仿宋" w:cs="仿宋"/>
          <w:b/>
          <w:bCs/>
          <w:sz w:val="32"/>
          <w:szCs w:val="32"/>
        </w:rPr>
      </w:pPr>
      <w:r>
        <w:rPr>
          <w:rFonts w:hint="eastAsia" w:ascii="仿宋" w:hAnsi="仿宋" w:eastAsia="仿宋" w:cs="仿宋"/>
          <w:color w:val="000000"/>
          <w:sz w:val="32"/>
          <w:szCs w:val="32"/>
        </w:rPr>
        <w:t xml:space="preserve">                   202</w:t>
      </w:r>
      <w:r>
        <w:rPr>
          <w:rFonts w:hint="eastAsia" w:ascii="仿宋" w:hAnsi="仿宋" w:eastAsia="仿宋" w:cs="仿宋"/>
          <w:color w:val="000000"/>
          <w:sz w:val="32"/>
          <w:szCs w:val="32"/>
          <w:lang w:val="en-US" w:eastAsia="zh-CN"/>
        </w:rPr>
        <w:t>5</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8</w:t>
      </w:r>
      <w:r>
        <w:rPr>
          <w:rFonts w:hint="eastAsia" w:ascii="仿宋" w:hAnsi="仿宋" w:eastAsia="仿宋" w:cs="仿宋"/>
          <w:color w:val="000000"/>
          <w:sz w:val="32"/>
          <w:szCs w:val="32"/>
        </w:rPr>
        <w:t>日</w:t>
      </w:r>
    </w:p>
    <w:p w14:paraId="6CE45DB7"/>
    <w:sectPr>
      <w:footerReference r:id="rId3" w:type="default"/>
      <w:pgSz w:w="11906" w:h="16838"/>
      <w:pgMar w:top="1440" w:right="1701" w:bottom="1701"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EDD25">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65337E">
                          <w:pPr>
                            <w:pStyle w:val="1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C65337E">
                    <w:pPr>
                      <w:pStyle w:val="16"/>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E4CA2"/>
    <w:multiLevelType w:val="singleLevel"/>
    <w:tmpl w:val="A51E4CA2"/>
    <w:lvl w:ilvl="0" w:tentative="0">
      <w:start w:val="1"/>
      <w:numFmt w:val="decimal"/>
      <w:pStyle w:val="46"/>
      <w:suff w:val="nothing"/>
      <w:lvlText w:val="%1、"/>
      <w:lvlJc w:val="left"/>
    </w:lvl>
  </w:abstractNum>
  <w:abstractNum w:abstractNumId="1">
    <w:nsid w:val="BBCC9F8A"/>
    <w:multiLevelType w:val="singleLevel"/>
    <w:tmpl w:val="BBCC9F8A"/>
    <w:lvl w:ilvl="0" w:tentative="0">
      <w:start w:val="1"/>
      <w:numFmt w:val="chineseCounting"/>
      <w:suff w:val="nothing"/>
      <w:lvlText w:val="%1、"/>
      <w:lvlJc w:val="left"/>
      <w:rPr>
        <w:rFonts w:hint="eastAsia"/>
      </w:rPr>
    </w:lvl>
  </w:abstractNum>
  <w:abstractNum w:abstractNumId="2">
    <w:nsid w:val="0000000C"/>
    <w:multiLevelType w:val="singleLevel"/>
    <w:tmpl w:val="0000000C"/>
    <w:lvl w:ilvl="0" w:tentative="0">
      <w:start w:val="1"/>
      <w:numFmt w:val="bullet"/>
      <w:pStyle w:val="13"/>
      <w:lvlText w:val=""/>
      <w:lvlJc w:val="left"/>
      <w:pPr>
        <w:tabs>
          <w:tab w:val="left" w:pos="2040"/>
        </w:tabs>
        <w:ind w:left="2040" w:hanging="360"/>
      </w:pPr>
      <w:rPr>
        <w:rFonts w:hint="default" w:ascii="Wingdings" w:hAnsi="Wingdings"/>
      </w:rPr>
    </w:lvl>
  </w:abstractNum>
  <w:abstractNum w:abstractNumId="3">
    <w:nsid w:val="1ECBA01E"/>
    <w:multiLevelType w:val="multilevel"/>
    <w:tmpl w:val="1ECBA01E"/>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Restart w:val="1"/>
      <w:lvlText w:val="表%1-%5 "/>
      <w:lvlJc w:val="left"/>
      <w:pPr>
        <w:ind w:left="1008" w:hanging="1008"/>
      </w:pPr>
      <w:rPr>
        <w:rFonts w:hint="default" w:ascii="宋体" w:hAnsi="宋体" w:eastAsia="宋体" w:cs="宋体"/>
      </w:rPr>
    </w:lvl>
    <w:lvl w:ilvl="5" w:tentative="0">
      <w:start w:val="1"/>
      <w:numFmt w:val="decimal"/>
      <w:pStyle w:val="7"/>
      <w:lvlText w:val="图%1-%6 "/>
      <w:lvlJc w:val="left"/>
      <w:pPr>
        <w:ind w:left="1151" w:hanging="1151"/>
      </w:pPr>
      <w:rPr>
        <w:rFonts w:hint="default" w:ascii="宋体" w:hAnsi="宋体" w:eastAsia="宋体" w:cs="宋体"/>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hZjczMjcxYTc2ZGRiZDU1NDg1NmNhODRhNjlkOTEifQ=="/>
  </w:docVars>
  <w:rsids>
    <w:rsidRoot w:val="006013A8"/>
    <w:rsid w:val="00235E53"/>
    <w:rsid w:val="00283568"/>
    <w:rsid w:val="002F6FD1"/>
    <w:rsid w:val="004B23E3"/>
    <w:rsid w:val="005D2854"/>
    <w:rsid w:val="005D2EA4"/>
    <w:rsid w:val="006013A8"/>
    <w:rsid w:val="006D6F3B"/>
    <w:rsid w:val="0079429C"/>
    <w:rsid w:val="00796200"/>
    <w:rsid w:val="007B4753"/>
    <w:rsid w:val="007F0C19"/>
    <w:rsid w:val="00862629"/>
    <w:rsid w:val="009A0971"/>
    <w:rsid w:val="00DE40FF"/>
    <w:rsid w:val="00E530A6"/>
    <w:rsid w:val="00F35EC2"/>
    <w:rsid w:val="0179546C"/>
    <w:rsid w:val="027D71DE"/>
    <w:rsid w:val="03415C8C"/>
    <w:rsid w:val="03E017D2"/>
    <w:rsid w:val="040000C7"/>
    <w:rsid w:val="0401400E"/>
    <w:rsid w:val="04B67105"/>
    <w:rsid w:val="050112F7"/>
    <w:rsid w:val="05023789"/>
    <w:rsid w:val="051F632A"/>
    <w:rsid w:val="05C50C80"/>
    <w:rsid w:val="074D53D1"/>
    <w:rsid w:val="08386A4E"/>
    <w:rsid w:val="08FA6E92"/>
    <w:rsid w:val="09D52596"/>
    <w:rsid w:val="0AA44D6C"/>
    <w:rsid w:val="0C197F77"/>
    <w:rsid w:val="0C3668F4"/>
    <w:rsid w:val="0CC06645"/>
    <w:rsid w:val="0F975044"/>
    <w:rsid w:val="10240C99"/>
    <w:rsid w:val="10887908"/>
    <w:rsid w:val="11701DE5"/>
    <w:rsid w:val="119500A0"/>
    <w:rsid w:val="12575356"/>
    <w:rsid w:val="1281253B"/>
    <w:rsid w:val="1351179E"/>
    <w:rsid w:val="14263231"/>
    <w:rsid w:val="149C34F4"/>
    <w:rsid w:val="15567B46"/>
    <w:rsid w:val="174A03C5"/>
    <w:rsid w:val="18A1732B"/>
    <w:rsid w:val="19112B5C"/>
    <w:rsid w:val="19E576EB"/>
    <w:rsid w:val="1B027E29"/>
    <w:rsid w:val="1BA3160C"/>
    <w:rsid w:val="1C142509"/>
    <w:rsid w:val="1C627277"/>
    <w:rsid w:val="1CAB5593"/>
    <w:rsid w:val="1DF24184"/>
    <w:rsid w:val="1EA8586B"/>
    <w:rsid w:val="1F024C69"/>
    <w:rsid w:val="223B07F0"/>
    <w:rsid w:val="23C860B3"/>
    <w:rsid w:val="23CE7442"/>
    <w:rsid w:val="25344854"/>
    <w:rsid w:val="26720AB8"/>
    <w:rsid w:val="26B02E2F"/>
    <w:rsid w:val="28EA38E5"/>
    <w:rsid w:val="296D11CD"/>
    <w:rsid w:val="29CA2459"/>
    <w:rsid w:val="2C5F1EDC"/>
    <w:rsid w:val="2D23266F"/>
    <w:rsid w:val="2DA92624"/>
    <w:rsid w:val="2E251D37"/>
    <w:rsid w:val="2F594063"/>
    <w:rsid w:val="336A2CE3"/>
    <w:rsid w:val="349D0E96"/>
    <w:rsid w:val="364D2735"/>
    <w:rsid w:val="365B6913"/>
    <w:rsid w:val="36804696"/>
    <w:rsid w:val="37433C2C"/>
    <w:rsid w:val="39352CB6"/>
    <w:rsid w:val="396B15BD"/>
    <w:rsid w:val="399B34CA"/>
    <w:rsid w:val="3A622E28"/>
    <w:rsid w:val="3B5F50F7"/>
    <w:rsid w:val="3C5A141B"/>
    <w:rsid w:val="3D973659"/>
    <w:rsid w:val="3E703177"/>
    <w:rsid w:val="3EBE3F32"/>
    <w:rsid w:val="3F161F71"/>
    <w:rsid w:val="4230334A"/>
    <w:rsid w:val="42B0448A"/>
    <w:rsid w:val="43602195"/>
    <w:rsid w:val="45717F01"/>
    <w:rsid w:val="477C0DDF"/>
    <w:rsid w:val="478D4D9A"/>
    <w:rsid w:val="47EB46D4"/>
    <w:rsid w:val="4851401A"/>
    <w:rsid w:val="48B1336A"/>
    <w:rsid w:val="49415E3C"/>
    <w:rsid w:val="4962006F"/>
    <w:rsid w:val="496E22B2"/>
    <w:rsid w:val="4A6F0787"/>
    <w:rsid w:val="4D023B34"/>
    <w:rsid w:val="4D8409ED"/>
    <w:rsid w:val="4E1A04B9"/>
    <w:rsid w:val="4F6C798B"/>
    <w:rsid w:val="50FD4E06"/>
    <w:rsid w:val="526A6404"/>
    <w:rsid w:val="52CA50F4"/>
    <w:rsid w:val="53545E36"/>
    <w:rsid w:val="559612BE"/>
    <w:rsid w:val="5838665C"/>
    <w:rsid w:val="58497B76"/>
    <w:rsid w:val="589651AD"/>
    <w:rsid w:val="589D2963"/>
    <w:rsid w:val="59101387"/>
    <w:rsid w:val="59D85410"/>
    <w:rsid w:val="5A2A0227"/>
    <w:rsid w:val="5A4C2893"/>
    <w:rsid w:val="5B8B2F47"/>
    <w:rsid w:val="5C1B7877"/>
    <w:rsid w:val="5D157B54"/>
    <w:rsid w:val="5D9E1657"/>
    <w:rsid w:val="5FE33352"/>
    <w:rsid w:val="6103342B"/>
    <w:rsid w:val="61D971C2"/>
    <w:rsid w:val="630261E5"/>
    <w:rsid w:val="63B817C1"/>
    <w:rsid w:val="65B42225"/>
    <w:rsid w:val="66AB26EF"/>
    <w:rsid w:val="67C73559"/>
    <w:rsid w:val="69E01B76"/>
    <w:rsid w:val="6B1712E6"/>
    <w:rsid w:val="6C2D5708"/>
    <w:rsid w:val="6CFD0BBD"/>
    <w:rsid w:val="6D88378A"/>
    <w:rsid w:val="6D8A5754"/>
    <w:rsid w:val="6DCC7B1B"/>
    <w:rsid w:val="6E0E5912"/>
    <w:rsid w:val="6F836B40"/>
    <w:rsid w:val="711F7F62"/>
    <w:rsid w:val="721D0A2E"/>
    <w:rsid w:val="733C2BA1"/>
    <w:rsid w:val="739E1612"/>
    <w:rsid w:val="74ED4678"/>
    <w:rsid w:val="750C4CA1"/>
    <w:rsid w:val="75F64EBF"/>
    <w:rsid w:val="760360A4"/>
    <w:rsid w:val="765C68EA"/>
    <w:rsid w:val="7948380E"/>
    <w:rsid w:val="7A0917AF"/>
    <w:rsid w:val="7A50632D"/>
    <w:rsid w:val="7A801094"/>
    <w:rsid w:val="7A9F7EE5"/>
    <w:rsid w:val="7B8070B8"/>
    <w:rsid w:val="7BDD2906"/>
    <w:rsid w:val="7C7703F2"/>
    <w:rsid w:val="7E81400A"/>
    <w:rsid w:val="7EC73C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5"/>
    <w:autoRedefine/>
    <w:qFormat/>
    <w:uiPriority w:val="0"/>
    <w:pPr>
      <w:keepNext/>
      <w:keepLines/>
      <w:spacing w:line="360" w:lineRule="auto"/>
      <w:jc w:val="left"/>
      <w:outlineLvl w:val="0"/>
    </w:pPr>
    <w:rPr>
      <w:rFonts w:ascii="Times New Roman" w:hAnsi="Times New Roman" w:eastAsia="宋体" w:cs="Times New Roman"/>
      <w:b/>
      <w:bCs/>
      <w:kern w:val="44"/>
      <w:sz w:val="30"/>
      <w:szCs w:val="44"/>
    </w:rPr>
  </w:style>
  <w:style w:type="paragraph" w:styleId="4">
    <w:name w:val="heading 2"/>
    <w:basedOn w:val="1"/>
    <w:next w:val="1"/>
    <w:link w:val="32"/>
    <w:autoRedefine/>
    <w:unhideWhenUsed/>
    <w:qFormat/>
    <w:uiPriority w:val="0"/>
    <w:pPr>
      <w:keepLines/>
      <w:spacing w:line="413" w:lineRule="auto"/>
      <w:jc w:val="left"/>
      <w:outlineLvl w:val="1"/>
    </w:pPr>
    <w:rPr>
      <w:rFonts w:ascii="Times New Roman" w:hAnsi="Times New Roman" w:eastAsia="宋体" w:cs="Times New Roman"/>
      <w:b/>
      <w:sz w:val="28"/>
      <w:szCs w:val="22"/>
    </w:rPr>
  </w:style>
  <w:style w:type="paragraph" w:styleId="2">
    <w:name w:val="heading 3"/>
    <w:basedOn w:val="1"/>
    <w:next w:val="1"/>
    <w:link w:val="35"/>
    <w:autoRedefine/>
    <w:unhideWhenUsed/>
    <w:qFormat/>
    <w:uiPriority w:val="0"/>
    <w:pPr>
      <w:keepNext/>
      <w:keepLines/>
      <w:jc w:val="left"/>
      <w:outlineLvl w:val="2"/>
    </w:pPr>
    <w:rPr>
      <w:rFonts w:ascii="Times New Roman" w:hAnsi="Times New Roman" w:eastAsia="宋体" w:cs="Times New Roman"/>
      <w:b/>
      <w:sz w:val="24"/>
      <w:szCs w:val="22"/>
    </w:rPr>
  </w:style>
  <w:style w:type="paragraph" w:styleId="5">
    <w:name w:val="heading 4"/>
    <w:basedOn w:val="1"/>
    <w:next w:val="1"/>
    <w:autoRedefine/>
    <w:unhideWhenUsed/>
    <w:qFormat/>
    <w:uiPriority w:val="0"/>
    <w:pPr>
      <w:keepNext/>
      <w:keepLines/>
      <w:spacing w:before="140" w:after="140"/>
      <w:ind w:left="864" w:hanging="864"/>
      <w:jc w:val="left"/>
      <w:outlineLvl w:val="3"/>
    </w:pPr>
    <w:rPr>
      <w:rFonts w:ascii="Times New Roman" w:hAnsi="Times New Roman" w:eastAsia="宋体"/>
      <w:b/>
      <w:sz w:val="24"/>
    </w:rPr>
  </w:style>
  <w:style w:type="paragraph" w:styleId="6">
    <w:name w:val="heading 5"/>
    <w:basedOn w:val="1"/>
    <w:next w:val="1"/>
    <w:autoRedefine/>
    <w:unhideWhenUsed/>
    <w:qFormat/>
    <w:uiPriority w:val="0"/>
    <w:pPr>
      <w:keepNext/>
      <w:keepLines/>
      <w:spacing w:line="360" w:lineRule="auto"/>
      <w:ind w:firstLine="1044" w:firstLineChars="200"/>
      <w:jc w:val="left"/>
      <w:outlineLvl w:val="4"/>
    </w:pPr>
    <w:rPr>
      <w:rFonts w:ascii="Times New Roman" w:hAnsi="Times New Roman" w:eastAsia="宋体" w:cs="Times New Roman"/>
      <w:b/>
      <w:sz w:val="24"/>
    </w:rPr>
  </w:style>
  <w:style w:type="paragraph" w:styleId="7">
    <w:name w:val="heading 6"/>
    <w:basedOn w:val="1"/>
    <w:next w:val="1"/>
    <w:autoRedefine/>
    <w:unhideWhenUsed/>
    <w:qFormat/>
    <w:uiPriority w:val="0"/>
    <w:pPr>
      <w:keepNext/>
      <w:keepLines/>
      <w:numPr>
        <w:ilvl w:val="5"/>
        <w:numId w:val="1"/>
      </w:numPr>
      <w:spacing w:before="240" w:after="64" w:line="317" w:lineRule="auto"/>
      <w:outlineLvl w:val="5"/>
    </w:pPr>
    <w:rPr>
      <w:rFonts w:ascii="Arial" w:hAnsi="Arial" w:eastAsia="黑体"/>
      <w:b/>
      <w:sz w:val="24"/>
    </w:rPr>
  </w:style>
  <w:style w:type="paragraph" w:styleId="8">
    <w:name w:val="heading 7"/>
    <w:basedOn w:val="1"/>
    <w:next w:val="1"/>
    <w:autoRedefine/>
    <w:unhideWhenUsed/>
    <w:qFormat/>
    <w:uiPriority w:val="0"/>
    <w:pPr>
      <w:keepNext/>
      <w:keepLines/>
      <w:numPr>
        <w:ilvl w:val="6"/>
        <w:numId w:val="1"/>
      </w:numPr>
      <w:spacing w:before="240" w:after="64" w:line="317" w:lineRule="auto"/>
      <w:outlineLvl w:val="6"/>
    </w:pPr>
    <w:rPr>
      <w:b/>
      <w:sz w:val="24"/>
    </w:rPr>
  </w:style>
  <w:style w:type="paragraph" w:styleId="9">
    <w:name w:val="heading 8"/>
    <w:basedOn w:val="1"/>
    <w:next w:val="1"/>
    <w:unhideWhenUsed/>
    <w:qFormat/>
    <w:uiPriority w:val="0"/>
    <w:pPr>
      <w:keepNext/>
      <w:keepLines/>
      <w:numPr>
        <w:ilvl w:val="7"/>
        <w:numId w:val="1"/>
      </w:numPr>
      <w:spacing w:before="240" w:after="64" w:line="317" w:lineRule="auto"/>
      <w:outlineLvl w:val="7"/>
    </w:pPr>
    <w:rPr>
      <w:rFonts w:ascii="Arial" w:hAnsi="Arial" w:eastAsia="黑体"/>
      <w:sz w:val="24"/>
    </w:rPr>
  </w:style>
  <w:style w:type="paragraph" w:styleId="10">
    <w:name w:val="heading 9"/>
    <w:basedOn w:val="1"/>
    <w:next w:val="1"/>
    <w:autoRedefine/>
    <w:unhideWhenUsed/>
    <w:qFormat/>
    <w:uiPriority w:val="0"/>
    <w:pPr>
      <w:keepNext/>
      <w:keepLines/>
      <w:numPr>
        <w:ilvl w:val="8"/>
        <w:numId w:val="1"/>
      </w:numPr>
      <w:spacing w:before="240" w:after="64" w:line="317" w:lineRule="auto"/>
      <w:outlineLvl w:val="8"/>
    </w:pPr>
    <w:rPr>
      <w:rFonts w:ascii="Arial" w:hAnsi="Arial" w:eastAsia="黑体"/>
    </w:rPr>
  </w:style>
  <w:style w:type="character" w:default="1" w:styleId="22">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11">
    <w:name w:val="Normal Indent"/>
    <w:basedOn w:val="1"/>
    <w:autoRedefine/>
    <w:qFormat/>
    <w:uiPriority w:val="0"/>
    <w:pPr>
      <w:ind w:firstLine="420" w:firstLineChars="200"/>
    </w:pPr>
  </w:style>
  <w:style w:type="paragraph" w:styleId="12">
    <w:name w:val="Body Text"/>
    <w:basedOn w:val="1"/>
    <w:next w:val="13"/>
    <w:link w:val="33"/>
    <w:autoRedefine/>
    <w:qFormat/>
    <w:uiPriority w:val="0"/>
    <w:pPr>
      <w:widowControl/>
      <w:snapToGrid w:val="0"/>
      <w:spacing w:line="260" w:lineRule="auto"/>
      <w:ind w:right="113"/>
    </w:pPr>
    <w:rPr>
      <w:rFonts w:ascii="Times New Roman" w:hAnsi="Times New Roman" w:eastAsia="宋体"/>
      <w:kern w:val="0"/>
      <w:sz w:val="18"/>
      <w:szCs w:val="20"/>
    </w:rPr>
  </w:style>
  <w:style w:type="paragraph" w:styleId="13">
    <w:name w:val="List Bullet 5"/>
    <w:basedOn w:val="1"/>
    <w:autoRedefine/>
    <w:qFormat/>
    <w:uiPriority w:val="0"/>
    <w:pPr>
      <w:numPr>
        <w:ilvl w:val="0"/>
        <w:numId w:val="2"/>
      </w:numPr>
    </w:pPr>
  </w:style>
  <w:style w:type="paragraph" w:styleId="14">
    <w:name w:val="Body Text Indent"/>
    <w:basedOn w:val="1"/>
    <w:autoRedefine/>
    <w:qFormat/>
    <w:uiPriority w:val="0"/>
    <w:pPr>
      <w:spacing w:after="120"/>
      <w:ind w:left="420" w:leftChars="200"/>
    </w:pPr>
  </w:style>
  <w:style w:type="paragraph" w:styleId="15">
    <w:name w:val="Body Text Indent 2"/>
    <w:basedOn w:val="1"/>
    <w:next w:val="1"/>
    <w:link w:val="37"/>
    <w:autoRedefine/>
    <w:qFormat/>
    <w:uiPriority w:val="0"/>
    <w:pPr>
      <w:tabs>
        <w:tab w:val="left" w:pos="0"/>
      </w:tabs>
      <w:spacing w:line="360" w:lineRule="auto"/>
      <w:jc w:val="center"/>
    </w:pPr>
    <w:rPr>
      <w:rFonts w:ascii="Times New Roman" w:hAnsi="Times New Roman" w:eastAsia="宋体" w:cs="Times New Roman"/>
      <w:b/>
      <w:szCs w:val="22"/>
    </w:rPr>
  </w:style>
  <w:style w:type="paragraph" w:styleId="16">
    <w:name w:val="footer"/>
    <w:basedOn w:val="1"/>
    <w:autoRedefine/>
    <w:qFormat/>
    <w:uiPriority w:val="0"/>
    <w:pPr>
      <w:tabs>
        <w:tab w:val="center" w:pos="4153"/>
        <w:tab w:val="right" w:pos="8306"/>
      </w:tabs>
      <w:snapToGrid w:val="0"/>
      <w:jc w:val="left"/>
    </w:pPr>
    <w:rPr>
      <w:sz w:val="18"/>
    </w:rPr>
  </w:style>
  <w:style w:type="paragraph" w:styleId="17">
    <w:name w:val="header"/>
    <w:basedOn w:val="1"/>
    <w:link w:val="39"/>
    <w:autoRedefine/>
    <w:qFormat/>
    <w:uiPriority w:val="0"/>
    <w:pPr>
      <w:pBdr>
        <w:bottom w:val="single" w:color="auto" w:sz="6" w:space="1"/>
      </w:pBdr>
      <w:tabs>
        <w:tab w:val="center" w:pos="4153"/>
        <w:tab w:val="right" w:pos="8306"/>
      </w:tabs>
      <w:jc w:val="center"/>
    </w:pPr>
    <w:rPr>
      <w:rFonts w:ascii="Times New Roman" w:hAnsi="Times New Roman" w:eastAsia="宋体"/>
      <w:sz w:val="18"/>
      <w:szCs w:val="18"/>
    </w:rPr>
  </w:style>
  <w:style w:type="paragraph" w:styleId="18">
    <w:name w:val="table of figures"/>
    <w:basedOn w:val="1"/>
    <w:next w:val="1"/>
    <w:autoRedefine/>
    <w:qFormat/>
    <w:uiPriority w:val="0"/>
    <w:pPr>
      <w:ind w:left="200" w:leftChars="200" w:hanging="200" w:hangingChars="200"/>
    </w:pPr>
  </w:style>
  <w:style w:type="paragraph" w:styleId="19">
    <w:name w:val="Title"/>
    <w:basedOn w:val="1"/>
    <w:autoRedefine/>
    <w:qFormat/>
    <w:uiPriority w:val="0"/>
    <w:pPr>
      <w:spacing w:before="240" w:after="60"/>
      <w:jc w:val="center"/>
      <w:outlineLvl w:val="0"/>
    </w:pPr>
    <w:rPr>
      <w:rFonts w:ascii="Arial" w:hAnsi="Arial"/>
      <w:b/>
      <w:sz w:val="32"/>
    </w:rPr>
  </w:style>
  <w:style w:type="paragraph" w:styleId="20">
    <w:name w:val="Body Text First Indent 2"/>
    <w:basedOn w:val="14"/>
    <w:autoRedefine/>
    <w:qFormat/>
    <w:uiPriority w:val="0"/>
    <w:pPr>
      <w:spacing w:line="360" w:lineRule="auto"/>
      <w:ind w:left="0" w:leftChars="0"/>
    </w:pPr>
    <w:rPr>
      <w:rFonts w:ascii="Times New Roman" w:hAnsi="Times New Roman" w:eastAsia="宋体"/>
    </w:rPr>
  </w:style>
  <w:style w:type="paragraph" w:customStyle="1" w:styleId="23">
    <w:name w:val="0正文唐"/>
    <w:basedOn w:val="1"/>
    <w:link w:val="40"/>
    <w:autoRedefine/>
    <w:qFormat/>
    <w:uiPriority w:val="0"/>
    <w:pPr>
      <w:spacing w:line="360" w:lineRule="auto"/>
      <w:ind w:firstLine="720" w:firstLineChars="200"/>
      <w:jc w:val="left"/>
    </w:pPr>
    <w:rPr>
      <w:rFonts w:ascii="Times New Roman" w:hAnsi="Times New Roman" w:eastAsia="宋体" w:cs="Times New Roman"/>
      <w:sz w:val="28"/>
    </w:rPr>
  </w:style>
  <w:style w:type="paragraph" w:customStyle="1" w:styleId="24">
    <w:name w:val="Default"/>
    <w:basedOn w:val="1"/>
    <w:next w:val="20"/>
    <w:autoRedefine/>
    <w:qFormat/>
    <w:uiPriority w:val="0"/>
    <w:pPr>
      <w:autoSpaceDE w:val="0"/>
      <w:autoSpaceDN w:val="0"/>
      <w:adjustRightInd w:val="0"/>
      <w:spacing w:line="360" w:lineRule="auto"/>
    </w:pPr>
    <w:rPr>
      <w:rFonts w:hint="eastAsia" w:ascii="宋体" w:hAnsi="宋体" w:eastAsia="宋体"/>
      <w:color w:val="000000"/>
    </w:rPr>
  </w:style>
  <w:style w:type="character" w:customStyle="1" w:styleId="25">
    <w:name w:val="标题 1 Char"/>
    <w:link w:val="3"/>
    <w:autoRedefine/>
    <w:qFormat/>
    <w:uiPriority w:val="99"/>
    <w:rPr>
      <w:rFonts w:ascii="Times New Roman" w:hAnsi="Times New Roman" w:eastAsia="宋体" w:cs="Times New Roman"/>
      <w:b/>
      <w:kern w:val="44"/>
      <w:sz w:val="30"/>
    </w:rPr>
  </w:style>
  <w:style w:type="paragraph" w:customStyle="1" w:styleId="26">
    <w:name w:val="正文5号"/>
    <w:basedOn w:val="1"/>
    <w:autoRedefine/>
    <w:qFormat/>
    <w:uiPriority w:val="0"/>
    <w:pPr>
      <w:spacing w:line="360" w:lineRule="auto"/>
      <w:ind w:firstLine="422" w:firstLineChars="200"/>
    </w:pPr>
    <w:rPr>
      <w:rFonts w:ascii="Times New Roman" w:hAnsi="Times New Roman"/>
      <w:bCs/>
      <w:kern w:val="24"/>
      <w:szCs w:val="21"/>
    </w:rPr>
  </w:style>
  <w:style w:type="paragraph" w:customStyle="1" w:styleId="27">
    <w:name w:val="正文5号-缩进2"/>
    <w:basedOn w:val="1"/>
    <w:autoRedefine/>
    <w:qFormat/>
    <w:uiPriority w:val="0"/>
    <w:pPr>
      <w:autoSpaceDE w:val="0"/>
      <w:autoSpaceDN w:val="0"/>
      <w:adjustRightInd w:val="0"/>
      <w:snapToGrid w:val="0"/>
      <w:spacing w:line="360" w:lineRule="auto"/>
      <w:ind w:firstLine="420" w:firstLineChars="200"/>
    </w:pPr>
    <w:rPr>
      <w:rFonts w:ascii="Times New Roman" w:hAnsi="Times New Roman" w:cs="宋体"/>
      <w:kern w:val="0"/>
      <w:szCs w:val="21"/>
    </w:rPr>
  </w:style>
  <w:style w:type="paragraph" w:customStyle="1" w:styleId="28">
    <w:name w:val="5号-缩进2"/>
    <w:basedOn w:val="1"/>
    <w:autoRedefine/>
    <w:qFormat/>
    <w:uiPriority w:val="0"/>
    <w:pPr>
      <w:autoSpaceDE w:val="0"/>
      <w:autoSpaceDN w:val="0"/>
      <w:adjustRightInd w:val="0"/>
      <w:snapToGrid w:val="0"/>
      <w:spacing w:line="360" w:lineRule="auto"/>
      <w:ind w:firstLine="420" w:firstLineChars="200"/>
    </w:pPr>
    <w:rPr>
      <w:rFonts w:ascii="Times New Roman" w:hAnsi="Times New Roman" w:eastAsia="宋体" w:cs="宋体"/>
      <w:kern w:val="0"/>
      <w:szCs w:val="21"/>
    </w:rPr>
  </w:style>
  <w:style w:type="paragraph" w:customStyle="1" w:styleId="29">
    <w:name w:val="5号居中"/>
    <w:basedOn w:val="1"/>
    <w:autoRedefine/>
    <w:qFormat/>
    <w:uiPriority w:val="0"/>
    <w:pPr>
      <w:adjustRightInd w:val="0"/>
      <w:snapToGrid w:val="0"/>
      <w:jc w:val="center"/>
    </w:pPr>
    <w:rPr>
      <w:rFonts w:ascii="Times New Roman" w:hAnsi="Times New Roman" w:cs="宋体"/>
      <w:szCs w:val="21"/>
    </w:rPr>
  </w:style>
  <w:style w:type="paragraph" w:customStyle="1" w:styleId="30">
    <w:name w:val="表头"/>
    <w:basedOn w:val="11"/>
    <w:next w:val="1"/>
    <w:autoRedefine/>
    <w:qFormat/>
    <w:uiPriority w:val="0"/>
    <w:pPr>
      <w:autoSpaceDE w:val="0"/>
      <w:autoSpaceDN w:val="0"/>
      <w:adjustRightInd w:val="0"/>
      <w:spacing w:before="50" w:beforeLines="50"/>
      <w:ind w:firstLine="0" w:firstLineChars="0"/>
      <w:jc w:val="center"/>
      <w:textAlignment w:val="baseline"/>
    </w:pPr>
    <w:rPr>
      <w:rFonts w:ascii="Times New Roman" w:hAnsi="Times New Roman" w:eastAsia="宋体" w:cs="Times New Roman"/>
      <w:b/>
      <w:color w:val="000000"/>
      <w:szCs w:val="21"/>
    </w:rPr>
  </w:style>
  <w:style w:type="paragraph" w:customStyle="1" w:styleId="31">
    <w:name w:val="表头5号"/>
    <w:basedOn w:val="1"/>
    <w:autoRedefine/>
    <w:qFormat/>
    <w:uiPriority w:val="0"/>
    <w:pPr>
      <w:spacing w:before="50" w:beforeLines="50"/>
      <w:jc w:val="center"/>
    </w:pPr>
    <w:rPr>
      <w:rFonts w:ascii="Times New Roman" w:hAnsi="Times New Roman" w:eastAsia="宋体" w:cs="Times New Roman"/>
      <w:b/>
      <w:bCs/>
      <w:szCs w:val="21"/>
      <w:lang w:bidi="en-US"/>
    </w:rPr>
  </w:style>
  <w:style w:type="character" w:customStyle="1" w:styleId="32">
    <w:name w:val="标题 2 Char"/>
    <w:link w:val="4"/>
    <w:autoRedefine/>
    <w:qFormat/>
    <w:uiPriority w:val="0"/>
    <w:rPr>
      <w:rFonts w:ascii="Times New Roman" w:hAnsi="Times New Roman" w:eastAsia="宋体" w:cs="Times New Roman"/>
      <w:b/>
      <w:sz w:val="28"/>
      <w:szCs w:val="22"/>
    </w:rPr>
  </w:style>
  <w:style w:type="character" w:customStyle="1" w:styleId="33">
    <w:name w:val="正文文本 Char"/>
    <w:link w:val="12"/>
    <w:autoRedefine/>
    <w:qFormat/>
    <w:locked/>
    <w:uiPriority w:val="0"/>
    <w:rPr>
      <w:rFonts w:ascii="Times New Roman" w:hAnsi="Times New Roman" w:eastAsia="宋体"/>
      <w:sz w:val="18"/>
    </w:rPr>
  </w:style>
  <w:style w:type="paragraph" w:customStyle="1" w:styleId="34">
    <w:name w:val="0正文"/>
    <w:basedOn w:val="1"/>
    <w:autoRedefine/>
    <w:qFormat/>
    <w:uiPriority w:val="0"/>
    <w:pPr>
      <w:spacing w:line="360" w:lineRule="auto"/>
      <w:ind w:firstLine="1040" w:firstLineChars="200"/>
    </w:pPr>
    <w:rPr>
      <w:rFonts w:ascii="Times New Roman" w:hAnsi="Times New Roman" w:cs="Times New Roman"/>
      <w:sz w:val="24"/>
    </w:rPr>
  </w:style>
  <w:style w:type="character" w:customStyle="1" w:styleId="35">
    <w:name w:val="标题 3 Char"/>
    <w:link w:val="2"/>
    <w:autoRedefine/>
    <w:qFormat/>
    <w:uiPriority w:val="0"/>
    <w:rPr>
      <w:rFonts w:ascii="Times New Roman" w:hAnsi="Times New Roman" w:eastAsia="宋体" w:cs="Times New Roman"/>
      <w:b/>
      <w:sz w:val="28"/>
      <w:szCs w:val="30"/>
    </w:rPr>
  </w:style>
  <w:style w:type="paragraph" w:customStyle="1" w:styleId="36">
    <w:name w:val="表 标题"/>
    <w:basedOn w:val="18"/>
    <w:autoRedefine/>
    <w:qFormat/>
    <w:uiPriority w:val="0"/>
    <w:pPr>
      <w:spacing w:before="50" w:beforeLines="50"/>
      <w:ind w:left="0" w:leftChars="0" w:firstLine="0" w:firstLineChars="0"/>
      <w:jc w:val="center"/>
    </w:pPr>
    <w:rPr>
      <w:rFonts w:ascii="Times New Roman" w:hAnsi="Times New Roman" w:eastAsia="宋体" w:cs="Times New Roman"/>
      <w:b/>
      <w:szCs w:val="20"/>
    </w:rPr>
  </w:style>
  <w:style w:type="character" w:customStyle="1" w:styleId="37">
    <w:name w:val="正文文本缩进 2 Char"/>
    <w:link w:val="15"/>
    <w:autoRedefine/>
    <w:qFormat/>
    <w:uiPriority w:val="0"/>
    <w:rPr>
      <w:rFonts w:ascii="Times New Roman" w:hAnsi="Times New Roman" w:eastAsia="宋体" w:cs="Times New Roman"/>
      <w:b/>
      <w:sz w:val="21"/>
      <w:szCs w:val="22"/>
    </w:rPr>
  </w:style>
  <w:style w:type="paragraph" w:customStyle="1" w:styleId="38">
    <w:name w:val="正  文"/>
    <w:autoRedefine/>
    <w:qFormat/>
    <w:uiPriority w:val="0"/>
    <w:pPr>
      <w:widowControl w:val="0"/>
      <w:spacing w:line="360" w:lineRule="auto"/>
      <w:ind w:firstLine="200" w:firstLineChars="200"/>
    </w:pPr>
    <w:rPr>
      <w:rFonts w:ascii="Times New Roman" w:hAnsi="Times New Roman" w:eastAsia="宋体" w:cs="Times New Roman"/>
      <w:kern w:val="2"/>
      <w:sz w:val="24"/>
      <w:szCs w:val="28"/>
      <w:lang w:val="en-US" w:eastAsia="zh-CN" w:bidi="ar-SA"/>
    </w:rPr>
  </w:style>
  <w:style w:type="character" w:customStyle="1" w:styleId="39">
    <w:name w:val="页眉 Char"/>
    <w:link w:val="17"/>
    <w:autoRedefine/>
    <w:qFormat/>
    <w:uiPriority w:val="99"/>
    <w:rPr>
      <w:rFonts w:ascii="Times New Roman" w:hAnsi="Times New Roman" w:eastAsia="宋体"/>
      <w:kern w:val="2"/>
      <w:sz w:val="18"/>
      <w:szCs w:val="18"/>
    </w:rPr>
  </w:style>
  <w:style w:type="character" w:customStyle="1" w:styleId="40">
    <w:name w:val="0正文唐 Char"/>
    <w:link w:val="23"/>
    <w:autoRedefine/>
    <w:qFormat/>
    <w:uiPriority w:val="0"/>
    <w:rPr>
      <w:rFonts w:ascii="Times New Roman" w:hAnsi="Times New Roman" w:eastAsia="宋体" w:cs="Times New Roman"/>
      <w:sz w:val="28"/>
    </w:rPr>
  </w:style>
  <w:style w:type="paragraph" w:customStyle="1" w:styleId="41">
    <w:name w:val="正文-唐"/>
    <w:basedOn w:val="23"/>
    <w:autoRedefine/>
    <w:qFormat/>
    <w:uiPriority w:val="0"/>
    <w:pPr>
      <w:ind w:firstLine="600"/>
    </w:pPr>
    <w:rPr>
      <w:szCs w:val="22"/>
    </w:rPr>
  </w:style>
  <w:style w:type="paragraph" w:customStyle="1" w:styleId="42">
    <w:name w:val="自编-正文"/>
    <w:basedOn w:val="1"/>
    <w:autoRedefine/>
    <w:qFormat/>
    <w:uiPriority w:val="0"/>
    <w:pPr>
      <w:spacing w:line="360" w:lineRule="auto"/>
      <w:ind w:firstLine="480" w:firstLineChars="200"/>
      <w:jc w:val="left"/>
    </w:pPr>
    <w:rPr>
      <w:rFonts w:ascii="Times New Roman" w:hAnsi="Times New Roman" w:eastAsia="宋体" w:cs="宋体"/>
      <w:sz w:val="24"/>
    </w:rPr>
  </w:style>
  <w:style w:type="paragraph" w:customStyle="1" w:styleId="43">
    <w:name w:val="报告正文"/>
    <w:basedOn w:val="1"/>
    <w:link w:val="44"/>
    <w:autoRedefine/>
    <w:qFormat/>
    <w:uiPriority w:val="0"/>
    <w:pPr>
      <w:spacing w:line="360" w:lineRule="auto"/>
      <w:textAlignment w:val="baseline"/>
    </w:pPr>
    <w:rPr>
      <w:rFonts w:ascii="Times New Roman" w:hAnsi="Times New Roman" w:eastAsia="宋体"/>
      <w:kern w:val="24"/>
      <w:sz w:val="24"/>
    </w:rPr>
  </w:style>
  <w:style w:type="character" w:customStyle="1" w:styleId="44">
    <w:name w:val="报告正文 Char"/>
    <w:link w:val="43"/>
    <w:autoRedefine/>
    <w:qFormat/>
    <w:uiPriority w:val="0"/>
    <w:rPr>
      <w:rFonts w:ascii="Times New Roman" w:hAnsi="Times New Roman" w:eastAsia="宋体"/>
      <w:kern w:val="24"/>
      <w:sz w:val="24"/>
      <w:szCs w:val="24"/>
    </w:rPr>
  </w:style>
  <w:style w:type="paragraph" w:customStyle="1" w:styleId="45">
    <w:name w:val="表内文字"/>
    <w:basedOn w:val="1"/>
    <w:autoRedefine/>
    <w:qFormat/>
    <w:uiPriority w:val="0"/>
    <w:pPr>
      <w:jc w:val="center"/>
    </w:pPr>
    <w:rPr>
      <w:rFonts w:ascii="Times New Roman" w:hAnsi="Times New Roman" w:eastAsia="宋体" w:cs="Times New Roman"/>
      <w:bCs/>
      <w:szCs w:val="21"/>
    </w:rPr>
  </w:style>
  <w:style w:type="paragraph" w:customStyle="1" w:styleId="46">
    <w:name w:val="0验收正文"/>
    <w:basedOn w:val="23"/>
    <w:next w:val="23"/>
    <w:autoRedefine/>
    <w:qFormat/>
    <w:uiPriority w:val="0"/>
    <w:pPr>
      <w:numPr>
        <w:ilvl w:val="0"/>
        <w:numId w:val="3"/>
      </w:numPr>
      <w:jc w:val="both"/>
    </w:pPr>
    <w:rPr>
      <w:bCs/>
    </w:rPr>
  </w:style>
  <w:style w:type="character" w:customStyle="1" w:styleId="47">
    <w:name w:val="content1"/>
    <w:basedOn w:val="22"/>
    <w:autoRedefine/>
    <w:qFormat/>
    <w:uiPriority w:val="0"/>
    <w:rPr>
      <w:color w:val="000000"/>
      <w:sz w:val="20"/>
      <w:szCs w:val="20"/>
    </w:rPr>
  </w:style>
  <w:style w:type="paragraph" w:customStyle="1" w:styleId="48">
    <w:name w:val="列出段落1"/>
    <w:basedOn w:val="1"/>
    <w:autoRedefine/>
    <w:unhideWhenUsed/>
    <w:qFormat/>
    <w:uiPriority w:val="99"/>
    <w:pPr>
      <w:ind w:firstLine="420" w:firstLineChars="200"/>
    </w:pPr>
  </w:style>
  <w:style w:type="paragraph" w:customStyle="1" w:styleId="49">
    <w:name w:val="正文文本-彩路"/>
    <w:link w:val="50"/>
    <w:qFormat/>
    <w:uiPriority w:val="0"/>
    <w:pPr>
      <w:spacing w:before="0" w:after="0" w:line="360" w:lineRule="auto"/>
      <w:ind w:right="0" w:firstLine="200" w:firstLineChars="200"/>
    </w:pPr>
    <w:rPr>
      <w:rFonts w:ascii="Times New Roman" w:hAnsi="Times New Roman" w:eastAsia="宋体" w:cs="Times New Roman"/>
      <w:sz w:val="21"/>
    </w:rPr>
  </w:style>
  <w:style w:type="character" w:customStyle="1" w:styleId="50">
    <w:name w:val="正文文本-彩路 Char"/>
    <w:link w:val="49"/>
    <w:qFormat/>
    <w:uiPriority w:val="0"/>
    <w:rPr>
      <w:rFonts w:ascii="Times New Roman" w:hAnsi="Times New Roman" w:eastAsia="宋体"/>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3</Pages>
  <Words>1394</Words>
  <Characters>1469</Characters>
  <Lines>10</Lines>
  <Paragraphs>2</Paragraphs>
  <TotalTime>6</TotalTime>
  <ScaleCrop>false</ScaleCrop>
  <LinksUpToDate>false</LinksUpToDate>
  <CharactersWithSpaces>1551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2024-04-01T02:17:00Z</dcterms:created>
  <dc:creator>fm</dc:creator>
  <cp:lastModifiedBy>　　　　　　</cp:lastModifiedBy>
  <cp:lastPrinted>2025-09-08T04:59:00Z</cp:lastPrinted>
  <dcterms:modified xsi:type="dcterms:W3CDTF">2025-09-12T01:06:22Z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CBD809583C9344D887DEB9B0D2E97620_13</vt:lpwstr>
  </property>
  <property fmtid="{D5CDD505-2E9C-101B-9397-08002B2CF9AE}" pid="4" name="KSOTemplateDocerSaveRecord">
    <vt:lpwstr>eyJoZGlkIjoiMWJjY2RiMTYyZmM2MTU3ZGU0ZmRkYTI0ZTcwNzVmNmQiLCJ1c2VySWQiOiI0ODk4NzQzNDEifQ==</vt:lpwstr>
  </property>
</Properties>
</file>