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9205D">
      <w:pPr>
        <w:spacing w:line="600" w:lineRule="exact"/>
        <w:jc w:val="center"/>
        <w:rPr>
          <w:rFonts w:ascii="仿宋" w:hAnsi="仿宋" w:eastAsia="仿宋" w:cs="仿宋"/>
          <w:color w:val="auto"/>
          <w:sz w:val="32"/>
          <w:szCs w:val="32"/>
        </w:rPr>
      </w:pPr>
    </w:p>
    <w:p w14:paraId="572AC84E">
      <w:pPr>
        <w:spacing w:line="600" w:lineRule="exact"/>
        <w:jc w:val="center"/>
        <w:rPr>
          <w:rFonts w:ascii="仿宋" w:hAnsi="仿宋" w:eastAsia="仿宋" w:cs="仿宋"/>
          <w:color w:val="auto"/>
          <w:sz w:val="32"/>
          <w:szCs w:val="32"/>
        </w:rPr>
      </w:pPr>
    </w:p>
    <w:p w14:paraId="791FEF47">
      <w:pPr>
        <w:spacing w:line="600" w:lineRule="exact"/>
        <w:jc w:val="center"/>
        <w:rPr>
          <w:rFonts w:ascii="仿宋" w:hAnsi="仿宋" w:eastAsia="仿宋" w:cs="仿宋"/>
          <w:color w:val="auto"/>
          <w:sz w:val="32"/>
          <w:szCs w:val="32"/>
        </w:rPr>
      </w:pPr>
    </w:p>
    <w:p w14:paraId="0300328B">
      <w:pPr>
        <w:spacing w:line="600" w:lineRule="exact"/>
        <w:jc w:val="center"/>
        <w:rPr>
          <w:rFonts w:ascii="仿宋" w:hAnsi="仿宋" w:eastAsia="仿宋" w:cs="仿宋"/>
          <w:color w:val="FF0000"/>
          <w:sz w:val="32"/>
          <w:szCs w:val="32"/>
        </w:rPr>
      </w:pPr>
      <w:r>
        <w:rPr>
          <w:rFonts w:hint="eastAsia" w:ascii="仿宋" w:hAnsi="仿宋" w:eastAsia="仿宋" w:cs="仿宋"/>
          <w:color w:val="auto"/>
          <w:sz w:val="32"/>
          <w:szCs w:val="32"/>
        </w:rPr>
        <w:t xml:space="preserve">                               </w:t>
      </w:r>
      <w:r>
        <w:rPr>
          <w:rFonts w:hint="eastAsia" w:ascii="仿宋" w:hAnsi="仿宋" w:eastAsia="仿宋" w:cs="仿宋"/>
          <w:color w:val="FF0000"/>
          <w:sz w:val="32"/>
          <w:szCs w:val="32"/>
        </w:rPr>
        <w:t>衡清环审字〔202</w:t>
      </w:r>
      <w:r>
        <w:rPr>
          <w:rFonts w:hint="eastAsia" w:ascii="仿宋" w:hAnsi="仿宋" w:eastAsia="仿宋" w:cs="仿宋"/>
          <w:color w:val="FF0000"/>
          <w:sz w:val="32"/>
          <w:szCs w:val="32"/>
          <w:lang w:val="en-US" w:eastAsia="zh-CN"/>
        </w:rPr>
        <w:t>5</w:t>
      </w:r>
      <w:r>
        <w:rPr>
          <w:rFonts w:hint="eastAsia" w:ascii="仿宋" w:hAnsi="仿宋" w:eastAsia="仿宋" w:cs="仿宋"/>
          <w:color w:val="FF0000"/>
          <w:sz w:val="32"/>
          <w:szCs w:val="32"/>
        </w:rPr>
        <w:t>〕号</w:t>
      </w:r>
    </w:p>
    <w:p w14:paraId="68E06EA0">
      <w:pPr>
        <w:spacing w:line="600" w:lineRule="exact"/>
        <w:jc w:val="center"/>
        <w:rPr>
          <w:rFonts w:ascii="仿宋" w:hAnsi="仿宋" w:eastAsia="仿宋" w:cs="仿宋"/>
          <w:color w:val="auto"/>
          <w:sz w:val="32"/>
          <w:szCs w:val="32"/>
        </w:rPr>
      </w:pPr>
    </w:p>
    <w:p w14:paraId="7EE8874B">
      <w:pPr>
        <w:spacing w:line="660" w:lineRule="exact"/>
        <w:jc w:val="center"/>
        <w:rPr>
          <w:rFonts w:ascii="华文中宋" w:hAnsi="华文中宋" w:eastAsia="华文中宋" w:cs="华文中宋"/>
          <w:b/>
          <w:bCs/>
          <w:color w:val="auto"/>
          <w:sz w:val="42"/>
          <w:szCs w:val="42"/>
        </w:rPr>
      </w:pPr>
      <w:r>
        <w:rPr>
          <w:rFonts w:hint="eastAsia" w:ascii="华文中宋" w:hAnsi="华文中宋" w:eastAsia="华文中宋" w:cs="华文中宋"/>
          <w:b/>
          <w:bCs/>
          <w:color w:val="auto"/>
          <w:sz w:val="42"/>
          <w:szCs w:val="42"/>
        </w:rPr>
        <w:t>衡阳市生态环境局</w:t>
      </w:r>
    </w:p>
    <w:p w14:paraId="6253E74F">
      <w:pPr>
        <w:spacing w:line="660" w:lineRule="exact"/>
        <w:jc w:val="center"/>
        <w:rPr>
          <w:rFonts w:ascii="华文中宋" w:hAnsi="华文中宋" w:eastAsia="华文中宋" w:cs="华文中宋"/>
          <w:b/>
          <w:bCs/>
          <w:color w:val="auto"/>
          <w:sz w:val="42"/>
          <w:szCs w:val="42"/>
        </w:rPr>
      </w:pPr>
      <w:r>
        <w:rPr>
          <w:rFonts w:hint="eastAsia" w:ascii="华文中宋" w:hAnsi="华文中宋" w:eastAsia="华文中宋" w:cs="华文中宋"/>
          <w:b/>
          <w:bCs/>
          <w:color w:val="auto"/>
          <w:sz w:val="42"/>
          <w:szCs w:val="42"/>
        </w:rPr>
        <w:t>关于《</w:t>
      </w:r>
      <w:r>
        <w:rPr>
          <w:rFonts w:hint="eastAsia" w:ascii="华文中宋" w:hAnsi="华文中宋" w:eastAsia="华文中宋" w:cs="华文中宋"/>
          <w:b/>
          <w:bCs/>
          <w:color w:val="auto"/>
          <w:sz w:val="42"/>
          <w:szCs w:val="42"/>
          <w:lang w:eastAsia="zh-CN"/>
        </w:rPr>
        <w:t>衡阳立源顺新材料技术有限公司年产20000吨石粉及2000吨稻壳粉生产线建设项目环境影响报告表</w:t>
      </w:r>
      <w:r>
        <w:rPr>
          <w:rFonts w:hint="eastAsia" w:ascii="华文中宋" w:hAnsi="华文中宋" w:eastAsia="华文中宋" w:cs="华文中宋"/>
          <w:b/>
          <w:bCs/>
          <w:color w:val="auto"/>
          <w:sz w:val="42"/>
          <w:szCs w:val="42"/>
        </w:rPr>
        <w:t>》的批复</w:t>
      </w:r>
    </w:p>
    <w:p w14:paraId="58F69684">
      <w:pPr>
        <w:spacing w:line="460" w:lineRule="atLeast"/>
        <w:rPr>
          <w:rStyle w:val="47"/>
          <w:rFonts w:ascii="仿宋" w:hAnsi="仿宋" w:eastAsia="仿宋" w:cs="仿宋"/>
          <w:color w:val="auto"/>
          <w:sz w:val="32"/>
          <w:szCs w:val="32"/>
        </w:rPr>
      </w:pPr>
    </w:p>
    <w:p w14:paraId="6064668B">
      <w:pPr>
        <w:spacing w:line="600" w:lineRule="exact"/>
        <w:rPr>
          <w:rStyle w:val="47"/>
          <w:rFonts w:ascii="仿宋" w:hAnsi="仿宋" w:eastAsia="仿宋" w:cs="仿宋"/>
          <w:color w:val="auto"/>
          <w:sz w:val="32"/>
          <w:szCs w:val="32"/>
        </w:rPr>
      </w:pPr>
      <w:r>
        <w:rPr>
          <w:rStyle w:val="47"/>
          <w:rFonts w:hint="eastAsia" w:ascii="仿宋" w:hAnsi="仿宋" w:eastAsia="仿宋" w:cs="仿宋"/>
          <w:color w:val="auto"/>
          <w:sz w:val="32"/>
          <w:szCs w:val="32"/>
          <w:lang w:eastAsia="zh-CN"/>
        </w:rPr>
        <w:t>衡阳立源顺新材料技术有限公司</w:t>
      </w:r>
      <w:r>
        <w:rPr>
          <w:rStyle w:val="47"/>
          <w:rFonts w:hint="eastAsia" w:ascii="仿宋" w:hAnsi="仿宋" w:eastAsia="仿宋" w:cs="仿宋"/>
          <w:color w:val="auto"/>
          <w:sz w:val="32"/>
          <w:szCs w:val="32"/>
        </w:rPr>
        <w:t>：</w:t>
      </w:r>
    </w:p>
    <w:p w14:paraId="6B87833E">
      <w:pPr>
        <w:widowControl/>
        <w:spacing w:line="600" w:lineRule="exact"/>
        <w:ind w:firstLine="640" w:firstLineChars="200"/>
        <w:rPr>
          <w:rStyle w:val="47"/>
          <w:rFonts w:ascii="仿宋" w:hAnsi="仿宋" w:eastAsia="仿宋" w:cs="仿宋"/>
          <w:color w:val="auto"/>
          <w:sz w:val="32"/>
          <w:szCs w:val="32"/>
        </w:rPr>
      </w:pPr>
      <w:r>
        <w:rPr>
          <w:rStyle w:val="47"/>
          <w:rFonts w:hint="eastAsia" w:ascii="仿宋" w:hAnsi="仿宋" w:eastAsia="仿宋" w:cs="仿宋"/>
          <w:color w:val="auto"/>
          <w:sz w:val="32"/>
          <w:szCs w:val="32"/>
        </w:rPr>
        <w:t>你公司</w:t>
      </w:r>
      <w:r>
        <w:rPr>
          <w:rStyle w:val="47"/>
          <w:rFonts w:hint="eastAsia" w:ascii="仿宋" w:hAnsi="仿宋" w:eastAsia="仿宋" w:cs="仿宋"/>
          <w:color w:val="auto"/>
          <w:sz w:val="32"/>
          <w:szCs w:val="32"/>
          <w:lang w:eastAsia="zh-CN"/>
        </w:rPr>
        <w:t>报送</w:t>
      </w:r>
      <w:r>
        <w:rPr>
          <w:rStyle w:val="47"/>
          <w:rFonts w:hint="eastAsia" w:ascii="仿宋" w:hAnsi="仿宋" w:eastAsia="仿宋" w:cs="仿宋"/>
          <w:color w:val="auto"/>
          <w:sz w:val="32"/>
          <w:szCs w:val="32"/>
        </w:rPr>
        <w:t>的《</w:t>
      </w:r>
      <w:r>
        <w:rPr>
          <w:rStyle w:val="47"/>
          <w:rFonts w:hint="eastAsia" w:ascii="仿宋" w:hAnsi="仿宋" w:eastAsia="仿宋" w:cs="仿宋"/>
          <w:color w:val="auto"/>
          <w:sz w:val="32"/>
          <w:szCs w:val="32"/>
          <w:lang w:eastAsia="zh-CN"/>
        </w:rPr>
        <w:t>衡阳立源顺新材料技术有限公司年产20000吨石粉及2000吨稻壳粉生产线建设项目环境影响报告表</w:t>
      </w:r>
      <w:r>
        <w:rPr>
          <w:rStyle w:val="47"/>
          <w:rFonts w:hint="eastAsia" w:ascii="仿宋" w:hAnsi="仿宋" w:eastAsia="仿宋" w:cs="仿宋"/>
          <w:color w:val="auto"/>
          <w:sz w:val="32"/>
          <w:szCs w:val="32"/>
        </w:rPr>
        <w:t>》（报批稿）及专家组评审意见均已收悉，经研究，批复如下：</w:t>
      </w:r>
    </w:p>
    <w:p w14:paraId="4CEFBFE9">
      <w:pPr>
        <w:pStyle w:val="48"/>
        <w:adjustRightInd w:val="0"/>
        <w:snapToGrid w:val="0"/>
        <w:spacing w:line="600" w:lineRule="exact"/>
        <w:ind w:firstLine="640"/>
        <w:rPr>
          <w:rStyle w:val="47"/>
          <w:rFonts w:ascii="仿宋" w:hAnsi="仿宋" w:eastAsia="仿宋" w:cs="仿宋"/>
          <w:color w:val="auto"/>
          <w:sz w:val="32"/>
          <w:szCs w:val="32"/>
        </w:rPr>
      </w:pPr>
      <w:r>
        <w:rPr>
          <w:rStyle w:val="47"/>
          <w:rFonts w:hint="eastAsia" w:ascii="仿宋" w:hAnsi="仿宋" w:eastAsia="仿宋" w:cs="仿宋"/>
          <w:color w:val="auto"/>
          <w:sz w:val="32"/>
          <w:szCs w:val="32"/>
        </w:rPr>
        <w:t>一、项目建设的主要内容。</w:t>
      </w:r>
      <w:r>
        <w:rPr>
          <w:rStyle w:val="47"/>
          <w:rFonts w:hint="eastAsia" w:ascii="仿宋" w:hAnsi="仿宋" w:eastAsia="仿宋" w:cs="仿宋"/>
          <w:color w:val="auto"/>
          <w:sz w:val="32"/>
          <w:szCs w:val="32"/>
          <w:lang w:eastAsia="zh-CN"/>
        </w:rPr>
        <w:t>衡阳立源顺新材料技术有限公司</w:t>
      </w:r>
      <w:r>
        <w:rPr>
          <w:rStyle w:val="47"/>
          <w:rFonts w:hint="eastAsia" w:ascii="仿宋" w:hAnsi="仿宋" w:eastAsia="仿宋" w:cs="仿宋"/>
          <w:color w:val="auto"/>
          <w:sz w:val="32"/>
          <w:szCs w:val="32"/>
        </w:rPr>
        <w:t>拟投资200万元</w:t>
      </w:r>
      <w:r>
        <w:rPr>
          <w:rStyle w:val="47"/>
          <w:rFonts w:hint="eastAsia" w:ascii="仿宋" w:hAnsi="仿宋" w:eastAsia="仿宋" w:cs="仿宋"/>
          <w:color w:val="auto"/>
          <w:sz w:val="32"/>
          <w:szCs w:val="32"/>
          <w:lang w:val="en-US" w:eastAsia="zh-CN"/>
        </w:rPr>
        <w:t>租赁衡南县云集街道普贤村</w:t>
      </w:r>
      <w:r>
        <w:rPr>
          <w:rStyle w:val="47"/>
          <w:rFonts w:hint="eastAsia" w:ascii="仿宋" w:hAnsi="仿宋" w:eastAsia="仿宋" w:cs="仿宋"/>
          <w:color w:val="auto"/>
          <w:sz w:val="32"/>
          <w:szCs w:val="32"/>
        </w:rPr>
        <w:t>占地面积</w:t>
      </w:r>
      <w:r>
        <w:rPr>
          <w:rFonts w:hint="eastAsia" w:ascii="仿宋_GB2312" w:eastAsia="仿宋_GB2312"/>
          <w:color w:val="auto"/>
          <w:sz w:val="32"/>
          <w:szCs w:val="32"/>
          <w:lang w:val="en-US" w:eastAsia="zh-CN"/>
        </w:rPr>
        <w:t>3700</w:t>
      </w:r>
      <w:r>
        <w:rPr>
          <w:rStyle w:val="47"/>
          <w:rFonts w:hint="eastAsia" w:ascii="仿宋" w:hAnsi="仿宋" w:eastAsia="仿宋" w:cs="仿宋"/>
          <w:color w:val="auto"/>
          <w:sz w:val="32"/>
          <w:szCs w:val="32"/>
        </w:rPr>
        <w:t>m</w:t>
      </w:r>
      <w:r>
        <w:rPr>
          <w:rStyle w:val="47"/>
          <w:rFonts w:hint="eastAsia" w:ascii="仿宋" w:hAnsi="仿宋" w:eastAsia="仿宋" w:cs="仿宋"/>
          <w:color w:val="auto"/>
          <w:sz w:val="32"/>
          <w:szCs w:val="32"/>
          <w:vertAlign w:val="superscript"/>
        </w:rPr>
        <w:t>2</w:t>
      </w:r>
      <w:r>
        <w:rPr>
          <w:rStyle w:val="47"/>
          <w:rFonts w:hint="eastAsia" w:ascii="仿宋" w:hAnsi="仿宋" w:eastAsia="仿宋" w:cs="仿宋"/>
          <w:color w:val="auto"/>
          <w:sz w:val="32"/>
          <w:szCs w:val="32"/>
          <w:lang w:val="en-US" w:eastAsia="zh-CN"/>
        </w:rPr>
        <w:t>的现有</w:t>
      </w:r>
      <w:r>
        <w:rPr>
          <w:rStyle w:val="47"/>
          <w:rFonts w:hint="eastAsia" w:ascii="仿宋" w:hAnsi="仿宋" w:eastAsia="仿宋" w:cs="仿宋"/>
          <w:color w:val="auto"/>
          <w:sz w:val="32"/>
          <w:szCs w:val="32"/>
          <w:lang w:eastAsia="zh-CN"/>
        </w:rPr>
        <w:t>厂房</w:t>
      </w:r>
      <w:r>
        <w:rPr>
          <w:rStyle w:val="47"/>
          <w:rFonts w:hint="eastAsia" w:ascii="仿宋" w:hAnsi="仿宋" w:eastAsia="仿宋" w:cs="仿宋"/>
          <w:color w:val="auto"/>
          <w:sz w:val="32"/>
          <w:szCs w:val="32"/>
          <w:lang w:val="en-US" w:eastAsia="zh-CN"/>
        </w:rPr>
        <w:t>建设年产</w:t>
      </w:r>
      <w:r>
        <w:rPr>
          <w:rStyle w:val="47"/>
          <w:rFonts w:hint="eastAsia" w:ascii="仿宋" w:hAnsi="仿宋" w:eastAsia="仿宋" w:cs="仿宋"/>
          <w:color w:val="auto"/>
          <w:sz w:val="32"/>
          <w:szCs w:val="32"/>
          <w:lang w:eastAsia="zh-CN"/>
        </w:rPr>
        <w:t>饲料添加剂石粉</w:t>
      </w:r>
      <w:r>
        <w:rPr>
          <w:rStyle w:val="47"/>
          <w:rFonts w:hint="eastAsia" w:ascii="仿宋" w:hAnsi="仿宋" w:eastAsia="仿宋" w:cs="仿宋"/>
          <w:color w:val="auto"/>
          <w:sz w:val="32"/>
          <w:szCs w:val="32"/>
          <w:lang w:val="en-US" w:eastAsia="zh-CN"/>
        </w:rPr>
        <w:t>20000吨/年和</w:t>
      </w:r>
      <w:r>
        <w:rPr>
          <w:rStyle w:val="47"/>
          <w:rFonts w:hint="eastAsia" w:ascii="仿宋" w:hAnsi="仿宋" w:eastAsia="仿宋" w:cs="仿宋"/>
          <w:color w:val="auto"/>
          <w:sz w:val="32"/>
          <w:szCs w:val="32"/>
          <w:lang w:eastAsia="zh-CN"/>
        </w:rPr>
        <w:t>饲料添加剂稻谷壳粉</w:t>
      </w:r>
      <w:r>
        <w:rPr>
          <w:rStyle w:val="47"/>
          <w:rFonts w:hint="eastAsia" w:ascii="仿宋" w:hAnsi="仿宋" w:eastAsia="仿宋" w:cs="仿宋"/>
          <w:color w:val="auto"/>
          <w:sz w:val="32"/>
          <w:szCs w:val="32"/>
          <w:lang w:val="en-US" w:eastAsia="zh-CN"/>
        </w:rPr>
        <w:t>2000吨/年生产线建设项目</w:t>
      </w:r>
      <w:r>
        <w:rPr>
          <w:rStyle w:val="47"/>
          <w:rFonts w:hint="eastAsia" w:ascii="仿宋" w:hAnsi="仿宋" w:eastAsia="仿宋" w:cs="仿宋"/>
          <w:color w:val="auto"/>
          <w:sz w:val="32"/>
          <w:szCs w:val="32"/>
        </w:rPr>
        <w:t>。</w:t>
      </w:r>
      <w:r>
        <w:rPr>
          <w:rStyle w:val="47"/>
          <w:rFonts w:hint="eastAsia" w:ascii="仿宋" w:hAnsi="仿宋" w:eastAsia="仿宋" w:cs="仿宋"/>
          <w:color w:val="auto"/>
          <w:sz w:val="32"/>
          <w:szCs w:val="32"/>
          <w:lang w:eastAsia="zh-CN"/>
        </w:rPr>
        <w:t>项目主要</w:t>
      </w:r>
      <w:r>
        <w:rPr>
          <w:rStyle w:val="47"/>
          <w:rFonts w:hint="eastAsia" w:ascii="仿宋" w:hAnsi="仿宋" w:eastAsia="仿宋" w:cs="仿宋"/>
          <w:color w:val="auto"/>
          <w:sz w:val="32"/>
          <w:szCs w:val="32"/>
          <w:lang w:val="en-US" w:eastAsia="zh-CN"/>
        </w:rPr>
        <w:t>建设内容为：利用租赁的面积为2319</w:t>
      </w:r>
      <w:r>
        <w:rPr>
          <w:rStyle w:val="47"/>
          <w:rFonts w:hint="eastAsia" w:ascii="仿宋" w:hAnsi="仿宋" w:eastAsia="仿宋" w:cs="仿宋"/>
          <w:color w:val="auto"/>
          <w:sz w:val="32"/>
          <w:szCs w:val="32"/>
        </w:rPr>
        <w:t>m</w:t>
      </w:r>
      <w:r>
        <w:rPr>
          <w:rStyle w:val="47"/>
          <w:rFonts w:hint="eastAsia" w:ascii="仿宋" w:hAnsi="仿宋" w:eastAsia="仿宋" w:cs="仿宋"/>
          <w:color w:val="auto"/>
          <w:sz w:val="32"/>
          <w:szCs w:val="32"/>
          <w:vertAlign w:val="superscript"/>
        </w:rPr>
        <w:t>2</w:t>
      </w:r>
      <w:r>
        <w:rPr>
          <w:rStyle w:val="47"/>
          <w:rFonts w:hint="eastAsia" w:ascii="仿宋" w:hAnsi="仿宋" w:eastAsia="仿宋" w:cs="仿宋"/>
          <w:color w:val="auto"/>
          <w:sz w:val="32"/>
          <w:szCs w:val="32"/>
          <w:lang w:val="en-US" w:eastAsia="zh-CN"/>
        </w:rPr>
        <w:t>生产车间内建设主体生产间、成品车间、原料间和办公车间</w:t>
      </w:r>
      <w:r>
        <w:rPr>
          <w:rStyle w:val="47"/>
          <w:rFonts w:hint="eastAsia" w:ascii="仿宋" w:hAnsi="仿宋" w:eastAsia="仿宋" w:cs="仿宋"/>
          <w:color w:val="auto"/>
          <w:sz w:val="32"/>
          <w:szCs w:val="32"/>
          <w:lang w:eastAsia="zh-CN"/>
        </w:rPr>
        <w:t>。</w:t>
      </w:r>
      <w:r>
        <w:rPr>
          <w:rStyle w:val="47"/>
          <w:rFonts w:hint="eastAsia" w:ascii="仿宋" w:hAnsi="仿宋" w:eastAsia="仿宋" w:cs="仿宋"/>
          <w:color w:val="auto"/>
          <w:sz w:val="32"/>
          <w:szCs w:val="32"/>
        </w:rPr>
        <w:t>该项目环境影响报告表提出的污染防治措施客观可行，从环保角度分析，同意该项目建设。</w:t>
      </w:r>
    </w:p>
    <w:p w14:paraId="56F89719">
      <w:pPr>
        <w:spacing w:line="600" w:lineRule="exact"/>
        <w:ind w:firstLine="640" w:firstLineChars="200"/>
        <w:rPr>
          <w:rFonts w:ascii="仿宋" w:hAnsi="仿宋" w:eastAsia="仿宋" w:cs="仿宋"/>
          <w:color w:val="auto"/>
          <w:sz w:val="32"/>
          <w:szCs w:val="32"/>
        </w:rPr>
      </w:pPr>
      <w:r>
        <w:rPr>
          <w:rStyle w:val="47"/>
          <w:rFonts w:hint="eastAsia" w:ascii="仿宋" w:hAnsi="仿宋" w:eastAsia="仿宋" w:cs="仿宋"/>
          <w:color w:val="auto"/>
          <w:sz w:val="32"/>
          <w:szCs w:val="32"/>
        </w:rPr>
        <w:t>二、</w:t>
      </w:r>
      <w:r>
        <w:rPr>
          <w:rFonts w:hint="eastAsia" w:ascii="仿宋" w:hAnsi="仿宋" w:eastAsia="仿宋" w:cs="仿宋"/>
          <w:color w:val="auto"/>
          <w:sz w:val="32"/>
          <w:szCs w:val="32"/>
        </w:rPr>
        <w:t>在项目建设和运行中，必须严格执行环保法律法规，认真落实报告表提出的各项污染防治措施，并着重做好以下工作：</w:t>
      </w:r>
    </w:p>
    <w:p w14:paraId="3919A435">
      <w:pPr>
        <w:adjustRightInd w:val="0"/>
        <w:snapToGrid w:val="0"/>
        <w:spacing w:line="600" w:lineRule="exact"/>
        <w:ind w:firstLine="640" w:firstLineChars="200"/>
        <w:rPr>
          <w:rStyle w:val="47"/>
          <w:rFonts w:hint="eastAsia" w:ascii="仿宋" w:hAnsi="仿宋" w:eastAsia="仿宋" w:cs="仿宋"/>
          <w:color w:val="auto"/>
          <w:sz w:val="32"/>
          <w:szCs w:val="32"/>
          <w:lang w:eastAsia="zh-CN"/>
        </w:rPr>
      </w:pPr>
      <w:r>
        <w:rPr>
          <w:rStyle w:val="47"/>
          <w:rFonts w:hint="eastAsia" w:ascii="仿宋" w:hAnsi="仿宋" w:eastAsia="仿宋" w:cs="仿宋"/>
          <w:color w:val="auto"/>
          <w:sz w:val="32"/>
          <w:szCs w:val="32"/>
        </w:rPr>
        <w:t>（一）做好大气污染防治工作。</w:t>
      </w:r>
      <w:r>
        <w:rPr>
          <w:rStyle w:val="47"/>
          <w:rFonts w:hint="eastAsia" w:ascii="仿宋" w:hAnsi="仿宋" w:eastAsia="仿宋" w:cs="仿宋"/>
          <w:color w:val="auto"/>
          <w:sz w:val="32"/>
          <w:szCs w:val="32"/>
          <w:lang w:eastAsia="zh-CN"/>
        </w:rPr>
        <w:t>项目石料堆场和石料装卸粉尘经过喷淋洒水除尘后无组织排放；石料进料粉尘采用集气罩收集后与破碎粉尘一并通过布袋除尘器处理后无组织排放；磨筛粉尘经过布袋除尘器除尘后无组织排放；储罐呼吸粉尘经过布袋除尘器处理后无组织排放；物料包装打包粉尘采用集气罩收集后经布袋除尘器处理后无组织排放；稻谷壳投料筛分粉尘无组织排放，车间无组织粉尘通过加强车间封闭、加强清洁管理等措施减少无组织逸散，颗粒物执行《大气污染物综合排放标准》（GB16297-1996）表2相关标准要求。</w:t>
      </w:r>
    </w:p>
    <w:p w14:paraId="6DFF2FAC">
      <w:pPr>
        <w:spacing w:line="600" w:lineRule="exact"/>
        <w:ind w:firstLine="640" w:firstLineChars="200"/>
        <w:rPr>
          <w:rStyle w:val="47"/>
          <w:rFonts w:hint="eastAsia" w:ascii="仿宋" w:hAnsi="仿宋" w:eastAsia="仿宋" w:cs="仿宋"/>
          <w:color w:val="auto"/>
          <w:sz w:val="32"/>
          <w:szCs w:val="32"/>
          <w:lang w:eastAsia="zh-CN"/>
        </w:rPr>
      </w:pPr>
      <w:bookmarkStart w:id="0" w:name="OLE_LINK1"/>
      <w:r>
        <w:rPr>
          <w:rStyle w:val="47"/>
          <w:rFonts w:hint="eastAsia" w:ascii="仿宋" w:hAnsi="仿宋" w:eastAsia="仿宋" w:cs="仿宋"/>
          <w:color w:val="auto"/>
          <w:sz w:val="32"/>
          <w:szCs w:val="32"/>
        </w:rPr>
        <w:t>（二）强化水污染防治措施。</w:t>
      </w:r>
      <w:bookmarkEnd w:id="0"/>
      <w:r>
        <w:rPr>
          <w:rStyle w:val="47"/>
          <w:rFonts w:hint="eastAsia" w:ascii="仿宋" w:hAnsi="仿宋" w:eastAsia="仿宋" w:cs="仿宋"/>
          <w:color w:val="auto"/>
          <w:sz w:val="32"/>
          <w:szCs w:val="32"/>
          <w:lang w:eastAsia="zh-CN"/>
        </w:rPr>
        <w:t>厂区内实行雨污分流，设雨水沟渠，初期雨水经沉淀处理后用于厂区洒水抑尘和绿化；职工生活污水经化粪池处理后用于周边菜地的浇灌和施肥</w:t>
      </w:r>
      <w:r>
        <w:rPr>
          <w:rStyle w:val="47"/>
          <w:rFonts w:hint="eastAsia" w:ascii="仿宋" w:hAnsi="仿宋" w:eastAsia="仿宋" w:cs="仿宋"/>
          <w:color w:val="auto"/>
          <w:sz w:val="32"/>
          <w:szCs w:val="32"/>
          <w:lang w:val="en-US" w:eastAsia="zh-CN"/>
        </w:rPr>
        <w:t>。</w:t>
      </w:r>
    </w:p>
    <w:p w14:paraId="0B5E42C8">
      <w:pPr>
        <w:spacing w:line="600" w:lineRule="exact"/>
        <w:ind w:firstLine="640" w:firstLineChars="200"/>
        <w:rPr>
          <w:rStyle w:val="47"/>
          <w:rFonts w:ascii="仿宋" w:hAnsi="仿宋" w:eastAsia="仿宋" w:cs="仿宋"/>
          <w:color w:val="auto"/>
          <w:sz w:val="32"/>
          <w:szCs w:val="32"/>
        </w:rPr>
      </w:pPr>
      <w:r>
        <w:rPr>
          <w:rStyle w:val="47"/>
          <w:rFonts w:hint="eastAsia" w:ascii="仿宋" w:hAnsi="仿宋" w:eastAsia="仿宋" w:cs="仿宋"/>
          <w:color w:val="auto"/>
          <w:sz w:val="32"/>
          <w:szCs w:val="32"/>
        </w:rPr>
        <w:t xml:space="preserve">（三）加强各类固废管理，并采取有效措施防止二次污染。 </w:t>
      </w:r>
      <w:r>
        <w:rPr>
          <w:rStyle w:val="47"/>
          <w:rFonts w:hint="eastAsia" w:ascii="仿宋" w:hAnsi="仿宋" w:eastAsia="仿宋" w:cs="仿宋"/>
          <w:color w:val="auto"/>
          <w:sz w:val="32"/>
          <w:szCs w:val="32"/>
          <w:lang w:eastAsia="zh-CN"/>
        </w:rPr>
        <w:t>布袋除尘器</w:t>
      </w:r>
      <w:r>
        <w:rPr>
          <w:rStyle w:val="47"/>
          <w:rFonts w:hint="eastAsia" w:ascii="仿宋" w:hAnsi="仿宋" w:eastAsia="仿宋" w:cs="仿宋"/>
          <w:color w:val="auto"/>
          <w:sz w:val="32"/>
          <w:szCs w:val="32"/>
        </w:rPr>
        <w:t>收集的颗粒物</w:t>
      </w:r>
      <w:r>
        <w:rPr>
          <w:rStyle w:val="47"/>
          <w:rFonts w:hint="eastAsia" w:ascii="仿宋" w:hAnsi="仿宋" w:eastAsia="仿宋" w:cs="仿宋"/>
          <w:color w:val="auto"/>
          <w:sz w:val="32"/>
          <w:szCs w:val="32"/>
          <w:lang w:eastAsia="zh-CN"/>
        </w:rPr>
        <w:t>作为产品外售；废布袋和废包装材料</w:t>
      </w:r>
      <w:r>
        <w:rPr>
          <w:rStyle w:val="47"/>
          <w:rFonts w:hint="eastAsia" w:ascii="仿宋" w:hAnsi="仿宋" w:eastAsia="仿宋" w:cs="仿宋"/>
          <w:color w:val="auto"/>
          <w:sz w:val="32"/>
          <w:szCs w:val="32"/>
        </w:rPr>
        <w:t>外售综合利用；员工生活垃圾通过分类收集后交由当地环卫部门统一处置</w:t>
      </w:r>
      <w:r>
        <w:rPr>
          <w:rStyle w:val="47"/>
          <w:rFonts w:hint="eastAsia" w:ascii="仿宋" w:hAnsi="仿宋" w:eastAsia="仿宋" w:cs="仿宋"/>
          <w:color w:val="auto"/>
          <w:sz w:val="32"/>
          <w:szCs w:val="32"/>
          <w:lang w:eastAsia="zh-CN"/>
        </w:rPr>
        <w:t>；</w:t>
      </w:r>
      <w:r>
        <w:rPr>
          <w:rStyle w:val="47"/>
          <w:rFonts w:hint="eastAsia" w:ascii="仿宋" w:hAnsi="仿宋" w:eastAsia="仿宋" w:cs="仿宋"/>
          <w:color w:val="auto"/>
          <w:sz w:val="32"/>
          <w:szCs w:val="32"/>
        </w:rPr>
        <w:t>废</w:t>
      </w:r>
      <w:r>
        <w:rPr>
          <w:rStyle w:val="47"/>
          <w:rFonts w:hint="eastAsia" w:ascii="仿宋" w:hAnsi="仿宋" w:eastAsia="仿宋" w:cs="仿宋"/>
          <w:color w:val="auto"/>
          <w:sz w:val="32"/>
          <w:szCs w:val="32"/>
          <w:lang w:eastAsia="zh-CN"/>
        </w:rPr>
        <w:t>润滑油、废润滑油桶和含油抹布等</w:t>
      </w:r>
      <w:r>
        <w:rPr>
          <w:rStyle w:val="47"/>
          <w:rFonts w:hint="eastAsia" w:ascii="仿宋" w:hAnsi="仿宋" w:eastAsia="仿宋" w:cs="仿宋"/>
          <w:color w:val="auto"/>
          <w:sz w:val="32"/>
          <w:szCs w:val="32"/>
        </w:rPr>
        <w:t>危险废物，</w:t>
      </w:r>
      <w:r>
        <w:rPr>
          <w:rStyle w:val="47"/>
          <w:rFonts w:hint="eastAsia" w:ascii="仿宋" w:hAnsi="仿宋" w:eastAsia="仿宋" w:cs="仿宋"/>
          <w:color w:val="auto"/>
          <w:sz w:val="32"/>
          <w:szCs w:val="32"/>
          <w:lang w:eastAsia="zh-CN"/>
        </w:rPr>
        <w:t>经</w:t>
      </w:r>
      <w:r>
        <w:rPr>
          <w:rStyle w:val="47"/>
          <w:rFonts w:hint="eastAsia" w:ascii="仿宋" w:hAnsi="仿宋" w:eastAsia="仿宋" w:cs="仿宋"/>
          <w:color w:val="auto"/>
          <w:sz w:val="32"/>
          <w:szCs w:val="32"/>
        </w:rPr>
        <w:t>危废暂存间</w:t>
      </w:r>
      <w:r>
        <w:rPr>
          <w:rStyle w:val="47"/>
          <w:rFonts w:hint="eastAsia" w:ascii="仿宋" w:hAnsi="仿宋" w:eastAsia="仿宋" w:cs="仿宋"/>
          <w:color w:val="auto"/>
          <w:sz w:val="32"/>
          <w:szCs w:val="32"/>
          <w:lang w:eastAsia="zh-CN"/>
        </w:rPr>
        <w:t>暂存后</w:t>
      </w:r>
      <w:r>
        <w:rPr>
          <w:rStyle w:val="47"/>
          <w:rFonts w:hint="eastAsia" w:ascii="仿宋" w:hAnsi="仿宋" w:eastAsia="仿宋" w:cs="仿宋"/>
          <w:color w:val="auto"/>
          <w:sz w:val="32"/>
          <w:szCs w:val="32"/>
        </w:rPr>
        <w:t>，委托有</w:t>
      </w:r>
      <w:r>
        <w:rPr>
          <w:rStyle w:val="47"/>
          <w:rFonts w:hint="eastAsia" w:ascii="仿宋" w:hAnsi="仿宋" w:eastAsia="仿宋" w:cs="仿宋"/>
          <w:color w:val="auto"/>
          <w:sz w:val="32"/>
          <w:szCs w:val="32"/>
          <w:lang w:eastAsia="zh-CN"/>
        </w:rPr>
        <w:t>危废经营</w:t>
      </w:r>
      <w:r>
        <w:rPr>
          <w:rStyle w:val="47"/>
          <w:rFonts w:hint="eastAsia" w:ascii="仿宋" w:hAnsi="仿宋" w:eastAsia="仿宋" w:cs="仿宋"/>
          <w:color w:val="auto"/>
          <w:sz w:val="32"/>
          <w:szCs w:val="32"/>
        </w:rPr>
        <w:t>资质单位进行处置，并办理好危险废物转移手续。一般工业固废</w:t>
      </w:r>
      <w:r>
        <w:rPr>
          <w:rStyle w:val="47"/>
          <w:rFonts w:hint="eastAsia" w:ascii="仿宋" w:hAnsi="仿宋" w:eastAsia="仿宋" w:cs="仿宋"/>
          <w:color w:val="auto"/>
          <w:sz w:val="32"/>
          <w:szCs w:val="32"/>
          <w:lang w:val="en-US" w:eastAsia="zh-CN"/>
        </w:rPr>
        <w:t>暂存间按照</w:t>
      </w:r>
      <w:r>
        <w:rPr>
          <w:rStyle w:val="47"/>
          <w:rFonts w:hint="eastAsia" w:ascii="仿宋" w:hAnsi="仿宋" w:eastAsia="仿宋" w:cs="仿宋"/>
          <w:color w:val="auto"/>
          <w:sz w:val="32"/>
          <w:szCs w:val="32"/>
        </w:rPr>
        <w:t>《一般工业固体废物贮存和填埋污染控制标准》(GB18599-2020)</w:t>
      </w:r>
      <w:r>
        <w:rPr>
          <w:rStyle w:val="47"/>
          <w:rFonts w:hint="eastAsia" w:ascii="仿宋" w:hAnsi="仿宋" w:eastAsia="仿宋" w:cs="仿宋"/>
          <w:color w:val="auto"/>
          <w:sz w:val="32"/>
          <w:szCs w:val="32"/>
          <w:lang w:val="en-US" w:eastAsia="zh-CN"/>
        </w:rPr>
        <w:t>要求建设</w:t>
      </w:r>
      <w:r>
        <w:rPr>
          <w:rStyle w:val="47"/>
          <w:rFonts w:hint="eastAsia" w:ascii="仿宋" w:hAnsi="仿宋" w:eastAsia="仿宋" w:cs="仿宋"/>
          <w:color w:val="auto"/>
          <w:sz w:val="32"/>
          <w:szCs w:val="32"/>
        </w:rPr>
        <w:t>；危险废物</w:t>
      </w:r>
      <w:r>
        <w:rPr>
          <w:rStyle w:val="47"/>
          <w:rFonts w:hint="eastAsia" w:ascii="仿宋" w:hAnsi="仿宋" w:eastAsia="仿宋" w:cs="仿宋"/>
          <w:color w:val="auto"/>
          <w:sz w:val="32"/>
          <w:szCs w:val="32"/>
          <w:lang w:val="en-US" w:eastAsia="zh-CN"/>
        </w:rPr>
        <w:t>暂存间严格按照</w:t>
      </w:r>
      <w:r>
        <w:rPr>
          <w:rStyle w:val="47"/>
          <w:rFonts w:hint="eastAsia" w:ascii="仿宋" w:hAnsi="仿宋" w:eastAsia="仿宋" w:cs="仿宋"/>
          <w:color w:val="auto"/>
          <w:sz w:val="32"/>
          <w:szCs w:val="32"/>
        </w:rPr>
        <w:t>《危险废物贮存污染控制标准》（GB18597-2023）</w:t>
      </w:r>
      <w:r>
        <w:rPr>
          <w:rStyle w:val="47"/>
          <w:rFonts w:hint="eastAsia" w:ascii="仿宋" w:hAnsi="仿宋" w:eastAsia="仿宋" w:cs="仿宋"/>
          <w:color w:val="auto"/>
          <w:sz w:val="32"/>
          <w:szCs w:val="32"/>
          <w:lang w:val="en-US" w:eastAsia="zh-CN"/>
        </w:rPr>
        <w:t>要求建设</w:t>
      </w:r>
      <w:r>
        <w:rPr>
          <w:rStyle w:val="47"/>
          <w:rFonts w:hint="eastAsia" w:ascii="仿宋" w:hAnsi="仿宋" w:eastAsia="仿宋" w:cs="仿宋"/>
          <w:color w:val="auto"/>
          <w:sz w:val="32"/>
          <w:szCs w:val="32"/>
        </w:rPr>
        <w:t>。</w:t>
      </w:r>
    </w:p>
    <w:p w14:paraId="523D1617">
      <w:pPr>
        <w:spacing w:line="600" w:lineRule="exact"/>
        <w:ind w:firstLine="640" w:firstLineChars="200"/>
        <w:rPr>
          <w:rStyle w:val="47"/>
          <w:rFonts w:hint="eastAsia" w:ascii="仿宋" w:hAnsi="仿宋" w:eastAsia="仿宋" w:cs="仿宋"/>
          <w:color w:val="auto"/>
          <w:sz w:val="32"/>
          <w:szCs w:val="32"/>
        </w:rPr>
      </w:pPr>
      <w:r>
        <w:rPr>
          <w:rStyle w:val="47"/>
          <w:rFonts w:hint="eastAsia" w:ascii="仿宋" w:hAnsi="仿宋" w:eastAsia="仿宋" w:cs="仿宋"/>
          <w:color w:val="auto"/>
          <w:sz w:val="32"/>
          <w:szCs w:val="32"/>
        </w:rPr>
        <w:t>（四）做好噪声污染控制工作。项目生产设备噪声，通过</w:t>
      </w:r>
      <w:r>
        <w:rPr>
          <w:rStyle w:val="47"/>
          <w:rFonts w:hint="eastAsia" w:ascii="仿宋" w:hAnsi="仿宋" w:eastAsia="仿宋" w:cs="仿宋"/>
          <w:color w:val="auto"/>
          <w:sz w:val="32"/>
          <w:szCs w:val="32"/>
          <w:lang w:val="en-US" w:eastAsia="zh-CN"/>
        </w:rPr>
        <w:t>厂房隔噪，</w:t>
      </w:r>
      <w:r>
        <w:rPr>
          <w:rStyle w:val="47"/>
          <w:rFonts w:hint="eastAsia" w:ascii="仿宋" w:hAnsi="仿宋" w:eastAsia="仿宋" w:cs="仿宋"/>
          <w:color w:val="auto"/>
          <w:sz w:val="32"/>
          <w:szCs w:val="32"/>
        </w:rPr>
        <w:t>选用低噪声设备，</w:t>
      </w:r>
      <w:r>
        <w:rPr>
          <w:rStyle w:val="47"/>
          <w:rFonts w:hint="eastAsia" w:ascii="仿宋" w:hAnsi="仿宋" w:eastAsia="仿宋" w:cs="仿宋"/>
          <w:color w:val="auto"/>
          <w:sz w:val="32"/>
          <w:szCs w:val="32"/>
          <w:lang w:val="en-US" w:eastAsia="zh-CN"/>
        </w:rPr>
        <w:t>采取消声减振,并对设备</w:t>
      </w:r>
      <w:r>
        <w:rPr>
          <w:rStyle w:val="47"/>
          <w:rFonts w:hint="eastAsia" w:ascii="仿宋" w:hAnsi="仿宋" w:eastAsia="仿宋" w:cs="仿宋"/>
          <w:color w:val="auto"/>
          <w:sz w:val="32"/>
          <w:szCs w:val="32"/>
        </w:rPr>
        <w:t>合理布</w:t>
      </w:r>
      <w:r>
        <w:rPr>
          <w:rStyle w:val="47"/>
          <w:rFonts w:hint="eastAsia" w:ascii="仿宋" w:hAnsi="仿宋" w:eastAsia="仿宋" w:cs="仿宋"/>
          <w:color w:val="auto"/>
          <w:sz w:val="32"/>
          <w:szCs w:val="32"/>
          <w:lang w:val="en-US" w:eastAsia="zh-CN"/>
        </w:rPr>
        <w:t>置</w:t>
      </w:r>
      <w:r>
        <w:rPr>
          <w:rStyle w:val="47"/>
          <w:rFonts w:hint="eastAsia" w:ascii="仿宋" w:hAnsi="仿宋" w:eastAsia="仿宋" w:cs="仿宋"/>
          <w:color w:val="auto"/>
          <w:sz w:val="32"/>
          <w:szCs w:val="32"/>
        </w:rPr>
        <w:t>，</w:t>
      </w:r>
      <w:r>
        <w:rPr>
          <w:rStyle w:val="47"/>
          <w:rFonts w:hint="eastAsia" w:ascii="仿宋" w:hAnsi="仿宋" w:eastAsia="仿宋" w:cs="仿宋"/>
          <w:color w:val="auto"/>
          <w:sz w:val="32"/>
          <w:szCs w:val="32"/>
          <w:lang w:val="en-US" w:eastAsia="zh-CN"/>
        </w:rPr>
        <w:t>等措施</w:t>
      </w:r>
      <w:r>
        <w:rPr>
          <w:rStyle w:val="47"/>
          <w:rFonts w:hint="eastAsia" w:ascii="仿宋" w:hAnsi="仿宋" w:eastAsia="仿宋" w:cs="仿宋"/>
          <w:color w:val="auto"/>
          <w:sz w:val="32"/>
          <w:szCs w:val="32"/>
        </w:rPr>
        <w:t>确保营运期噪声厂界噪声</w:t>
      </w:r>
      <w:r>
        <w:rPr>
          <w:rStyle w:val="47"/>
          <w:rFonts w:hint="eastAsia" w:ascii="仿宋" w:hAnsi="仿宋" w:eastAsia="仿宋" w:cs="仿宋"/>
          <w:color w:val="auto"/>
          <w:sz w:val="32"/>
          <w:szCs w:val="32"/>
          <w:lang w:val="en-US" w:eastAsia="zh-CN"/>
        </w:rPr>
        <w:t>达到</w:t>
      </w:r>
      <w:r>
        <w:rPr>
          <w:rStyle w:val="47"/>
          <w:rFonts w:hint="eastAsia" w:ascii="仿宋" w:hAnsi="仿宋" w:eastAsia="仿宋" w:cs="仿宋"/>
          <w:color w:val="auto"/>
          <w:sz w:val="32"/>
          <w:szCs w:val="32"/>
        </w:rPr>
        <w:t>《工业企业厂界环境噪声排放标准》(GB12348-2008)中的</w:t>
      </w:r>
      <w:r>
        <w:rPr>
          <w:rStyle w:val="47"/>
          <w:rFonts w:hint="eastAsia" w:ascii="仿宋" w:hAnsi="仿宋" w:eastAsia="仿宋" w:cs="仿宋"/>
          <w:color w:val="auto"/>
          <w:sz w:val="32"/>
          <w:szCs w:val="32"/>
          <w:lang w:val="en-US" w:eastAsia="zh-CN"/>
        </w:rPr>
        <w:t>2</w:t>
      </w:r>
      <w:r>
        <w:rPr>
          <w:rStyle w:val="47"/>
          <w:rFonts w:hint="eastAsia" w:ascii="仿宋" w:hAnsi="仿宋" w:eastAsia="仿宋" w:cs="仿宋"/>
          <w:color w:val="auto"/>
          <w:sz w:val="32"/>
          <w:szCs w:val="32"/>
        </w:rPr>
        <w:t>类标准限值要求。</w:t>
      </w:r>
    </w:p>
    <w:p w14:paraId="38CB2AB8">
      <w:pPr>
        <w:spacing w:line="600" w:lineRule="exact"/>
        <w:ind w:firstLine="640" w:firstLineChars="200"/>
        <w:rPr>
          <w:rStyle w:val="47"/>
          <w:rFonts w:hint="default" w:ascii="仿宋" w:hAnsi="仿宋" w:eastAsia="仿宋" w:cs="仿宋"/>
          <w:color w:val="auto"/>
          <w:sz w:val="32"/>
          <w:szCs w:val="32"/>
        </w:rPr>
      </w:pPr>
      <w:r>
        <w:rPr>
          <w:rStyle w:val="47"/>
          <w:rFonts w:hint="eastAsia" w:ascii="仿宋" w:hAnsi="仿宋" w:eastAsia="仿宋" w:cs="仿宋"/>
          <w:color w:val="auto"/>
          <w:sz w:val="32"/>
          <w:szCs w:val="32"/>
        </w:rPr>
        <w:t>三、加强日常环境管理。建设单位应安排专职环保管理人员，建立健全环境管理制度，制定有效的风险防范措施和应急预案，防止发生环境风险事故。</w:t>
      </w:r>
    </w:p>
    <w:p w14:paraId="2250C342">
      <w:pPr>
        <w:spacing w:line="600" w:lineRule="exact"/>
        <w:ind w:firstLine="640" w:firstLineChars="200"/>
        <w:rPr>
          <w:rStyle w:val="47"/>
          <w:rFonts w:hint="eastAsia" w:ascii="仿宋" w:hAnsi="仿宋" w:eastAsia="仿宋" w:cs="仿宋"/>
          <w:color w:val="auto"/>
          <w:sz w:val="32"/>
          <w:szCs w:val="32"/>
        </w:rPr>
      </w:pPr>
      <w:r>
        <w:rPr>
          <w:rStyle w:val="47"/>
          <w:rFonts w:hint="eastAsia" w:ascii="仿宋" w:hAnsi="仿宋" w:eastAsia="仿宋" w:cs="仿宋"/>
          <w:color w:val="auto"/>
          <w:sz w:val="32"/>
          <w:szCs w:val="32"/>
        </w:rPr>
        <w:t>四、项目竣工后，</w:t>
      </w:r>
      <w:r>
        <w:rPr>
          <w:rStyle w:val="47"/>
          <w:rFonts w:hint="eastAsia" w:ascii="仿宋" w:hAnsi="仿宋" w:eastAsia="仿宋" w:cs="仿宋"/>
          <w:color w:val="auto"/>
          <w:sz w:val="32"/>
          <w:szCs w:val="32"/>
          <w:lang w:eastAsia="zh-CN"/>
        </w:rPr>
        <w:t>必须严格执行排污许可制度</w:t>
      </w:r>
      <w:r>
        <w:rPr>
          <w:rStyle w:val="47"/>
          <w:rFonts w:hint="eastAsia" w:ascii="仿宋" w:hAnsi="仿宋" w:eastAsia="仿宋" w:cs="仿宋"/>
          <w:color w:val="auto"/>
          <w:sz w:val="32"/>
          <w:szCs w:val="32"/>
          <w:lang w:val="en-US" w:eastAsia="zh-CN"/>
        </w:rPr>
        <w:t>,在发生实际排污行为前按照国家有关规定申领排污许可证。同时，</w:t>
      </w:r>
      <w:r>
        <w:rPr>
          <w:rStyle w:val="47"/>
          <w:rFonts w:hint="eastAsia" w:ascii="仿宋" w:hAnsi="仿宋" w:eastAsia="仿宋" w:cs="仿宋"/>
          <w:color w:val="auto"/>
          <w:sz w:val="32"/>
          <w:szCs w:val="32"/>
        </w:rPr>
        <w:t>按照相关规定要求做好环保竣工验收工作，并主动接受衡南生态环境</w:t>
      </w:r>
      <w:r>
        <w:rPr>
          <w:rStyle w:val="47"/>
          <w:rFonts w:hint="eastAsia" w:ascii="仿宋" w:hAnsi="仿宋" w:eastAsia="仿宋" w:cs="仿宋"/>
          <w:color w:val="auto"/>
          <w:sz w:val="32"/>
          <w:szCs w:val="32"/>
          <w:lang w:val="en-US" w:eastAsia="zh-CN"/>
        </w:rPr>
        <w:t>保护</w:t>
      </w:r>
      <w:r>
        <w:rPr>
          <w:rStyle w:val="47"/>
          <w:rFonts w:hint="eastAsia" w:ascii="仿宋" w:hAnsi="仿宋" w:eastAsia="仿宋" w:cs="仿宋"/>
          <w:color w:val="auto"/>
          <w:sz w:val="32"/>
          <w:szCs w:val="32"/>
        </w:rPr>
        <w:t>综合行政执法大队监管。如项目性质、规模、地点、采用的工艺及污染防治措施等发生重大变动，建设单位应当依法重新报批该项目的环境影响评价文件。</w:t>
      </w:r>
    </w:p>
    <w:p w14:paraId="773D041C">
      <w:pPr>
        <w:adjustRightInd w:val="0"/>
        <w:snapToGrid w:val="0"/>
        <w:spacing w:line="600" w:lineRule="exact"/>
        <w:ind w:firstLine="640" w:firstLineChars="200"/>
        <w:rPr>
          <w:rStyle w:val="47"/>
          <w:rFonts w:ascii="仿宋" w:hAnsi="仿宋" w:eastAsia="仿宋" w:cs="仿宋"/>
          <w:color w:val="auto"/>
          <w:sz w:val="32"/>
          <w:szCs w:val="32"/>
        </w:rPr>
      </w:pPr>
      <w:r>
        <w:rPr>
          <w:rStyle w:val="47"/>
          <w:rFonts w:hint="eastAsia" w:ascii="仿宋" w:hAnsi="仿宋" w:eastAsia="仿宋" w:cs="仿宋"/>
          <w:color w:val="auto"/>
          <w:sz w:val="32"/>
          <w:szCs w:val="32"/>
        </w:rPr>
        <w:t xml:space="preserve">        </w:t>
      </w:r>
      <w:r>
        <w:rPr>
          <w:rFonts w:hint="eastAsia" w:ascii="仿宋_GB2312" w:eastAsia="仿宋_GB2312"/>
          <w:color w:val="auto"/>
          <w:sz w:val="32"/>
          <w:szCs w:val="32"/>
        </w:rPr>
        <w:t xml:space="preserve">                  </w:t>
      </w:r>
    </w:p>
    <w:p w14:paraId="056E47B9">
      <w:pPr>
        <w:adjustRightInd w:val="0"/>
        <w:snapToGrid w:val="0"/>
        <w:spacing w:line="600" w:lineRule="exact"/>
        <w:rPr>
          <w:rStyle w:val="47"/>
          <w:rFonts w:ascii="仿宋" w:hAnsi="仿宋" w:eastAsia="仿宋" w:cs="仿宋"/>
          <w:color w:val="auto"/>
          <w:sz w:val="32"/>
          <w:szCs w:val="32"/>
        </w:rPr>
      </w:pPr>
    </w:p>
    <w:p w14:paraId="07353EF9">
      <w:pPr>
        <w:adjustRightInd w:val="0"/>
        <w:snapToGrid w:val="0"/>
        <w:spacing w:line="600" w:lineRule="exact"/>
        <w:jc w:val="right"/>
        <w:rPr>
          <w:rFonts w:ascii="仿宋" w:hAnsi="仿宋" w:eastAsia="仿宋" w:cs="仿宋"/>
          <w:color w:val="auto"/>
          <w:sz w:val="32"/>
          <w:szCs w:val="32"/>
        </w:rPr>
      </w:pPr>
      <w:r>
        <w:rPr>
          <w:rStyle w:val="47"/>
          <w:rFonts w:hint="eastAsia" w:ascii="仿宋" w:hAnsi="仿宋" w:eastAsia="仿宋" w:cs="仿宋"/>
          <w:color w:val="auto"/>
          <w:sz w:val="32"/>
          <w:szCs w:val="32"/>
        </w:rPr>
        <w:t xml:space="preserve">                    </w:t>
      </w:r>
      <w:r>
        <w:rPr>
          <w:rFonts w:hint="eastAsia" w:ascii="仿宋" w:hAnsi="仿宋" w:eastAsia="仿宋" w:cs="仿宋"/>
          <w:color w:val="auto"/>
          <w:sz w:val="32"/>
          <w:szCs w:val="32"/>
        </w:rPr>
        <w:t xml:space="preserve">        衡阳市生态环境局</w:t>
      </w:r>
    </w:p>
    <w:p w14:paraId="01FF5E48">
      <w:pPr>
        <w:spacing w:line="600" w:lineRule="exact"/>
        <w:jc w:val="right"/>
        <w:rPr>
          <w:rFonts w:ascii="仿宋" w:hAnsi="仿宋" w:eastAsia="仿宋" w:cs="仿宋"/>
          <w:b/>
          <w:bCs/>
          <w:color w:val="auto"/>
          <w:sz w:val="32"/>
          <w:szCs w:val="32"/>
        </w:rPr>
      </w:pPr>
      <w:r>
        <w:rPr>
          <w:rFonts w:hint="eastAsia" w:ascii="仿宋" w:hAnsi="仿宋" w:eastAsia="仿宋" w:cs="仿宋"/>
          <w:color w:val="auto"/>
          <w:sz w:val="32"/>
          <w:szCs w:val="32"/>
        </w:rPr>
        <w:t xml:space="preserve">                         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28</w:t>
      </w:r>
      <w:bookmarkStart w:id="1" w:name="_GoBack"/>
      <w:bookmarkEnd w:id="1"/>
      <w:r>
        <w:rPr>
          <w:rFonts w:hint="eastAsia" w:ascii="仿宋" w:hAnsi="仿宋" w:eastAsia="仿宋" w:cs="仿宋"/>
          <w:color w:val="auto"/>
          <w:sz w:val="32"/>
          <w:szCs w:val="32"/>
        </w:rPr>
        <w:t>日</w:t>
      </w:r>
    </w:p>
    <w:p w14:paraId="392E8431">
      <w:pPr>
        <w:rPr>
          <w:color w:val="auto"/>
        </w:rPr>
      </w:pPr>
    </w:p>
    <w:sectPr>
      <w:footerReference r:id="rId3" w:type="default"/>
      <w:pgSz w:w="11906" w:h="16838"/>
      <w:pgMar w:top="1440"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46A9">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2D096F">
                          <w:pPr>
                            <w:pStyle w:val="1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72D096F">
                    <w:pPr>
                      <w:pStyle w:val="1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E4CA2"/>
    <w:multiLevelType w:val="singleLevel"/>
    <w:tmpl w:val="A51E4CA2"/>
    <w:lvl w:ilvl="0" w:tentative="0">
      <w:start w:val="1"/>
      <w:numFmt w:val="decimal"/>
      <w:pStyle w:val="46"/>
      <w:suff w:val="nothing"/>
      <w:lvlText w:val="%1、"/>
      <w:lvlJc w:val="left"/>
    </w:lvl>
  </w:abstractNum>
  <w:abstractNum w:abstractNumId="1">
    <w:nsid w:val="0000000C"/>
    <w:multiLevelType w:val="singleLevel"/>
    <w:tmpl w:val="0000000C"/>
    <w:lvl w:ilvl="0" w:tentative="0">
      <w:start w:val="1"/>
      <w:numFmt w:val="bullet"/>
      <w:pStyle w:val="14"/>
      <w:lvlText w:val=""/>
      <w:lvlJc w:val="left"/>
      <w:pPr>
        <w:tabs>
          <w:tab w:val="left" w:pos="2040"/>
        </w:tabs>
        <w:ind w:left="2040" w:hanging="360"/>
      </w:pPr>
      <w:rPr>
        <w:rFonts w:hint="default" w:ascii="Wingdings" w:hAnsi="Wingdings"/>
      </w:rPr>
    </w:lvl>
  </w:abstractNum>
  <w:abstractNum w:abstractNumId="2">
    <w:nsid w:val="1ECBA01E"/>
    <w:multiLevelType w:val="multilevel"/>
    <w:tmpl w:val="1ECBA01E"/>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Restart w:val="1"/>
      <w:lvlText w:val="表%1-%5 "/>
      <w:lvlJc w:val="left"/>
      <w:pPr>
        <w:ind w:left="1008" w:hanging="1008"/>
      </w:pPr>
      <w:rPr>
        <w:rFonts w:hint="default" w:ascii="宋体" w:hAnsi="宋体" w:eastAsia="宋体" w:cs="宋体"/>
      </w:rPr>
    </w:lvl>
    <w:lvl w:ilvl="5" w:tentative="0">
      <w:start w:val="1"/>
      <w:numFmt w:val="decimal"/>
      <w:pStyle w:val="8"/>
      <w:lvlText w:val="图%1-%6 "/>
      <w:lvlJc w:val="left"/>
      <w:pPr>
        <w:ind w:left="1151" w:hanging="1151"/>
      </w:pPr>
      <w:rPr>
        <w:rFonts w:hint="default" w:ascii="宋体" w:hAnsi="宋体" w:eastAsia="宋体" w:cs="宋体"/>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1OGM4YTE5MmNjYmMwMmQxZTI1NWM3MTY4NWIxMjEifQ=="/>
  </w:docVars>
  <w:rsids>
    <w:rsidRoot w:val="006013A8"/>
    <w:rsid w:val="00235E53"/>
    <w:rsid w:val="00283568"/>
    <w:rsid w:val="002F6FD1"/>
    <w:rsid w:val="004B23E3"/>
    <w:rsid w:val="005D2EA4"/>
    <w:rsid w:val="006013A8"/>
    <w:rsid w:val="0079429C"/>
    <w:rsid w:val="00796200"/>
    <w:rsid w:val="007B4753"/>
    <w:rsid w:val="007F0C19"/>
    <w:rsid w:val="00862629"/>
    <w:rsid w:val="009A0971"/>
    <w:rsid w:val="00DE40FF"/>
    <w:rsid w:val="00E530A6"/>
    <w:rsid w:val="00F35EC2"/>
    <w:rsid w:val="01B12980"/>
    <w:rsid w:val="10887908"/>
    <w:rsid w:val="12B16D22"/>
    <w:rsid w:val="1C053D3A"/>
    <w:rsid w:val="21454223"/>
    <w:rsid w:val="2A2313B0"/>
    <w:rsid w:val="2B96058E"/>
    <w:rsid w:val="2E837EE4"/>
    <w:rsid w:val="34BD3B5F"/>
    <w:rsid w:val="3F3F2B0B"/>
    <w:rsid w:val="40266A11"/>
    <w:rsid w:val="43C1117B"/>
    <w:rsid w:val="481F6D6D"/>
    <w:rsid w:val="4A0C5AF9"/>
    <w:rsid w:val="50EB3DFB"/>
    <w:rsid w:val="550B2446"/>
    <w:rsid w:val="574A6804"/>
    <w:rsid w:val="5A355835"/>
    <w:rsid w:val="70E20F08"/>
    <w:rsid w:val="758535B9"/>
    <w:rsid w:val="7770369F"/>
    <w:rsid w:val="7F5E3F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5"/>
    <w:qFormat/>
    <w:uiPriority w:val="0"/>
    <w:pPr>
      <w:keepNext/>
      <w:keepLines/>
      <w:spacing w:line="360" w:lineRule="auto"/>
      <w:jc w:val="left"/>
      <w:outlineLvl w:val="0"/>
    </w:pPr>
    <w:rPr>
      <w:rFonts w:ascii="Times New Roman" w:hAnsi="Times New Roman" w:eastAsia="宋体" w:cs="Times New Roman"/>
      <w:b/>
      <w:bCs/>
      <w:kern w:val="44"/>
      <w:sz w:val="30"/>
      <w:szCs w:val="44"/>
    </w:rPr>
  </w:style>
  <w:style w:type="paragraph" w:styleId="4">
    <w:name w:val="heading 2"/>
    <w:basedOn w:val="1"/>
    <w:next w:val="1"/>
    <w:link w:val="32"/>
    <w:unhideWhenUsed/>
    <w:qFormat/>
    <w:uiPriority w:val="0"/>
    <w:pPr>
      <w:keepLines/>
      <w:spacing w:line="413" w:lineRule="auto"/>
      <w:jc w:val="left"/>
      <w:outlineLvl w:val="1"/>
    </w:pPr>
    <w:rPr>
      <w:rFonts w:ascii="Times New Roman" w:hAnsi="Times New Roman" w:eastAsia="宋体" w:cs="Times New Roman"/>
      <w:b/>
      <w:sz w:val="28"/>
      <w:szCs w:val="22"/>
    </w:rPr>
  </w:style>
  <w:style w:type="paragraph" w:styleId="5">
    <w:name w:val="heading 3"/>
    <w:basedOn w:val="1"/>
    <w:next w:val="1"/>
    <w:link w:val="35"/>
    <w:unhideWhenUsed/>
    <w:qFormat/>
    <w:uiPriority w:val="0"/>
    <w:pPr>
      <w:keepNext/>
      <w:keepLines/>
      <w:jc w:val="left"/>
      <w:outlineLvl w:val="2"/>
    </w:pPr>
    <w:rPr>
      <w:rFonts w:ascii="Times New Roman" w:hAnsi="Times New Roman" w:eastAsia="宋体" w:cs="Times New Roman"/>
      <w:b/>
      <w:sz w:val="24"/>
      <w:szCs w:val="22"/>
    </w:rPr>
  </w:style>
  <w:style w:type="paragraph" w:styleId="6">
    <w:name w:val="heading 4"/>
    <w:basedOn w:val="1"/>
    <w:next w:val="1"/>
    <w:unhideWhenUsed/>
    <w:qFormat/>
    <w:uiPriority w:val="0"/>
    <w:pPr>
      <w:keepNext/>
      <w:keepLines/>
      <w:spacing w:before="140" w:after="140"/>
      <w:ind w:left="864" w:hanging="864"/>
      <w:jc w:val="left"/>
      <w:outlineLvl w:val="3"/>
    </w:pPr>
    <w:rPr>
      <w:rFonts w:ascii="Times New Roman" w:hAnsi="Times New Roman" w:eastAsia="宋体"/>
      <w:b/>
      <w:sz w:val="24"/>
    </w:rPr>
  </w:style>
  <w:style w:type="paragraph" w:styleId="7">
    <w:name w:val="heading 5"/>
    <w:basedOn w:val="1"/>
    <w:next w:val="1"/>
    <w:unhideWhenUsed/>
    <w:qFormat/>
    <w:uiPriority w:val="0"/>
    <w:pPr>
      <w:keepNext/>
      <w:keepLines/>
      <w:spacing w:line="360" w:lineRule="auto"/>
      <w:ind w:firstLine="1044" w:firstLineChars="200"/>
      <w:jc w:val="left"/>
      <w:outlineLvl w:val="4"/>
    </w:pPr>
    <w:rPr>
      <w:rFonts w:ascii="Times New Roman" w:hAnsi="Times New Roman" w:eastAsia="宋体" w:cs="Times New Roman"/>
      <w:b/>
      <w:sz w:val="24"/>
    </w:rPr>
  </w:style>
  <w:style w:type="paragraph" w:styleId="8">
    <w:name w:val="heading 6"/>
    <w:basedOn w:val="1"/>
    <w:next w:val="1"/>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9">
    <w:name w:val="heading 7"/>
    <w:basedOn w:val="1"/>
    <w:next w:val="1"/>
    <w:unhideWhenUsed/>
    <w:qFormat/>
    <w:uiPriority w:val="0"/>
    <w:pPr>
      <w:keepNext/>
      <w:keepLines/>
      <w:numPr>
        <w:ilvl w:val="6"/>
        <w:numId w:val="1"/>
      </w:numPr>
      <w:spacing w:before="240" w:after="64" w:line="317" w:lineRule="auto"/>
      <w:outlineLvl w:val="6"/>
    </w:pPr>
    <w:rPr>
      <w:b/>
      <w:sz w:val="24"/>
    </w:rPr>
  </w:style>
  <w:style w:type="paragraph" w:styleId="10">
    <w:name w:val="heading 8"/>
    <w:basedOn w:val="1"/>
    <w:next w:val="1"/>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1">
    <w:name w:val="heading 9"/>
    <w:basedOn w:val="1"/>
    <w:next w:val="1"/>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0正文唐"/>
    <w:basedOn w:val="1"/>
    <w:link w:val="40"/>
    <w:qFormat/>
    <w:uiPriority w:val="0"/>
    <w:pPr>
      <w:spacing w:line="360" w:lineRule="auto"/>
      <w:ind w:firstLine="720" w:firstLineChars="200"/>
      <w:jc w:val="left"/>
    </w:pPr>
    <w:rPr>
      <w:rFonts w:ascii="Times New Roman" w:hAnsi="Times New Roman" w:eastAsia="宋体" w:cs="Times New Roman"/>
      <w:sz w:val="28"/>
    </w:rPr>
  </w:style>
  <w:style w:type="paragraph" w:styleId="12">
    <w:name w:val="Normal Indent"/>
    <w:basedOn w:val="1"/>
    <w:qFormat/>
    <w:uiPriority w:val="0"/>
    <w:pPr>
      <w:ind w:firstLine="420" w:firstLineChars="200"/>
    </w:pPr>
  </w:style>
  <w:style w:type="paragraph" w:styleId="13">
    <w:name w:val="Body Text"/>
    <w:basedOn w:val="1"/>
    <w:next w:val="14"/>
    <w:link w:val="33"/>
    <w:qFormat/>
    <w:uiPriority w:val="0"/>
    <w:pPr>
      <w:widowControl/>
      <w:snapToGrid w:val="0"/>
      <w:spacing w:line="260" w:lineRule="auto"/>
      <w:ind w:right="113"/>
    </w:pPr>
    <w:rPr>
      <w:rFonts w:ascii="Times New Roman" w:hAnsi="Times New Roman" w:eastAsia="宋体"/>
      <w:kern w:val="0"/>
      <w:sz w:val="18"/>
      <w:szCs w:val="20"/>
    </w:rPr>
  </w:style>
  <w:style w:type="paragraph" w:styleId="14">
    <w:name w:val="List Bullet 5"/>
    <w:basedOn w:val="1"/>
    <w:qFormat/>
    <w:uiPriority w:val="0"/>
    <w:pPr>
      <w:numPr>
        <w:ilvl w:val="0"/>
        <w:numId w:val="2"/>
      </w:numPr>
    </w:pPr>
  </w:style>
  <w:style w:type="paragraph" w:styleId="15">
    <w:name w:val="Body Text Indent"/>
    <w:basedOn w:val="1"/>
    <w:qFormat/>
    <w:uiPriority w:val="0"/>
    <w:pPr>
      <w:spacing w:after="120"/>
      <w:ind w:left="420" w:leftChars="200"/>
    </w:pPr>
  </w:style>
  <w:style w:type="paragraph" w:styleId="16">
    <w:name w:val="Body Text Indent 2"/>
    <w:basedOn w:val="1"/>
    <w:next w:val="1"/>
    <w:link w:val="37"/>
    <w:qFormat/>
    <w:uiPriority w:val="0"/>
    <w:pPr>
      <w:tabs>
        <w:tab w:val="left" w:pos="0"/>
      </w:tabs>
      <w:spacing w:line="360" w:lineRule="auto"/>
      <w:jc w:val="center"/>
    </w:pPr>
    <w:rPr>
      <w:rFonts w:ascii="Times New Roman" w:hAnsi="Times New Roman" w:eastAsia="宋体" w:cs="Times New Roman"/>
      <w:b/>
      <w:szCs w:val="22"/>
    </w:r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link w:val="39"/>
    <w:qFormat/>
    <w:uiPriority w:val="0"/>
    <w:pPr>
      <w:pBdr>
        <w:bottom w:val="single" w:color="auto" w:sz="6" w:space="1"/>
      </w:pBdr>
      <w:tabs>
        <w:tab w:val="center" w:pos="4153"/>
        <w:tab w:val="right" w:pos="8306"/>
      </w:tabs>
      <w:jc w:val="center"/>
    </w:pPr>
    <w:rPr>
      <w:rFonts w:ascii="Times New Roman" w:hAnsi="Times New Roman" w:eastAsia="宋体"/>
      <w:sz w:val="18"/>
      <w:szCs w:val="18"/>
    </w:rPr>
  </w:style>
  <w:style w:type="paragraph" w:styleId="19">
    <w:name w:val="table of figures"/>
    <w:basedOn w:val="1"/>
    <w:next w:val="1"/>
    <w:qFormat/>
    <w:uiPriority w:val="0"/>
    <w:pPr>
      <w:ind w:left="200" w:leftChars="200" w:hanging="200" w:hangingChars="200"/>
    </w:pPr>
  </w:style>
  <w:style w:type="paragraph" w:styleId="20">
    <w:name w:val="Title"/>
    <w:basedOn w:val="1"/>
    <w:qFormat/>
    <w:uiPriority w:val="0"/>
    <w:pPr>
      <w:spacing w:before="240" w:after="60"/>
      <w:jc w:val="center"/>
      <w:outlineLvl w:val="0"/>
    </w:pPr>
    <w:rPr>
      <w:rFonts w:ascii="Arial" w:hAnsi="Arial"/>
      <w:b/>
      <w:sz w:val="32"/>
    </w:rPr>
  </w:style>
  <w:style w:type="paragraph" w:styleId="21">
    <w:name w:val="Body Text First Indent 2"/>
    <w:basedOn w:val="15"/>
    <w:qFormat/>
    <w:uiPriority w:val="0"/>
    <w:pPr>
      <w:spacing w:line="360" w:lineRule="auto"/>
      <w:ind w:left="0" w:leftChars="0"/>
    </w:pPr>
    <w:rPr>
      <w:rFonts w:ascii="Times New Roman" w:hAnsi="Times New Roman" w:eastAsia="宋体"/>
    </w:rPr>
  </w:style>
  <w:style w:type="paragraph" w:customStyle="1" w:styleId="24">
    <w:name w:val="Default"/>
    <w:basedOn w:val="1"/>
    <w:next w:val="21"/>
    <w:qFormat/>
    <w:uiPriority w:val="0"/>
    <w:pPr>
      <w:autoSpaceDE w:val="0"/>
      <w:autoSpaceDN w:val="0"/>
      <w:adjustRightInd w:val="0"/>
      <w:spacing w:line="360" w:lineRule="auto"/>
    </w:pPr>
    <w:rPr>
      <w:rFonts w:hint="eastAsia" w:ascii="宋体" w:hAnsi="宋体" w:eastAsia="宋体"/>
      <w:color w:val="000000"/>
    </w:rPr>
  </w:style>
  <w:style w:type="character" w:customStyle="1" w:styleId="25">
    <w:name w:val="标题 1 Char"/>
    <w:link w:val="3"/>
    <w:qFormat/>
    <w:uiPriority w:val="99"/>
    <w:rPr>
      <w:rFonts w:ascii="Times New Roman" w:hAnsi="Times New Roman" w:eastAsia="宋体" w:cs="Times New Roman"/>
      <w:b/>
      <w:kern w:val="44"/>
      <w:sz w:val="30"/>
    </w:rPr>
  </w:style>
  <w:style w:type="paragraph" w:customStyle="1" w:styleId="26">
    <w:name w:val="正文5号"/>
    <w:basedOn w:val="1"/>
    <w:qFormat/>
    <w:uiPriority w:val="0"/>
    <w:pPr>
      <w:spacing w:line="360" w:lineRule="auto"/>
      <w:ind w:firstLine="422" w:firstLineChars="200"/>
    </w:pPr>
    <w:rPr>
      <w:rFonts w:ascii="Times New Roman" w:hAnsi="Times New Roman"/>
      <w:bCs/>
      <w:kern w:val="24"/>
      <w:szCs w:val="21"/>
    </w:rPr>
  </w:style>
  <w:style w:type="paragraph" w:customStyle="1" w:styleId="27">
    <w:name w:val="正文5号-缩进2"/>
    <w:basedOn w:val="1"/>
    <w:qFormat/>
    <w:uiPriority w:val="0"/>
    <w:pPr>
      <w:autoSpaceDE w:val="0"/>
      <w:autoSpaceDN w:val="0"/>
      <w:adjustRightInd w:val="0"/>
      <w:snapToGrid w:val="0"/>
      <w:spacing w:line="360" w:lineRule="auto"/>
      <w:ind w:firstLine="420" w:firstLineChars="200"/>
    </w:pPr>
    <w:rPr>
      <w:rFonts w:ascii="Times New Roman" w:hAnsi="Times New Roman" w:cs="宋体"/>
      <w:kern w:val="0"/>
      <w:szCs w:val="21"/>
    </w:rPr>
  </w:style>
  <w:style w:type="paragraph" w:customStyle="1" w:styleId="28">
    <w:name w:val="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eastAsia="宋体" w:cs="宋体"/>
      <w:kern w:val="0"/>
      <w:szCs w:val="21"/>
    </w:rPr>
  </w:style>
  <w:style w:type="paragraph" w:customStyle="1" w:styleId="29">
    <w:name w:val="5号居中"/>
    <w:basedOn w:val="1"/>
    <w:autoRedefine/>
    <w:qFormat/>
    <w:uiPriority w:val="0"/>
    <w:pPr>
      <w:adjustRightInd w:val="0"/>
      <w:snapToGrid w:val="0"/>
      <w:jc w:val="center"/>
    </w:pPr>
    <w:rPr>
      <w:rFonts w:ascii="Times New Roman" w:hAnsi="Times New Roman" w:cs="宋体"/>
      <w:szCs w:val="21"/>
    </w:rPr>
  </w:style>
  <w:style w:type="paragraph" w:customStyle="1" w:styleId="30">
    <w:name w:val="表头"/>
    <w:basedOn w:val="12"/>
    <w:next w:val="1"/>
    <w:autoRedefine/>
    <w:qFormat/>
    <w:uiPriority w:val="0"/>
    <w:pPr>
      <w:autoSpaceDE w:val="0"/>
      <w:autoSpaceDN w:val="0"/>
      <w:adjustRightInd w:val="0"/>
      <w:spacing w:before="50" w:beforeLines="50"/>
      <w:ind w:firstLine="0" w:firstLineChars="0"/>
      <w:jc w:val="center"/>
      <w:textAlignment w:val="baseline"/>
    </w:pPr>
    <w:rPr>
      <w:rFonts w:ascii="Times New Roman" w:hAnsi="Times New Roman" w:eastAsia="宋体" w:cs="Times New Roman"/>
      <w:b/>
      <w:color w:val="000000"/>
      <w:szCs w:val="21"/>
    </w:rPr>
  </w:style>
  <w:style w:type="paragraph" w:customStyle="1" w:styleId="31">
    <w:name w:val="表头5号"/>
    <w:basedOn w:val="1"/>
    <w:autoRedefine/>
    <w:qFormat/>
    <w:uiPriority w:val="0"/>
    <w:pPr>
      <w:spacing w:before="50" w:beforeLines="50"/>
      <w:jc w:val="center"/>
    </w:pPr>
    <w:rPr>
      <w:rFonts w:ascii="Times New Roman" w:hAnsi="Times New Roman" w:eastAsia="宋体" w:cs="Times New Roman"/>
      <w:b/>
      <w:bCs/>
      <w:szCs w:val="21"/>
      <w:lang w:bidi="en-US"/>
    </w:rPr>
  </w:style>
  <w:style w:type="character" w:customStyle="1" w:styleId="32">
    <w:name w:val="标题 2 Char"/>
    <w:link w:val="4"/>
    <w:autoRedefine/>
    <w:qFormat/>
    <w:uiPriority w:val="0"/>
    <w:rPr>
      <w:rFonts w:ascii="Times New Roman" w:hAnsi="Times New Roman" w:eastAsia="宋体" w:cs="Times New Roman"/>
      <w:b/>
      <w:sz w:val="28"/>
      <w:szCs w:val="22"/>
    </w:rPr>
  </w:style>
  <w:style w:type="character" w:customStyle="1" w:styleId="33">
    <w:name w:val="正文文本 Char"/>
    <w:link w:val="13"/>
    <w:autoRedefine/>
    <w:qFormat/>
    <w:locked/>
    <w:uiPriority w:val="0"/>
    <w:rPr>
      <w:rFonts w:ascii="Times New Roman" w:hAnsi="Times New Roman" w:eastAsia="宋体"/>
      <w:sz w:val="18"/>
    </w:rPr>
  </w:style>
  <w:style w:type="paragraph" w:customStyle="1" w:styleId="34">
    <w:name w:val="0正文"/>
    <w:basedOn w:val="1"/>
    <w:autoRedefine/>
    <w:qFormat/>
    <w:uiPriority w:val="0"/>
    <w:pPr>
      <w:spacing w:line="360" w:lineRule="auto"/>
      <w:ind w:firstLine="1040" w:firstLineChars="200"/>
    </w:pPr>
    <w:rPr>
      <w:rFonts w:ascii="Times New Roman" w:hAnsi="Times New Roman" w:cs="Times New Roman"/>
      <w:sz w:val="24"/>
    </w:rPr>
  </w:style>
  <w:style w:type="character" w:customStyle="1" w:styleId="35">
    <w:name w:val="标题 3 Char"/>
    <w:link w:val="5"/>
    <w:autoRedefine/>
    <w:qFormat/>
    <w:uiPriority w:val="0"/>
    <w:rPr>
      <w:rFonts w:ascii="Times New Roman" w:hAnsi="Times New Roman" w:eastAsia="宋体" w:cs="Times New Roman"/>
      <w:b/>
      <w:sz w:val="28"/>
      <w:szCs w:val="30"/>
    </w:rPr>
  </w:style>
  <w:style w:type="paragraph" w:customStyle="1" w:styleId="36">
    <w:name w:val="表 标题"/>
    <w:basedOn w:val="19"/>
    <w:autoRedefine/>
    <w:qFormat/>
    <w:uiPriority w:val="0"/>
    <w:pPr>
      <w:spacing w:before="50" w:beforeLines="50"/>
      <w:ind w:left="0" w:leftChars="0" w:firstLine="0" w:firstLineChars="0"/>
      <w:jc w:val="center"/>
    </w:pPr>
    <w:rPr>
      <w:rFonts w:ascii="Times New Roman" w:hAnsi="Times New Roman" w:eastAsia="宋体" w:cs="Times New Roman"/>
      <w:b/>
      <w:szCs w:val="20"/>
    </w:rPr>
  </w:style>
  <w:style w:type="character" w:customStyle="1" w:styleId="37">
    <w:name w:val="正文文本缩进 2 Char"/>
    <w:link w:val="16"/>
    <w:autoRedefine/>
    <w:qFormat/>
    <w:uiPriority w:val="0"/>
    <w:rPr>
      <w:rFonts w:ascii="Times New Roman" w:hAnsi="Times New Roman" w:eastAsia="宋体" w:cs="Times New Roman"/>
      <w:b/>
      <w:sz w:val="21"/>
      <w:szCs w:val="22"/>
    </w:rPr>
  </w:style>
  <w:style w:type="paragraph" w:customStyle="1" w:styleId="38">
    <w:name w:val="正  文"/>
    <w:autoRedefine/>
    <w:qFormat/>
    <w:uiPriority w:val="0"/>
    <w:pPr>
      <w:widowControl w:val="0"/>
      <w:spacing w:line="360" w:lineRule="auto"/>
      <w:ind w:firstLine="200" w:firstLineChars="200"/>
    </w:pPr>
    <w:rPr>
      <w:rFonts w:ascii="Times New Roman" w:hAnsi="Times New Roman" w:eastAsia="宋体" w:cs="Times New Roman"/>
      <w:kern w:val="2"/>
      <w:sz w:val="24"/>
      <w:szCs w:val="28"/>
      <w:lang w:val="en-US" w:eastAsia="zh-CN" w:bidi="ar-SA"/>
    </w:rPr>
  </w:style>
  <w:style w:type="character" w:customStyle="1" w:styleId="39">
    <w:name w:val="页眉 Char"/>
    <w:link w:val="18"/>
    <w:autoRedefine/>
    <w:qFormat/>
    <w:uiPriority w:val="99"/>
    <w:rPr>
      <w:rFonts w:ascii="Times New Roman" w:hAnsi="Times New Roman" w:eastAsia="宋体"/>
      <w:kern w:val="2"/>
      <w:sz w:val="18"/>
      <w:szCs w:val="18"/>
    </w:rPr>
  </w:style>
  <w:style w:type="character" w:customStyle="1" w:styleId="40">
    <w:name w:val="0正文唐 Char"/>
    <w:link w:val="2"/>
    <w:autoRedefine/>
    <w:qFormat/>
    <w:uiPriority w:val="0"/>
    <w:rPr>
      <w:rFonts w:ascii="Times New Roman" w:hAnsi="Times New Roman" w:eastAsia="宋体" w:cs="Times New Roman"/>
      <w:sz w:val="28"/>
    </w:rPr>
  </w:style>
  <w:style w:type="paragraph" w:customStyle="1" w:styleId="41">
    <w:name w:val="正文-唐"/>
    <w:basedOn w:val="2"/>
    <w:autoRedefine/>
    <w:qFormat/>
    <w:uiPriority w:val="0"/>
    <w:pPr>
      <w:ind w:firstLine="600"/>
    </w:pPr>
    <w:rPr>
      <w:szCs w:val="22"/>
    </w:rPr>
  </w:style>
  <w:style w:type="paragraph" w:customStyle="1" w:styleId="42">
    <w:name w:val="自编-正文"/>
    <w:basedOn w:val="1"/>
    <w:autoRedefine/>
    <w:qFormat/>
    <w:uiPriority w:val="0"/>
    <w:pPr>
      <w:spacing w:line="360" w:lineRule="auto"/>
      <w:ind w:firstLine="480" w:firstLineChars="200"/>
      <w:jc w:val="left"/>
    </w:pPr>
    <w:rPr>
      <w:rFonts w:ascii="Times New Roman" w:hAnsi="Times New Roman" w:eastAsia="宋体" w:cs="宋体"/>
      <w:sz w:val="24"/>
    </w:rPr>
  </w:style>
  <w:style w:type="paragraph" w:customStyle="1" w:styleId="43">
    <w:name w:val="报告正文"/>
    <w:basedOn w:val="1"/>
    <w:link w:val="44"/>
    <w:autoRedefine/>
    <w:qFormat/>
    <w:uiPriority w:val="0"/>
    <w:pPr>
      <w:spacing w:line="360" w:lineRule="auto"/>
      <w:textAlignment w:val="baseline"/>
    </w:pPr>
    <w:rPr>
      <w:rFonts w:ascii="Times New Roman" w:hAnsi="Times New Roman" w:eastAsia="宋体"/>
      <w:kern w:val="24"/>
      <w:sz w:val="24"/>
    </w:rPr>
  </w:style>
  <w:style w:type="character" w:customStyle="1" w:styleId="44">
    <w:name w:val="报告正文 Char"/>
    <w:link w:val="43"/>
    <w:autoRedefine/>
    <w:qFormat/>
    <w:uiPriority w:val="0"/>
    <w:rPr>
      <w:rFonts w:ascii="Times New Roman" w:hAnsi="Times New Roman" w:eastAsia="宋体"/>
      <w:kern w:val="24"/>
      <w:sz w:val="24"/>
      <w:szCs w:val="24"/>
    </w:rPr>
  </w:style>
  <w:style w:type="paragraph" w:customStyle="1" w:styleId="45">
    <w:name w:val="表内文字"/>
    <w:basedOn w:val="1"/>
    <w:autoRedefine/>
    <w:qFormat/>
    <w:uiPriority w:val="0"/>
    <w:pPr>
      <w:jc w:val="center"/>
    </w:pPr>
    <w:rPr>
      <w:rFonts w:ascii="Times New Roman" w:hAnsi="Times New Roman" w:eastAsia="宋体" w:cs="Times New Roman"/>
      <w:bCs/>
      <w:szCs w:val="21"/>
    </w:rPr>
  </w:style>
  <w:style w:type="paragraph" w:customStyle="1" w:styleId="46">
    <w:name w:val="0验收正文"/>
    <w:basedOn w:val="2"/>
    <w:next w:val="2"/>
    <w:autoRedefine/>
    <w:qFormat/>
    <w:uiPriority w:val="0"/>
    <w:pPr>
      <w:numPr>
        <w:ilvl w:val="0"/>
        <w:numId w:val="3"/>
      </w:numPr>
      <w:jc w:val="both"/>
    </w:pPr>
    <w:rPr>
      <w:bCs/>
    </w:rPr>
  </w:style>
  <w:style w:type="character" w:customStyle="1" w:styleId="47">
    <w:name w:val="content1"/>
    <w:basedOn w:val="23"/>
    <w:autoRedefine/>
    <w:qFormat/>
    <w:uiPriority w:val="0"/>
    <w:rPr>
      <w:color w:val="000000"/>
      <w:sz w:val="20"/>
      <w:szCs w:val="20"/>
    </w:rPr>
  </w:style>
  <w:style w:type="paragraph" w:customStyle="1" w:styleId="48">
    <w:name w:val="列出段落1"/>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Pages>
  <Words>1220</Words>
  <Characters>1309</Characters>
  <Lines>10</Lines>
  <Paragraphs>2</Paragraphs>
  <TotalTime>8</TotalTime>
  <ScaleCrop>false</ScaleCrop>
  <LinksUpToDate>false</LinksUpToDate>
  <CharactersWithSpaces>1422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2024-04-01T02:17:00Z</dcterms:created>
  <dc:creator>fm</dc:creator>
  <cp:lastModifiedBy>　　　　　　</cp:lastModifiedBy>
  <cp:lastPrinted>2024-04-12T03:26:00Z</cp:lastPrinted>
  <dcterms:modified xsi:type="dcterms:W3CDTF">2025-08-28T04:02:19Z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17381A01FE2C462B8CC6DB2112DCD841_13</vt:lpwstr>
  </property>
  <property fmtid="{D5CDD505-2E9C-101B-9397-08002B2CF9AE}" pid="4" name="KSOTemplateDocerSaveRecord">
    <vt:lpwstr>eyJoZGlkIjoiMWJjY2RiMTYyZmM2MTU3ZGU0ZmRkYTI0ZTcwNzVmNmQiLCJ1c2VySWQiOiI0ODk4NzQzNDEifQ==</vt:lpwstr>
  </property>
</Properties>
</file>