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45E0BEE">
      <w:pPr>
        <w:pStyle w:val="10"/>
        <w:jc w:val="center"/>
        <w:rPr>
          <w:sz w:val="56"/>
          <w:szCs w:val="56"/>
        </w:rPr>
      </w:pPr>
    </w:p>
    <w:p w14:paraId="07686366">
      <w:pPr>
        <w:pStyle w:val="10"/>
        <w:jc w:val="center"/>
        <w:rPr>
          <w:sz w:val="56"/>
          <w:szCs w:val="56"/>
        </w:rPr>
      </w:pPr>
    </w:p>
    <w:p w14:paraId="73616D0C">
      <w:pPr>
        <w:pStyle w:val="10"/>
        <w:jc w:val="center"/>
        <w:rPr>
          <w:sz w:val="84"/>
          <w:szCs w:val="84"/>
        </w:rPr>
      </w:pPr>
    </w:p>
    <w:p w14:paraId="1162C90D">
      <w:pPr>
        <w:pStyle w:val="10"/>
        <w:jc w:val="center"/>
        <w:rPr>
          <w:sz w:val="84"/>
          <w:szCs w:val="84"/>
        </w:rPr>
      </w:pPr>
      <w:bookmarkStart w:id="0" w:name="_GoBack"/>
      <w:bookmarkEnd w:id="0"/>
    </w:p>
    <w:p w14:paraId="72CC27B3">
      <w:pPr>
        <w:pStyle w:val="10"/>
        <w:jc w:val="center"/>
        <w:rPr>
          <w:sz w:val="84"/>
          <w:szCs w:val="84"/>
        </w:rPr>
      </w:pPr>
      <w:r>
        <w:rPr>
          <w:rFonts w:hint="eastAsia"/>
          <w:sz w:val="84"/>
          <w:szCs w:val="84"/>
        </w:rPr>
        <w:t>2019年度</w:t>
      </w:r>
    </w:p>
    <w:p w14:paraId="13E954B8">
      <w:pPr>
        <w:pStyle w:val="10"/>
        <w:jc w:val="center"/>
        <w:rPr>
          <w:sz w:val="84"/>
          <w:szCs w:val="84"/>
        </w:rPr>
      </w:pPr>
      <w:r>
        <w:rPr>
          <w:rFonts w:hint="eastAsia"/>
          <w:sz w:val="84"/>
          <w:szCs w:val="84"/>
        </w:rPr>
        <w:t>衡南县发展和改革局部门决算</w:t>
      </w:r>
    </w:p>
    <w:p w14:paraId="4F8B251D">
      <w:pPr>
        <w:pStyle w:val="10"/>
        <w:jc w:val="center"/>
        <w:rPr>
          <w:sz w:val="56"/>
          <w:szCs w:val="56"/>
        </w:rPr>
      </w:pPr>
    </w:p>
    <w:p w14:paraId="60DCC89E">
      <w:pPr>
        <w:pStyle w:val="10"/>
        <w:jc w:val="center"/>
        <w:rPr>
          <w:sz w:val="56"/>
          <w:szCs w:val="56"/>
        </w:rPr>
      </w:pPr>
    </w:p>
    <w:p w14:paraId="20D5FF0B">
      <w:pPr>
        <w:pStyle w:val="10"/>
        <w:jc w:val="center"/>
        <w:rPr>
          <w:sz w:val="56"/>
          <w:szCs w:val="56"/>
        </w:rPr>
      </w:pPr>
    </w:p>
    <w:p w14:paraId="6F5714D4">
      <w:pPr>
        <w:pStyle w:val="10"/>
        <w:jc w:val="center"/>
        <w:rPr>
          <w:sz w:val="56"/>
          <w:szCs w:val="56"/>
        </w:rPr>
      </w:pPr>
    </w:p>
    <w:p w14:paraId="6F387CB0">
      <w:pPr>
        <w:pStyle w:val="10"/>
        <w:jc w:val="center"/>
        <w:rPr>
          <w:sz w:val="56"/>
          <w:szCs w:val="56"/>
        </w:rPr>
      </w:pPr>
    </w:p>
    <w:p w14:paraId="3403AAEA">
      <w:pPr>
        <w:widowControl/>
        <w:rPr>
          <w:sz w:val="56"/>
          <w:szCs w:val="56"/>
        </w:rPr>
      </w:pPr>
    </w:p>
    <w:p w14:paraId="747F8AB1">
      <w:pPr>
        <w:pStyle w:val="10"/>
        <w:spacing w:line="520" w:lineRule="exact"/>
        <w:jc w:val="center"/>
        <w:rPr>
          <w:sz w:val="56"/>
          <w:szCs w:val="56"/>
        </w:rPr>
      </w:pPr>
      <w:r>
        <w:rPr>
          <w:rFonts w:hint="eastAsia"/>
          <w:sz w:val="56"/>
          <w:szCs w:val="56"/>
        </w:rPr>
        <w:t>目录</w:t>
      </w:r>
    </w:p>
    <w:p w14:paraId="5D4B24C6">
      <w:pPr>
        <w:pStyle w:val="10"/>
        <w:spacing w:line="520" w:lineRule="exact"/>
        <w:rPr>
          <w:rFonts w:ascii="仿宋_GB2312" w:hAnsi="仿宋_GB2312" w:cs="仿宋_GB2312"/>
          <w:b/>
          <w:sz w:val="28"/>
          <w:szCs w:val="28"/>
        </w:rPr>
      </w:pPr>
      <w:r>
        <w:rPr>
          <w:rFonts w:hint="eastAsia"/>
          <w:b/>
          <w:sz w:val="28"/>
          <w:szCs w:val="28"/>
        </w:rPr>
        <w:t>第一部分 单位概况</w:t>
      </w:r>
    </w:p>
    <w:p w14:paraId="46F04C34">
      <w:pPr>
        <w:pStyle w:val="10"/>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一、部门职责</w:t>
      </w:r>
    </w:p>
    <w:p w14:paraId="07C2D006">
      <w:pPr>
        <w:pStyle w:val="10"/>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二、机构设置</w:t>
      </w:r>
    </w:p>
    <w:p w14:paraId="59521675">
      <w:pPr>
        <w:pStyle w:val="10"/>
        <w:spacing w:line="520" w:lineRule="exact"/>
        <w:rPr>
          <w:rFonts w:ascii="仿宋_GB2312" w:hAnsi="仿宋_GB2312" w:cs="仿宋_GB2312"/>
          <w:b/>
          <w:sz w:val="28"/>
          <w:szCs w:val="28"/>
        </w:rPr>
      </w:pPr>
      <w:r>
        <w:rPr>
          <w:rFonts w:hint="eastAsia" w:hAnsi="仿宋_GB2312"/>
          <w:b/>
          <w:sz w:val="28"/>
          <w:szCs w:val="28"/>
        </w:rPr>
        <w:t xml:space="preserve">第二部分 </w:t>
      </w:r>
      <w:r>
        <w:rPr>
          <w:rFonts w:hAnsi="仿宋_GB2312"/>
          <w:b/>
          <w:sz w:val="28"/>
          <w:szCs w:val="28"/>
        </w:rPr>
        <w:t>2019</w:t>
      </w:r>
      <w:r>
        <w:rPr>
          <w:rFonts w:hint="eastAsia" w:hAnsi="仿宋_GB2312"/>
          <w:b/>
          <w:sz w:val="28"/>
          <w:szCs w:val="28"/>
        </w:rPr>
        <w:t>年度部门决算表</w:t>
      </w:r>
    </w:p>
    <w:p w14:paraId="4A2CB7DC">
      <w:pPr>
        <w:pStyle w:val="10"/>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一、收入支出决算总表</w:t>
      </w:r>
    </w:p>
    <w:p w14:paraId="5BDB7695">
      <w:pPr>
        <w:pStyle w:val="10"/>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二、收入决算表</w:t>
      </w:r>
    </w:p>
    <w:p w14:paraId="1DD4F217">
      <w:pPr>
        <w:pStyle w:val="10"/>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三、支出决算表</w:t>
      </w:r>
    </w:p>
    <w:p w14:paraId="5C8B7056">
      <w:pPr>
        <w:pStyle w:val="10"/>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四、财政拨款收入支出决算总表</w:t>
      </w:r>
    </w:p>
    <w:p w14:paraId="29217466">
      <w:pPr>
        <w:pStyle w:val="10"/>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五、一般公共预算财政拨款支出决算表</w:t>
      </w:r>
    </w:p>
    <w:p w14:paraId="3A25E726">
      <w:pPr>
        <w:pStyle w:val="10"/>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六、一般公共预算财政拨款基本支出决算表</w:t>
      </w:r>
    </w:p>
    <w:p w14:paraId="63214286">
      <w:pPr>
        <w:pStyle w:val="10"/>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七、一般公共预算财政拨款“三公”经费支出决算表</w:t>
      </w:r>
    </w:p>
    <w:p w14:paraId="3718957A">
      <w:pPr>
        <w:pStyle w:val="10"/>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八、政府性基金预算财政拨款收入支出决算表</w:t>
      </w:r>
    </w:p>
    <w:p w14:paraId="6E603010">
      <w:pPr>
        <w:pStyle w:val="10"/>
        <w:spacing w:line="520" w:lineRule="exact"/>
        <w:rPr>
          <w:rFonts w:ascii="仿宋_GB2312" w:hAnsi="仿宋_GB2312" w:cs="仿宋_GB2312"/>
          <w:b/>
          <w:sz w:val="28"/>
          <w:szCs w:val="28"/>
        </w:rPr>
      </w:pPr>
      <w:r>
        <w:rPr>
          <w:rFonts w:hint="eastAsia" w:hAnsi="仿宋_GB2312"/>
          <w:b/>
          <w:sz w:val="28"/>
          <w:szCs w:val="28"/>
        </w:rPr>
        <w:t xml:space="preserve">第三部分 </w:t>
      </w:r>
      <w:r>
        <w:rPr>
          <w:rFonts w:hAnsi="仿宋_GB2312"/>
          <w:b/>
          <w:sz w:val="28"/>
          <w:szCs w:val="28"/>
        </w:rPr>
        <w:t>2019</w:t>
      </w:r>
      <w:r>
        <w:rPr>
          <w:rFonts w:hint="eastAsia" w:hAnsi="仿宋_GB2312"/>
          <w:b/>
          <w:sz w:val="28"/>
          <w:szCs w:val="28"/>
        </w:rPr>
        <w:t>年度部门决算情况说明</w:t>
      </w:r>
    </w:p>
    <w:p w14:paraId="389EAA88">
      <w:pPr>
        <w:pStyle w:val="10"/>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一、收入支出决算总体情况说明</w:t>
      </w:r>
    </w:p>
    <w:p w14:paraId="711875F3">
      <w:pPr>
        <w:spacing w:line="520" w:lineRule="exact"/>
        <w:ind w:firstLine="700" w:firstLineChars="250"/>
        <w:jc w:val="left"/>
        <w:rPr>
          <w:rFonts w:ascii="仿宋_GB2312" w:hAnsi="仿宋_GB2312" w:cs="仿宋_GB2312"/>
          <w:sz w:val="28"/>
          <w:szCs w:val="28"/>
        </w:rPr>
      </w:pPr>
      <w:r>
        <w:rPr>
          <w:rFonts w:ascii="仿宋_GB2312" w:hAnsi="仿宋_GB2312" w:cs="仿宋_GB2312"/>
          <w:sz w:val="28"/>
          <w:szCs w:val="28"/>
        </w:rPr>
        <w:t>二、收入决算情况说明</w:t>
      </w:r>
    </w:p>
    <w:p w14:paraId="28EB99A5">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三、支出决算情况说明</w:t>
      </w:r>
    </w:p>
    <w:p w14:paraId="48917AD0">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四、财政拨款收入支出决算总体情况说明</w:t>
      </w:r>
    </w:p>
    <w:p w14:paraId="3196D196">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五、一般公共预算财政拨款支出决算情况说明</w:t>
      </w:r>
    </w:p>
    <w:p w14:paraId="07A4D2CA">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六、一般公共预算财政拨款基本支出决算情况说明</w:t>
      </w:r>
    </w:p>
    <w:p w14:paraId="42763E78">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七、一般公共预算财政拨款三公经费支出决算情况说明</w:t>
      </w:r>
    </w:p>
    <w:p w14:paraId="41D6C920">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八</w:t>
      </w:r>
      <w:r>
        <w:rPr>
          <w:rFonts w:ascii="仿宋_GB2312" w:hAnsi="仿宋_GB2312" w:cs="仿宋_GB2312"/>
          <w:color w:val="000000"/>
          <w:kern w:val="0"/>
          <w:sz w:val="28"/>
          <w:szCs w:val="28"/>
        </w:rPr>
        <w:t>、</w:t>
      </w:r>
      <w:r>
        <w:rPr>
          <w:rFonts w:hint="eastAsia" w:ascii="仿宋_GB2312" w:hAnsi="仿宋_GB2312" w:cs="仿宋_GB2312"/>
          <w:color w:val="000000"/>
          <w:kern w:val="0"/>
          <w:sz w:val="28"/>
          <w:szCs w:val="28"/>
        </w:rPr>
        <w:t>政府性基金预算收入支出决算情况</w:t>
      </w:r>
    </w:p>
    <w:p w14:paraId="5B0B322F">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九</w:t>
      </w:r>
      <w:r>
        <w:rPr>
          <w:rFonts w:ascii="仿宋_GB2312" w:hAnsi="仿宋_GB2312" w:cs="仿宋_GB2312"/>
          <w:color w:val="000000"/>
          <w:kern w:val="0"/>
          <w:sz w:val="28"/>
          <w:szCs w:val="28"/>
        </w:rPr>
        <w:t>、预算绩效情况说明</w:t>
      </w:r>
    </w:p>
    <w:p w14:paraId="612A6C54">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十</w:t>
      </w:r>
      <w:r>
        <w:rPr>
          <w:rFonts w:ascii="仿宋_GB2312" w:hAnsi="仿宋_GB2312" w:cs="仿宋_GB2312"/>
          <w:color w:val="000000"/>
          <w:kern w:val="0"/>
          <w:sz w:val="28"/>
          <w:szCs w:val="28"/>
        </w:rPr>
        <w:t>、其他重要事项情况说明</w:t>
      </w:r>
    </w:p>
    <w:p w14:paraId="3939BCA1">
      <w:pPr>
        <w:autoSpaceDE w:val="0"/>
        <w:autoSpaceDN w:val="0"/>
        <w:adjustRightInd w:val="0"/>
        <w:spacing w:line="520" w:lineRule="exact"/>
        <w:jc w:val="left"/>
        <w:rPr>
          <w:rFonts w:ascii="黑体" w:hAnsi="黑体" w:eastAsia="黑体" w:cs="仿宋_GB2312"/>
          <w:b/>
          <w:color w:val="000000"/>
          <w:kern w:val="0"/>
          <w:sz w:val="28"/>
          <w:szCs w:val="28"/>
        </w:rPr>
      </w:pPr>
      <w:r>
        <w:rPr>
          <w:rFonts w:ascii="黑体" w:hAnsi="黑体" w:eastAsia="黑体" w:cs="黑体"/>
          <w:b/>
          <w:color w:val="000000"/>
          <w:kern w:val="0"/>
          <w:sz w:val="28"/>
          <w:szCs w:val="28"/>
        </w:rPr>
        <w:t>第四部分名词解释</w:t>
      </w:r>
    </w:p>
    <w:p w14:paraId="22413BD2">
      <w:pPr>
        <w:spacing w:line="520" w:lineRule="exact"/>
        <w:jc w:val="left"/>
        <w:rPr>
          <w:rFonts w:ascii="黑体" w:hAnsi="黑体" w:eastAsia="黑体" w:cs="仿宋_GB2312"/>
          <w:b/>
          <w:color w:val="000000"/>
          <w:kern w:val="0"/>
          <w:sz w:val="28"/>
          <w:szCs w:val="28"/>
        </w:rPr>
      </w:pPr>
      <w:r>
        <w:rPr>
          <w:rFonts w:ascii="黑体" w:hAnsi="黑体" w:eastAsia="黑体" w:cs="黑体"/>
          <w:b/>
          <w:color w:val="000000"/>
          <w:kern w:val="0"/>
          <w:sz w:val="28"/>
          <w:szCs w:val="28"/>
        </w:rPr>
        <w:t>第五部分附件</w:t>
      </w:r>
    </w:p>
    <w:p w14:paraId="127A2DA9">
      <w:pPr>
        <w:jc w:val="center"/>
        <w:rPr>
          <w:sz w:val="72"/>
          <w:szCs w:val="72"/>
        </w:rPr>
      </w:pPr>
    </w:p>
    <w:p w14:paraId="35E3878D">
      <w:pPr>
        <w:jc w:val="center"/>
        <w:rPr>
          <w:sz w:val="72"/>
          <w:szCs w:val="72"/>
        </w:rPr>
      </w:pPr>
    </w:p>
    <w:p w14:paraId="79A90CC3">
      <w:pPr>
        <w:jc w:val="center"/>
        <w:rPr>
          <w:sz w:val="72"/>
          <w:szCs w:val="72"/>
        </w:rPr>
      </w:pPr>
    </w:p>
    <w:p w14:paraId="57F035EA">
      <w:pPr>
        <w:jc w:val="center"/>
        <w:rPr>
          <w:sz w:val="72"/>
          <w:szCs w:val="72"/>
        </w:rPr>
      </w:pPr>
    </w:p>
    <w:p w14:paraId="03DF32A2">
      <w:pPr>
        <w:rPr>
          <w:sz w:val="72"/>
          <w:szCs w:val="72"/>
        </w:rPr>
      </w:pPr>
    </w:p>
    <w:p w14:paraId="4674ED09">
      <w:pPr>
        <w:pStyle w:val="10"/>
        <w:jc w:val="center"/>
        <w:rPr>
          <w:sz w:val="84"/>
          <w:szCs w:val="84"/>
        </w:rPr>
      </w:pPr>
      <w:r>
        <w:rPr>
          <w:rFonts w:hint="eastAsia"/>
          <w:sz w:val="84"/>
          <w:szCs w:val="84"/>
        </w:rPr>
        <w:t>第一部分</w:t>
      </w:r>
      <w:r>
        <w:rPr>
          <w:sz w:val="84"/>
          <w:szCs w:val="84"/>
        </w:rPr>
        <w:t xml:space="preserve"> </w:t>
      </w:r>
    </w:p>
    <w:p w14:paraId="5F68BC46">
      <w:pPr>
        <w:pStyle w:val="10"/>
        <w:jc w:val="center"/>
        <w:rPr>
          <w:sz w:val="84"/>
          <w:szCs w:val="84"/>
        </w:rPr>
      </w:pPr>
    </w:p>
    <w:p w14:paraId="6406C5C7">
      <w:pPr>
        <w:pStyle w:val="10"/>
        <w:jc w:val="center"/>
        <w:rPr>
          <w:sz w:val="84"/>
          <w:szCs w:val="84"/>
        </w:rPr>
      </w:pPr>
      <w:r>
        <w:rPr>
          <w:rFonts w:hint="eastAsia"/>
          <w:sz w:val="84"/>
          <w:szCs w:val="84"/>
        </w:rPr>
        <w:t>单位概况</w:t>
      </w:r>
    </w:p>
    <w:p w14:paraId="24DB3493">
      <w:pPr>
        <w:jc w:val="center"/>
        <w:rPr>
          <w:sz w:val="72"/>
          <w:szCs w:val="72"/>
        </w:rPr>
      </w:pPr>
    </w:p>
    <w:p w14:paraId="705DC628">
      <w:pPr>
        <w:jc w:val="center"/>
        <w:rPr>
          <w:sz w:val="72"/>
          <w:szCs w:val="72"/>
        </w:rPr>
      </w:pPr>
    </w:p>
    <w:p w14:paraId="4D7AF19F">
      <w:pPr>
        <w:jc w:val="center"/>
        <w:rPr>
          <w:sz w:val="72"/>
          <w:szCs w:val="72"/>
        </w:rPr>
      </w:pPr>
    </w:p>
    <w:p w14:paraId="56D06612">
      <w:pPr>
        <w:pStyle w:val="2"/>
        <w:rPr>
          <w:rFonts w:hint="default"/>
          <w:sz w:val="72"/>
          <w:szCs w:val="72"/>
        </w:rPr>
      </w:pPr>
    </w:p>
    <w:p w14:paraId="6342A104">
      <w:pPr>
        <w:pStyle w:val="2"/>
        <w:rPr>
          <w:rFonts w:hint="default"/>
          <w:sz w:val="72"/>
          <w:szCs w:val="72"/>
        </w:rPr>
      </w:pPr>
    </w:p>
    <w:p w14:paraId="1C4C49E6">
      <w:pPr>
        <w:pStyle w:val="11"/>
        <w:ind w:firstLine="0" w:firstLineChars="0"/>
        <w:jc w:val="left"/>
        <w:rPr>
          <w:rFonts w:ascii="黑体" w:hAnsi="黑体" w:eastAsia="黑体"/>
          <w:sz w:val="32"/>
          <w:szCs w:val="32"/>
        </w:rPr>
      </w:pPr>
    </w:p>
    <w:p w14:paraId="13436D16">
      <w:pPr>
        <w:pStyle w:val="11"/>
        <w:ind w:firstLine="0" w:firstLineChars="0"/>
        <w:jc w:val="left"/>
        <w:rPr>
          <w:rFonts w:ascii="黑体" w:hAnsi="黑体" w:eastAsia="黑体"/>
          <w:sz w:val="32"/>
          <w:szCs w:val="32"/>
        </w:rPr>
      </w:pPr>
    </w:p>
    <w:p w14:paraId="6D7A68A2">
      <w:pPr>
        <w:pStyle w:val="11"/>
        <w:numPr>
          <w:ilvl w:val="0"/>
          <w:numId w:val="1"/>
        </w:numPr>
        <w:ind w:firstLineChars="0"/>
        <w:jc w:val="left"/>
        <w:rPr>
          <w:rFonts w:ascii="黑体" w:hAnsi="黑体" w:eastAsia="黑体"/>
          <w:b/>
          <w:bCs/>
          <w:sz w:val="32"/>
          <w:szCs w:val="32"/>
        </w:rPr>
      </w:pPr>
      <w:r>
        <w:rPr>
          <w:rFonts w:ascii="黑体" w:hAnsi="黑体" w:eastAsia="黑体"/>
          <w:b/>
          <w:bCs/>
          <w:sz w:val="32"/>
          <w:szCs w:val="32"/>
        </w:rPr>
        <w:t>部门职责</w:t>
      </w:r>
    </w:p>
    <w:p w14:paraId="786A770F">
      <w:pPr>
        <w:widowControl/>
        <w:spacing w:line="600" w:lineRule="exact"/>
        <w:ind w:firstLine="640" w:firstLineChars="200"/>
        <w:rPr>
          <w:rFonts w:asciiTheme="minorEastAsia" w:hAnsiTheme="minorEastAsia"/>
          <w:bCs/>
          <w:kern w:val="0"/>
          <w:sz w:val="32"/>
          <w:szCs w:val="32"/>
        </w:rPr>
      </w:pPr>
      <w:r>
        <w:rPr>
          <w:rFonts w:hint="eastAsia" w:asciiTheme="minorEastAsia" w:hAnsiTheme="minorEastAsia"/>
          <w:bCs/>
          <w:kern w:val="0"/>
          <w:sz w:val="32"/>
          <w:szCs w:val="32"/>
        </w:rPr>
        <w:t>衡南县发展和改革局是县政府工作部门，是综合研究拟定全县经济和社会发展政策，进行总量平衡，指导全县总体经济体制改革的宏观调控部门。主要职责有：</w:t>
      </w:r>
    </w:p>
    <w:p w14:paraId="2B9747BA">
      <w:pPr>
        <w:ind w:firstLine="280" w:firstLineChars="100"/>
        <w:jc w:val="left"/>
        <w:rPr>
          <w:rFonts w:ascii="仿宋_GB2312" w:eastAsia="仿宋_GB2312" w:hAnsiTheme="minorEastAsia"/>
          <w:sz w:val="28"/>
          <w:szCs w:val="32"/>
        </w:rPr>
      </w:pPr>
      <w:r>
        <w:rPr>
          <w:rFonts w:hint="eastAsia" w:ascii="仿宋_GB2312" w:eastAsia="仿宋_GB2312" w:hAnsiTheme="minorEastAsia"/>
          <w:sz w:val="28"/>
          <w:szCs w:val="32"/>
        </w:rPr>
        <w:t>（一）拟定并组织实施全县国民经济和社会发展战略、中长期规划和年度计划。</w:t>
      </w:r>
    </w:p>
    <w:p w14:paraId="73A721DF">
      <w:pPr>
        <w:ind w:firstLine="280" w:firstLineChars="100"/>
        <w:jc w:val="left"/>
        <w:rPr>
          <w:rFonts w:ascii="仿宋_GB2312" w:eastAsia="仿宋_GB2312" w:hAnsiTheme="minorEastAsia"/>
          <w:sz w:val="28"/>
          <w:szCs w:val="32"/>
        </w:rPr>
      </w:pPr>
      <w:r>
        <w:rPr>
          <w:rFonts w:hint="eastAsia" w:ascii="仿宋_GB2312" w:eastAsia="仿宋_GB2312" w:hAnsiTheme="minorEastAsia"/>
          <w:sz w:val="28"/>
          <w:szCs w:val="32"/>
        </w:rPr>
        <w:t>（二）研究提出加快建设现代化经济体系、推动高质量发展的总体目标、重大任务及相关政策。</w:t>
      </w:r>
    </w:p>
    <w:p w14:paraId="4CA14964">
      <w:pPr>
        <w:ind w:firstLine="280" w:firstLineChars="100"/>
        <w:jc w:val="left"/>
        <w:rPr>
          <w:rFonts w:ascii="仿宋_GB2312" w:eastAsia="仿宋_GB2312" w:hAnsiTheme="minorEastAsia"/>
          <w:sz w:val="28"/>
          <w:szCs w:val="32"/>
        </w:rPr>
      </w:pPr>
      <w:r>
        <w:rPr>
          <w:rFonts w:hint="eastAsia" w:ascii="仿宋_GB2312" w:eastAsia="仿宋_GB2312" w:hAnsiTheme="minorEastAsia"/>
          <w:sz w:val="28"/>
          <w:szCs w:val="32"/>
        </w:rPr>
        <w:t>（三）研究提出全县国民经济和社会发展主要目标，监测预测预警宏观经济和社会发展态势趋势，提出宏观调控政策建议，综合协调宏观经济政策，牵头研究宏观经济应对措施。</w:t>
      </w:r>
    </w:p>
    <w:p w14:paraId="6E43F126">
      <w:pPr>
        <w:ind w:firstLine="280" w:firstLineChars="100"/>
        <w:jc w:val="left"/>
        <w:rPr>
          <w:rFonts w:ascii="仿宋_GB2312" w:eastAsia="仿宋_GB2312" w:hAnsiTheme="minorEastAsia"/>
          <w:sz w:val="28"/>
          <w:szCs w:val="32"/>
        </w:rPr>
      </w:pPr>
      <w:r>
        <w:rPr>
          <w:rFonts w:hint="eastAsia" w:ascii="仿宋_GB2312" w:eastAsia="仿宋_GB2312" w:hAnsiTheme="minorEastAsia"/>
          <w:sz w:val="28"/>
          <w:szCs w:val="32"/>
        </w:rPr>
        <w:t>（四）调节经济运行，协调解决经济运行中的重大问题。</w:t>
      </w:r>
    </w:p>
    <w:p w14:paraId="17F082DC">
      <w:pPr>
        <w:ind w:firstLine="280" w:firstLineChars="100"/>
        <w:jc w:val="left"/>
        <w:rPr>
          <w:rFonts w:ascii="仿宋_GB2312" w:eastAsia="仿宋_GB2312" w:hAnsiTheme="minorEastAsia"/>
          <w:sz w:val="28"/>
          <w:szCs w:val="32"/>
        </w:rPr>
      </w:pPr>
      <w:r>
        <w:rPr>
          <w:rFonts w:hint="eastAsia" w:ascii="仿宋_GB2312" w:eastAsia="仿宋_GB2312" w:hAnsiTheme="minorEastAsia"/>
          <w:sz w:val="28"/>
          <w:szCs w:val="32"/>
        </w:rPr>
        <w:t>（五）研究提出和综合协调全县经济体制改革的建议与措施。</w:t>
      </w:r>
    </w:p>
    <w:p w14:paraId="0CC04711">
      <w:pPr>
        <w:ind w:firstLine="280" w:firstLineChars="100"/>
        <w:jc w:val="left"/>
        <w:rPr>
          <w:rFonts w:ascii="仿宋_GB2312" w:eastAsia="仿宋_GB2312" w:hAnsiTheme="minorEastAsia"/>
          <w:sz w:val="28"/>
          <w:szCs w:val="32"/>
        </w:rPr>
      </w:pPr>
      <w:r>
        <w:rPr>
          <w:rFonts w:hint="eastAsia" w:ascii="仿宋_GB2312" w:eastAsia="仿宋_GB2312" w:hAnsiTheme="minorEastAsia"/>
          <w:sz w:val="28"/>
          <w:szCs w:val="32"/>
        </w:rPr>
        <w:t>（六）研究提出全县利用外资和境外投资的战略、规划、总量平衡和结构优化的政策。</w:t>
      </w:r>
    </w:p>
    <w:p w14:paraId="03FFBB8C">
      <w:pPr>
        <w:ind w:firstLine="280" w:firstLineChars="100"/>
        <w:jc w:val="left"/>
        <w:rPr>
          <w:rFonts w:ascii="仿宋_GB2312" w:eastAsia="仿宋_GB2312" w:hAnsiTheme="minorEastAsia"/>
          <w:sz w:val="28"/>
          <w:szCs w:val="32"/>
        </w:rPr>
      </w:pPr>
      <w:r>
        <w:rPr>
          <w:rFonts w:hint="eastAsia" w:ascii="仿宋_GB2312" w:eastAsia="仿宋_GB2312" w:hAnsiTheme="minorEastAsia"/>
          <w:sz w:val="28"/>
          <w:szCs w:val="32"/>
        </w:rPr>
        <w:t>（七）负责投资综合管理，拟定全县全社会固定资产投资总规模和投资结构的调控目标、政策及措施。</w:t>
      </w:r>
    </w:p>
    <w:p w14:paraId="2C72D1FA">
      <w:pPr>
        <w:ind w:firstLine="280" w:firstLineChars="100"/>
        <w:jc w:val="left"/>
        <w:rPr>
          <w:rFonts w:ascii="仿宋_GB2312" w:eastAsia="仿宋_GB2312" w:hAnsiTheme="minorEastAsia"/>
          <w:sz w:val="28"/>
          <w:szCs w:val="32"/>
        </w:rPr>
      </w:pPr>
      <w:r>
        <w:rPr>
          <w:rFonts w:hint="eastAsia" w:ascii="仿宋_GB2312" w:eastAsia="仿宋_GB2312" w:hAnsiTheme="minorEastAsia"/>
          <w:sz w:val="28"/>
          <w:szCs w:val="32"/>
        </w:rPr>
        <w:t>（八）推进落实区域协调发展战略、新型城镇化战略和重大政策，组织拟定相关区域规划和政策。</w:t>
      </w:r>
    </w:p>
    <w:p w14:paraId="75E5288A">
      <w:pPr>
        <w:ind w:firstLine="280" w:firstLineChars="100"/>
        <w:jc w:val="left"/>
        <w:rPr>
          <w:rFonts w:ascii="仿宋_GB2312" w:eastAsia="仿宋_GB2312" w:hAnsiTheme="minorEastAsia"/>
          <w:sz w:val="28"/>
          <w:szCs w:val="32"/>
        </w:rPr>
      </w:pPr>
      <w:r>
        <w:rPr>
          <w:rFonts w:hint="eastAsia" w:ascii="仿宋_GB2312" w:eastAsia="仿宋_GB2312" w:hAnsiTheme="minorEastAsia"/>
          <w:sz w:val="28"/>
          <w:szCs w:val="32"/>
        </w:rPr>
        <w:t>（九）组织拟定综合性产业政策，负责协调第一、二、三产业发展的重大问题并统筹衔接相关发展规划和重大政策；推动实施创新驱动发展战略。</w:t>
      </w:r>
    </w:p>
    <w:p w14:paraId="05B7EAB9">
      <w:pPr>
        <w:ind w:firstLine="280" w:firstLineChars="100"/>
        <w:jc w:val="left"/>
        <w:rPr>
          <w:rFonts w:ascii="仿宋_GB2312" w:eastAsia="仿宋_GB2312" w:hAnsiTheme="minorEastAsia"/>
          <w:sz w:val="28"/>
          <w:szCs w:val="32"/>
        </w:rPr>
      </w:pPr>
      <w:r>
        <w:rPr>
          <w:rFonts w:hint="eastAsia" w:ascii="仿宋_GB2312" w:eastAsia="仿宋_GB2312" w:hAnsiTheme="minorEastAsia"/>
          <w:sz w:val="28"/>
          <w:szCs w:val="32"/>
        </w:rPr>
        <w:t>（十）跟踪研判涉及经济安全、生态安全、资源安全、科技安全、社会安全等各类风险隐患，提出相关工作建议。</w:t>
      </w:r>
    </w:p>
    <w:p w14:paraId="56465259">
      <w:pPr>
        <w:ind w:firstLine="280" w:firstLineChars="100"/>
        <w:jc w:val="left"/>
        <w:rPr>
          <w:rFonts w:ascii="仿宋_GB2312" w:eastAsia="仿宋_GB2312" w:hAnsiTheme="minorEastAsia"/>
          <w:sz w:val="28"/>
          <w:szCs w:val="32"/>
        </w:rPr>
      </w:pPr>
      <w:r>
        <w:rPr>
          <w:rFonts w:hint="eastAsia" w:ascii="仿宋_GB2312" w:eastAsia="仿宋_GB2312" w:hAnsiTheme="minorEastAsia"/>
          <w:sz w:val="28"/>
          <w:szCs w:val="32"/>
        </w:rPr>
        <w:t>（十一）负责社会发展与国民经济发展的政策衔接，组织拟定社会发展战略、总体规划。</w:t>
      </w:r>
    </w:p>
    <w:p w14:paraId="61609F90">
      <w:pPr>
        <w:ind w:firstLine="280" w:firstLineChars="100"/>
        <w:jc w:val="left"/>
        <w:rPr>
          <w:rFonts w:ascii="仿宋_GB2312" w:eastAsia="仿宋_GB2312" w:hAnsiTheme="minorEastAsia"/>
          <w:sz w:val="28"/>
          <w:szCs w:val="32"/>
        </w:rPr>
      </w:pPr>
      <w:r>
        <w:rPr>
          <w:rFonts w:hint="eastAsia" w:ascii="仿宋_GB2312" w:eastAsia="仿宋_GB2312" w:hAnsiTheme="minorEastAsia"/>
          <w:sz w:val="28"/>
          <w:szCs w:val="32"/>
        </w:rPr>
        <w:t>（十二）推进可持续发展战略，推动生态文明建设和改革，协调生态环境保护与修护、能源资源节约和综合利用等工作。</w:t>
      </w:r>
    </w:p>
    <w:p w14:paraId="56C28EBA">
      <w:pPr>
        <w:ind w:firstLine="280" w:firstLineChars="100"/>
        <w:jc w:val="left"/>
        <w:rPr>
          <w:rFonts w:ascii="仿宋_GB2312" w:eastAsia="仿宋_GB2312" w:hAnsiTheme="minorEastAsia"/>
          <w:sz w:val="28"/>
          <w:szCs w:val="32"/>
        </w:rPr>
      </w:pPr>
      <w:r>
        <w:rPr>
          <w:rFonts w:hint="eastAsia" w:ascii="仿宋_GB2312" w:eastAsia="仿宋_GB2312" w:hAnsiTheme="minorEastAsia"/>
          <w:sz w:val="28"/>
          <w:szCs w:val="32"/>
        </w:rPr>
        <w:t>（十三）负责能源规划与社会发展规划的协调衔接。</w:t>
      </w:r>
    </w:p>
    <w:p w14:paraId="74231E2F">
      <w:pPr>
        <w:ind w:firstLine="280" w:firstLineChars="100"/>
        <w:jc w:val="left"/>
        <w:rPr>
          <w:rFonts w:ascii="仿宋_GB2312" w:eastAsia="仿宋_GB2312" w:hAnsiTheme="minorEastAsia"/>
          <w:sz w:val="28"/>
          <w:szCs w:val="32"/>
        </w:rPr>
      </w:pPr>
      <w:r>
        <w:rPr>
          <w:rFonts w:hint="eastAsia" w:ascii="仿宋_GB2312" w:eastAsia="仿宋_GB2312" w:hAnsiTheme="minorEastAsia"/>
          <w:sz w:val="28"/>
          <w:szCs w:val="32"/>
        </w:rPr>
        <w:t>（十四）拟定全县价格改革方案和年度计划，研究提出价格调控目标和政策建议，组织实施价格总水平调控。</w:t>
      </w:r>
    </w:p>
    <w:p w14:paraId="17A2B72C">
      <w:pPr>
        <w:ind w:firstLine="280" w:firstLineChars="100"/>
        <w:jc w:val="left"/>
        <w:rPr>
          <w:rFonts w:ascii="仿宋_GB2312" w:eastAsia="仿宋_GB2312" w:hAnsiTheme="minorEastAsia"/>
          <w:sz w:val="28"/>
          <w:szCs w:val="32"/>
        </w:rPr>
      </w:pPr>
      <w:r>
        <w:rPr>
          <w:rFonts w:hint="eastAsia" w:ascii="仿宋_GB2312" w:eastAsia="仿宋_GB2312" w:hAnsiTheme="minorEastAsia"/>
          <w:sz w:val="28"/>
          <w:szCs w:val="32"/>
        </w:rPr>
        <w:t>（十五）牵头组织监督公共资源交易活动；研究拟定推进社会信用体系建设的法规、规划、政策措施，统筹推动统一的社会信用信息平台建设，协调有关重大问题。</w:t>
      </w:r>
    </w:p>
    <w:p w14:paraId="00BD1B01">
      <w:pPr>
        <w:ind w:firstLine="280" w:firstLineChars="100"/>
        <w:jc w:val="left"/>
        <w:rPr>
          <w:rFonts w:ascii="仿宋_GB2312" w:eastAsia="仿宋_GB2312" w:hAnsiTheme="minorEastAsia"/>
          <w:sz w:val="28"/>
          <w:szCs w:val="32"/>
        </w:rPr>
      </w:pPr>
      <w:r>
        <w:rPr>
          <w:rFonts w:hint="eastAsia" w:ascii="仿宋_GB2312" w:eastAsia="仿宋_GB2312" w:hAnsiTheme="minorEastAsia"/>
          <w:sz w:val="28"/>
          <w:szCs w:val="32"/>
        </w:rPr>
        <w:t>（十六）会同有关部门拟定推进全县经济建设与国防建设协调发展。</w:t>
      </w:r>
    </w:p>
    <w:p w14:paraId="51BFA7D0">
      <w:pPr>
        <w:ind w:firstLine="280" w:firstLineChars="100"/>
        <w:jc w:val="left"/>
        <w:rPr>
          <w:rFonts w:ascii="仿宋_GB2312" w:eastAsia="仿宋_GB2312" w:hAnsiTheme="minorEastAsia"/>
          <w:sz w:val="28"/>
          <w:szCs w:val="32"/>
        </w:rPr>
      </w:pPr>
      <w:r>
        <w:rPr>
          <w:rFonts w:hint="eastAsia" w:ascii="仿宋_GB2312" w:eastAsia="仿宋_GB2312" w:hAnsiTheme="minorEastAsia"/>
          <w:sz w:val="28"/>
          <w:szCs w:val="32"/>
        </w:rPr>
        <w:t>（十七）牵头承担县国防动员委员会、推进“一带一路”建设暨国际产能合作领导小组、县推动长江经济带发展领导小组、县促进中部地区崛起领导小组等有关具体工作。</w:t>
      </w:r>
    </w:p>
    <w:p w14:paraId="5AD5183C">
      <w:pPr>
        <w:ind w:firstLine="280" w:firstLineChars="100"/>
        <w:jc w:val="left"/>
        <w:rPr>
          <w:rFonts w:ascii="仿宋_GB2312" w:eastAsia="仿宋_GB2312" w:hAnsiTheme="minorEastAsia"/>
          <w:sz w:val="28"/>
          <w:szCs w:val="32"/>
        </w:rPr>
      </w:pPr>
      <w:r>
        <w:rPr>
          <w:rFonts w:hint="eastAsia" w:ascii="仿宋_GB2312" w:eastAsia="仿宋_GB2312" w:hAnsiTheme="minorEastAsia"/>
          <w:sz w:val="28"/>
          <w:szCs w:val="32"/>
        </w:rPr>
        <w:t>（十八）负责本行业领域职责范围内的应急管理工作，对本行业领域职责范围内的安全生产工作实施监督管理。</w:t>
      </w:r>
    </w:p>
    <w:p w14:paraId="083DC31A">
      <w:pPr>
        <w:ind w:firstLine="280" w:firstLineChars="100"/>
        <w:jc w:val="left"/>
        <w:rPr>
          <w:rFonts w:ascii="仿宋_GB2312" w:eastAsia="仿宋_GB2312" w:hAnsiTheme="minorEastAsia"/>
          <w:sz w:val="28"/>
          <w:szCs w:val="32"/>
        </w:rPr>
      </w:pPr>
      <w:r>
        <w:rPr>
          <w:rFonts w:hint="eastAsia" w:ascii="仿宋_GB2312" w:eastAsia="仿宋_GB2312" w:hAnsiTheme="minorEastAsia"/>
          <w:sz w:val="28"/>
          <w:szCs w:val="32"/>
        </w:rPr>
        <w:t>（十九）完成县委和县政府交办的其他任务。</w:t>
      </w:r>
    </w:p>
    <w:p w14:paraId="2362037B">
      <w:pPr>
        <w:jc w:val="left"/>
        <w:rPr>
          <w:rFonts w:ascii="仿宋_GB2312" w:eastAsia="仿宋_GB2312" w:hAnsiTheme="minorEastAsia"/>
          <w:sz w:val="28"/>
          <w:szCs w:val="32"/>
        </w:rPr>
      </w:pPr>
    </w:p>
    <w:p w14:paraId="5AEB304F">
      <w:pPr>
        <w:pStyle w:val="2"/>
        <w:rPr>
          <w:rFonts w:hint="default"/>
        </w:rPr>
      </w:pPr>
    </w:p>
    <w:p w14:paraId="0C9437D4">
      <w:pPr>
        <w:widowControl/>
        <w:spacing w:line="600" w:lineRule="exact"/>
        <w:rPr>
          <w:rFonts w:ascii="黑体" w:hAnsi="黑体" w:eastAsia="黑体"/>
          <w:b/>
          <w:kern w:val="0"/>
          <w:sz w:val="32"/>
          <w:szCs w:val="32"/>
        </w:rPr>
      </w:pPr>
      <w:r>
        <w:rPr>
          <w:rFonts w:hint="eastAsia" w:ascii="黑体" w:hAnsi="黑体" w:eastAsia="黑体"/>
          <w:b/>
          <w:kern w:val="0"/>
          <w:sz w:val="32"/>
          <w:szCs w:val="32"/>
        </w:rPr>
        <w:t>二、机构设置及决算单位构成</w:t>
      </w:r>
    </w:p>
    <w:p w14:paraId="329BBFDE">
      <w:pPr>
        <w:ind w:firstLine="281" w:firstLineChars="100"/>
        <w:jc w:val="left"/>
        <w:rPr>
          <w:rFonts w:ascii="仿宋_GB2312" w:eastAsia="仿宋_GB2312" w:hAnsiTheme="minorEastAsia"/>
          <w:b/>
          <w:bCs/>
          <w:sz w:val="28"/>
          <w:szCs w:val="32"/>
        </w:rPr>
      </w:pPr>
      <w:r>
        <w:rPr>
          <w:rFonts w:hint="eastAsia" w:ascii="仿宋_GB2312" w:eastAsia="仿宋_GB2312" w:hAnsiTheme="minorEastAsia"/>
          <w:b/>
          <w:bCs/>
          <w:sz w:val="28"/>
          <w:szCs w:val="32"/>
        </w:rPr>
        <w:t>（一）内设机构设置</w:t>
      </w:r>
    </w:p>
    <w:p w14:paraId="508119F2">
      <w:pPr>
        <w:widowControl/>
        <w:spacing w:line="600" w:lineRule="exact"/>
        <w:ind w:firstLine="640" w:firstLineChars="200"/>
      </w:pPr>
      <w:r>
        <w:rPr>
          <w:rFonts w:hint="eastAsia" w:asciiTheme="minorEastAsia" w:hAnsiTheme="minorEastAsia"/>
          <w:bCs/>
          <w:kern w:val="0"/>
          <w:sz w:val="32"/>
          <w:szCs w:val="32"/>
        </w:rPr>
        <w:t>衡南县发展和改革局下设办公室（行政审批服务股）、固定资产投资股（国民经济综合和法规股）、农村经济股、工交能源和环保资源股（县“两型”社会建设办公室）、服务业股（财政金融和信用建设股）、社会发展股、价格调控管理股共七个股室。同时，下设县重点项目建设事务中心、价格认证中心、成本调查队三个非独立核算二级机构。</w:t>
      </w:r>
    </w:p>
    <w:p w14:paraId="5B1CE178">
      <w:pPr>
        <w:ind w:firstLine="281" w:firstLineChars="100"/>
        <w:jc w:val="left"/>
        <w:rPr>
          <w:rFonts w:ascii="仿宋_GB2312" w:eastAsia="仿宋_GB2312" w:hAnsiTheme="minorEastAsia"/>
          <w:b/>
          <w:bCs/>
          <w:sz w:val="28"/>
          <w:szCs w:val="32"/>
        </w:rPr>
      </w:pPr>
      <w:r>
        <w:rPr>
          <w:rFonts w:hint="eastAsia" w:ascii="仿宋_GB2312" w:eastAsia="仿宋_GB2312" w:hAnsiTheme="minorEastAsia"/>
          <w:b/>
          <w:bCs/>
          <w:sz w:val="28"/>
          <w:szCs w:val="32"/>
        </w:rPr>
        <w:t>（二）决算单位构成</w:t>
      </w:r>
    </w:p>
    <w:p w14:paraId="0A3B79BB">
      <w:pPr>
        <w:widowControl/>
        <w:spacing w:line="600" w:lineRule="exact"/>
        <w:ind w:firstLine="640" w:firstLineChars="200"/>
        <w:rPr>
          <w:rFonts w:asciiTheme="minorEastAsia" w:hAnsiTheme="minorEastAsia"/>
          <w:bCs/>
          <w:kern w:val="0"/>
          <w:sz w:val="32"/>
          <w:szCs w:val="32"/>
        </w:rPr>
      </w:pPr>
      <w:r>
        <w:rPr>
          <w:rFonts w:hint="eastAsia" w:asciiTheme="minorEastAsia" w:hAnsiTheme="minorEastAsia"/>
          <w:bCs/>
          <w:kern w:val="0"/>
          <w:sz w:val="32"/>
          <w:szCs w:val="32"/>
        </w:rPr>
        <w:t>衡南县发展和改革局</w:t>
      </w:r>
      <w:r>
        <w:rPr>
          <w:rFonts w:asciiTheme="minorEastAsia" w:hAnsiTheme="minorEastAsia"/>
          <w:bCs/>
          <w:kern w:val="0"/>
          <w:sz w:val="32"/>
          <w:szCs w:val="32"/>
        </w:rPr>
        <w:t>2019</w:t>
      </w:r>
      <w:r>
        <w:rPr>
          <w:rFonts w:hint="eastAsia" w:asciiTheme="minorEastAsia" w:hAnsiTheme="minorEastAsia"/>
          <w:bCs/>
          <w:kern w:val="0"/>
          <w:sz w:val="32"/>
          <w:szCs w:val="32"/>
        </w:rPr>
        <w:t>年部门决算汇总公开单位构成包括：衡南县发展和改革局本级以及衡南县重点项目建设事务中心、价格认证中心、成本调查队三个非独立核算二级机构。</w:t>
      </w:r>
    </w:p>
    <w:p w14:paraId="7876599B">
      <w:pPr>
        <w:jc w:val="left"/>
        <w:rPr>
          <w:rFonts w:ascii="仿宋_GB2312" w:eastAsia="仿宋_GB2312" w:hAnsiTheme="minorEastAsia"/>
          <w:sz w:val="28"/>
          <w:szCs w:val="32"/>
        </w:rPr>
      </w:pPr>
    </w:p>
    <w:p w14:paraId="7A4E9C17">
      <w:pPr>
        <w:jc w:val="center"/>
        <w:rPr>
          <w:rFonts w:ascii="黑体" w:hAnsi="黑体" w:eastAsia="黑体"/>
          <w:sz w:val="28"/>
          <w:szCs w:val="28"/>
        </w:rPr>
      </w:pPr>
    </w:p>
    <w:p w14:paraId="1284E72B">
      <w:pPr>
        <w:jc w:val="center"/>
        <w:rPr>
          <w:rFonts w:ascii="黑体" w:hAnsi="黑体" w:eastAsia="黑体"/>
          <w:sz w:val="28"/>
          <w:szCs w:val="28"/>
        </w:rPr>
      </w:pPr>
    </w:p>
    <w:p w14:paraId="6F78FD75">
      <w:pPr>
        <w:jc w:val="center"/>
        <w:rPr>
          <w:rFonts w:ascii="黑体" w:hAnsi="黑体" w:eastAsia="黑体"/>
          <w:sz w:val="28"/>
          <w:szCs w:val="28"/>
        </w:rPr>
      </w:pPr>
    </w:p>
    <w:p w14:paraId="02BA0ACB">
      <w:pPr>
        <w:jc w:val="center"/>
        <w:rPr>
          <w:rFonts w:ascii="黑体" w:hAnsi="黑体" w:eastAsia="黑体"/>
          <w:sz w:val="28"/>
          <w:szCs w:val="28"/>
        </w:rPr>
      </w:pPr>
    </w:p>
    <w:p w14:paraId="01EF907E">
      <w:pPr>
        <w:jc w:val="center"/>
        <w:rPr>
          <w:rFonts w:ascii="黑体" w:hAnsi="黑体" w:eastAsia="黑体"/>
          <w:sz w:val="28"/>
          <w:szCs w:val="28"/>
        </w:rPr>
      </w:pPr>
    </w:p>
    <w:p w14:paraId="7730CCE2">
      <w:pPr>
        <w:jc w:val="center"/>
        <w:rPr>
          <w:rFonts w:ascii="黑体" w:hAnsi="黑体" w:eastAsia="黑体"/>
          <w:sz w:val="28"/>
          <w:szCs w:val="28"/>
        </w:rPr>
      </w:pPr>
    </w:p>
    <w:p w14:paraId="27DEBDFF">
      <w:pPr>
        <w:jc w:val="center"/>
        <w:rPr>
          <w:rFonts w:ascii="黑体" w:hAnsi="黑体" w:eastAsia="黑体"/>
          <w:sz w:val="28"/>
          <w:szCs w:val="28"/>
        </w:rPr>
      </w:pPr>
    </w:p>
    <w:p w14:paraId="368A8BC4">
      <w:pPr>
        <w:jc w:val="center"/>
        <w:rPr>
          <w:rFonts w:ascii="黑体" w:hAnsi="黑体" w:eastAsia="黑体"/>
          <w:sz w:val="28"/>
          <w:szCs w:val="28"/>
        </w:rPr>
      </w:pPr>
    </w:p>
    <w:p w14:paraId="0DA0ED30">
      <w:pPr>
        <w:jc w:val="center"/>
        <w:rPr>
          <w:rFonts w:ascii="黑体" w:hAnsi="黑体" w:eastAsia="黑体"/>
          <w:sz w:val="28"/>
          <w:szCs w:val="28"/>
        </w:rPr>
      </w:pPr>
    </w:p>
    <w:p w14:paraId="793D6E32">
      <w:pPr>
        <w:jc w:val="center"/>
        <w:rPr>
          <w:rFonts w:ascii="黑体" w:hAnsi="黑体" w:eastAsia="黑体"/>
          <w:sz w:val="28"/>
          <w:szCs w:val="28"/>
        </w:rPr>
      </w:pPr>
    </w:p>
    <w:p w14:paraId="35B70C31">
      <w:pPr>
        <w:jc w:val="center"/>
        <w:rPr>
          <w:rFonts w:ascii="黑体" w:hAnsi="黑体" w:eastAsia="黑体"/>
          <w:sz w:val="28"/>
          <w:szCs w:val="28"/>
        </w:rPr>
      </w:pPr>
    </w:p>
    <w:p w14:paraId="76A144F4">
      <w:pPr>
        <w:rPr>
          <w:sz w:val="72"/>
          <w:szCs w:val="72"/>
        </w:rPr>
      </w:pPr>
    </w:p>
    <w:p w14:paraId="4C4A2C90">
      <w:pPr>
        <w:jc w:val="center"/>
        <w:rPr>
          <w:sz w:val="72"/>
          <w:szCs w:val="72"/>
        </w:rPr>
      </w:pPr>
    </w:p>
    <w:p w14:paraId="6D8ED62A">
      <w:pPr>
        <w:jc w:val="center"/>
        <w:rPr>
          <w:rFonts w:ascii="黑体" w:hAnsi="黑体" w:eastAsia="黑体"/>
          <w:sz w:val="84"/>
          <w:szCs w:val="84"/>
        </w:rPr>
      </w:pPr>
      <w:r>
        <w:rPr>
          <w:rFonts w:hint="eastAsia" w:ascii="黑体" w:hAnsi="黑体" w:eastAsia="黑体"/>
          <w:sz w:val="84"/>
          <w:szCs w:val="84"/>
        </w:rPr>
        <w:t>第二部分</w:t>
      </w:r>
    </w:p>
    <w:p w14:paraId="75A65B7C">
      <w:pPr>
        <w:jc w:val="center"/>
        <w:rPr>
          <w:rFonts w:ascii="黑体" w:hAnsi="黑体" w:eastAsia="黑体"/>
          <w:sz w:val="84"/>
          <w:szCs w:val="84"/>
        </w:rPr>
      </w:pPr>
    </w:p>
    <w:p w14:paraId="69F4FA70">
      <w:pPr>
        <w:jc w:val="center"/>
        <w:rPr>
          <w:rFonts w:ascii="黑体" w:hAnsi="黑体" w:eastAsia="黑体"/>
          <w:sz w:val="84"/>
          <w:szCs w:val="84"/>
        </w:rPr>
      </w:pPr>
      <w:r>
        <w:rPr>
          <w:rFonts w:hint="eastAsia" w:ascii="黑体" w:hAnsi="黑体" w:eastAsia="黑体"/>
          <w:sz w:val="84"/>
          <w:szCs w:val="84"/>
        </w:rPr>
        <w:t>部门决算表</w:t>
      </w:r>
    </w:p>
    <w:p w14:paraId="6F33C1F6">
      <w:pPr>
        <w:pStyle w:val="2"/>
        <w:rPr>
          <w:rFonts w:hint="default"/>
        </w:rPr>
        <w:sectPr>
          <w:pgSz w:w="11906" w:h="16838"/>
          <w:pgMar w:top="1440" w:right="1803" w:bottom="1440" w:left="1803" w:header="851" w:footer="992" w:gutter="0"/>
          <w:cols w:space="0" w:num="1"/>
          <w:docGrid w:type="lines" w:linePitch="317" w:charSpace="0"/>
        </w:sectPr>
      </w:pPr>
    </w:p>
    <w:p w14:paraId="37D34DF3">
      <w:pPr>
        <w:pStyle w:val="10"/>
        <w:jc w:val="center"/>
        <w:rPr>
          <w:sz w:val="72"/>
          <w:szCs w:val="72"/>
        </w:rPr>
      </w:pPr>
    </w:p>
    <w:p w14:paraId="48E13339">
      <w:pPr>
        <w:pStyle w:val="10"/>
        <w:jc w:val="center"/>
        <w:rPr>
          <w:sz w:val="72"/>
          <w:szCs w:val="72"/>
        </w:rPr>
      </w:pPr>
    </w:p>
    <w:p w14:paraId="4343B527">
      <w:pPr>
        <w:pStyle w:val="10"/>
        <w:jc w:val="center"/>
        <w:rPr>
          <w:sz w:val="72"/>
          <w:szCs w:val="72"/>
        </w:rPr>
      </w:pPr>
    </w:p>
    <w:p w14:paraId="50936043">
      <w:pPr>
        <w:pStyle w:val="10"/>
        <w:jc w:val="center"/>
        <w:rPr>
          <w:sz w:val="72"/>
          <w:szCs w:val="72"/>
        </w:rPr>
      </w:pPr>
    </w:p>
    <w:p w14:paraId="60A5BE5D">
      <w:pPr>
        <w:pStyle w:val="10"/>
        <w:jc w:val="center"/>
        <w:rPr>
          <w:sz w:val="72"/>
          <w:szCs w:val="72"/>
        </w:rPr>
      </w:pPr>
      <w:r>
        <w:rPr>
          <w:rFonts w:hint="eastAsia"/>
          <w:sz w:val="72"/>
          <w:szCs w:val="72"/>
        </w:rPr>
        <w:t>第三部分</w:t>
      </w:r>
    </w:p>
    <w:p w14:paraId="463F1D69">
      <w:pPr>
        <w:pStyle w:val="10"/>
        <w:jc w:val="center"/>
        <w:rPr>
          <w:sz w:val="70"/>
          <w:szCs w:val="70"/>
        </w:rPr>
      </w:pPr>
    </w:p>
    <w:p w14:paraId="60C22577">
      <w:pPr>
        <w:pStyle w:val="10"/>
        <w:jc w:val="center"/>
        <w:rPr>
          <w:sz w:val="84"/>
          <w:szCs w:val="84"/>
        </w:rPr>
      </w:pPr>
      <w:r>
        <w:rPr>
          <w:rFonts w:hint="eastAsia"/>
          <w:sz w:val="84"/>
          <w:szCs w:val="84"/>
        </w:rPr>
        <w:t>2019年度部门决算</w:t>
      </w:r>
    </w:p>
    <w:p w14:paraId="509D26A9">
      <w:pPr>
        <w:pStyle w:val="10"/>
        <w:jc w:val="center"/>
        <w:rPr>
          <w:sz w:val="84"/>
          <w:szCs w:val="84"/>
        </w:rPr>
      </w:pPr>
      <w:r>
        <w:rPr>
          <w:rFonts w:hint="eastAsia"/>
          <w:sz w:val="84"/>
          <w:szCs w:val="84"/>
        </w:rPr>
        <w:t>情况说明</w:t>
      </w:r>
    </w:p>
    <w:p w14:paraId="3DC100C5">
      <w:pPr>
        <w:widowControl/>
        <w:jc w:val="left"/>
        <w:rPr>
          <w:rFonts w:ascii="黑体" w:eastAsia="黑体" w:cs="黑体"/>
          <w:color w:val="000000"/>
          <w:kern w:val="0"/>
          <w:sz w:val="70"/>
          <w:szCs w:val="70"/>
        </w:rPr>
      </w:pPr>
      <w:r>
        <w:rPr>
          <w:sz w:val="70"/>
          <w:szCs w:val="70"/>
        </w:rPr>
        <w:br w:type="page"/>
      </w:r>
    </w:p>
    <w:p w14:paraId="01E921C9">
      <w:pPr>
        <w:pStyle w:val="10"/>
        <w:rPr>
          <w:rFonts w:asciiTheme="minorEastAsia" w:hAnsiTheme="minorEastAsia" w:eastAsiaTheme="minorEastAsia"/>
          <w:sz w:val="32"/>
          <w:szCs w:val="32"/>
        </w:rPr>
      </w:pPr>
    </w:p>
    <w:p w14:paraId="7FD3A9B2">
      <w:pPr>
        <w:pStyle w:val="10"/>
        <w:rPr>
          <w:rFonts w:hAnsi="黑体"/>
          <w:b/>
          <w:sz w:val="32"/>
          <w:szCs w:val="32"/>
        </w:rPr>
      </w:pPr>
      <w:r>
        <w:rPr>
          <w:rFonts w:hint="eastAsia" w:hAnsi="黑体"/>
          <w:b/>
          <w:sz w:val="32"/>
          <w:szCs w:val="32"/>
        </w:rPr>
        <w:t>一、收入支出决算总体情况说明</w:t>
      </w:r>
    </w:p>
    <w:p w14:paraId="72A94273">
      <w:pPr>
        <w:widowControl/>
        <w:spacing w:line="600" w:lineRule="exact"/>
        <w:ind w:firstLine="640" w:firstLineChars="200"/>
        <w:rPr>
          <w:rFonts w:asciiTheme="minorEastAsia" w:hAnsiTheme="minorEastAsia"/>
          <w:bCs/>
          <w:kern w:val="0"/>
          <w:sz w:val="32"/>
          <w:szCs w:val="32"/>
        </w:rPr>
      </w:pPr>
      <w:r>
        <w:rPr>
          <w:rFonts w:hint="eastAsia" w:asciiTheme="minorEastAsia" w:hAnsiTheme="minorEastAsia"/>
          <w:bCs/>
          <w:kern w:val="0"/>
          <w:sz w:val="32"/>
          <w:szCs w:val="32"/>
        </w:rPr>
        <w:t>2019年度收入总计1046.13万元，较2018年增加23.42万元，增长2.29%，主要是上年未拨入的财政拨款预算收入在本年拨入时确认收入所致。2019年度支出总计903.50万元，较2018年减少118.41万元，减少11.59%，主要是本年结转结余资金年底尚未拨回，部分支出尚未支付未计入本年支出。</w:t>
      </w:r>
    </w:p>
    <w:p w14:paraId="4C0A6F4D">
      <w:pPr>
        <w:pStyle w:val="10"/>
        <w:rPr>
          <w:rFonts w:hAnsi="黑体"/>
          <w:b/>
          <w:sz w:val="32"/>
          <w:szCs w:val="32"/>
        </w:rPr>
      </w:pPr>
      <w:r>
        <w:rPr>
          <w:rFonts w:hint="eastAsia" w:hAnsi="黑体"/>
          <w:b/>
          <w:sz w:val="32"/>
          <w:szCs w:val="32"/>
        </w:rPr>
        <w:t>二、收入决算情况说明</w:t>
      </w:r>
    </w:p>
    <w:p w14:paraId="73C08A7C">
      <w:pPr>
        <w:widowControl/>
        <w:spacing w:line="600" w:lineRule="exact"/>
        <w:ind w:firstLine="640" w:firstLineChars="200"/>
        <w:rPr>
          <w:rFonts w:asciiTheme="minorEastAsia" w:hAnsiTheme="minorEastAsia"/>
          <w:bCs/>
          <w:kern w:val="0"/>
          <w:sz w:val="32"/>
          <w:szCs w:val="32"/>
        </w:rPr>
      </w:pPr>
      <w:r>
        <w:rPr>
          <w:rFonts w:hint="eastAsia" w:asciiTheme="minorEastAsia" w:hAnsiTheme="minorEastAsia"/>
          <w:bCs/>
          <w:kern w:val="0"/>
          <w:sz w:val="32"/>
          <w:szCs w:val="32"/>
        </w:rPr>
        <w:t>本年收入合计1046.13万元，其中：财政拨款收入1045.33万元，占99.92%；上年结转0.8万元，占0.08%。</w:t>
      </w:r>
    </w:p>
    <w:p w14:paraId="7F2CFBF7">
      <w:pPr>
        <w:pStyle w:val="10"/>
        <w:rPr>
          <w:rFonts w:hAnsi="黑体"/>
          <w:b/>
          <w:sz w:val="32"/>
          <w:szCs w:val="32"/>
        </w:rPr>
      </w:pPr>
      <w:r>
        <w:rPr>
          <w:rFonts w:hint="eastAsia" w:hAnsi="黑体"/>
          <w:b/>
          <w:sz w:val="32"/>
          <w:szCs w:val="32"/>
        </w:rPr>
        <w:t>三、支出决算情况说明</w:t>
      </w:r>
    </w:p>
    <w:p w14:paraId="6D61BF53">
      <w:pPr>
        <w:widowControl/>
        <w:spacing w:line="600" w:lineRule="exact"/>
        <w:ind w:firstLine="640" w:firstLineChars="200"/>
        <w:rPr>
          <w:rFonts w:asciiTheme="minorEastAsia" w:hAnsiTheme="minorEastAsia"/>
          <w:bCs/>
          <w:kern w:val="0"/>
          <w:sz w:val="32"/>
          <w:szCs w:val="32"/>
        </w:rPr>
      </w:pPr>
      <w:r>
        <w:rPr>
          <w:rFonts w:hint="eastAsia" w:asciiTheme="minorEastAsia" w:hAnsiTheme="minorEastAsia"/>
          <w:bCs/>
          <w:kern w:val="0"/>
          <w:sz w:val="32"/>
          <w:szCs w:val="32"/>
        </w:rPr>
        <w:t>本年支出合计903.50万元，其中：基本支出801.75万元，占88.74%；项目支出101.75万元，占11.26%；上缴上级支出0万元，占0%；经营支出0万元，占0%；对附属单位补助支出0万元，占0%。</w:t>
      </w:r>
    </w:p>
    <w:p w14:paraId="1C89FC20">
      <w:pPr>
        <w:pStyle w:val="10"/>
        <w:rPr>
          <w:rFonts w:hAnsi="黑体"/>
          <w:b/>
          <w:sz w:val="32"/>
          <w:szCs w:val="32"/>
        </w:rPr>
      </w:pPr>
      <w:r>
        <w:rPr>
          <w:rFonts w:hint="eastAsia" w:hAnsi="黑体"/>
          <w:b/>
          <w:sz w:val="32"/>
          <w:szCs w:val="32"/>
        </w:rPr>
        <w:t>四、财政拨款收入支出决算总体情况说明</w:t>
      </w:r>
    </w:p>
    <w:p w14:paraId="49C1E529">
      <w:pPr>
        <w:pStyle w:val="10"/>
        <w:rPr>
          <w:rFonts w:asciiTheme="minorEastAsia" w:hAnsiTheme="minorEastAsia" w:eastAsiaTheme="minorEastAsia" w:cstheme="minorBidi"/>
          <w:bCs/>
          <w:color w:val="auto"/>
          <w:sz w:val="32"/>
          <w:szCs w:val="32"/>
        </w:rPr>
      </w:pPr>
      <w:r>
        <w:rPr>
          <w:rFonts w:hint="eastAsia" w:asciiTheme="minorEastAsia" w:hAnsiTheme="minorEastAsia" w:eastAsiaTheme="minorEastAsia"/>
          <w:sz w:val="32"/>
          <w:szCs w:val="32"/>
        </w:rPr>
        <w:t xml:space="preserve">   </w:t>
      </w:r>
      <w:r>
        <w:rPr>
          <w:rFonts w:hint="eastAsia" w:asciiTheme="minorEastAsia" w:hAnsiTheme="minorEastAsia" w:eastAsiaTheme="minorEastAsia" w:cstheme="minorBidi"/>
          <w:bCs/>
          <w:color w:val="auto"/>
          <w:sz w:val="32"/>
          <w:szCs w:val="32"/>
        </w:rPr>
        <w:t xml:space="preserve"> 2019年度财政拨款收入总计1045.33万元，与2018年相比，增加149.77万元，增长16.72%，主要是上年未拨入的财政拨款预算收入在本年拨入时确认收入所致。2019年度财政拨款支出总计903.50万元，与2018年相比，增加7.94万元，增长0.89%，主要是对个人和家庭的补助支出有所增加。</w:t>
      </w:r>
    </w:p>
    <w:p w14:paraId="4A856C84">
      <w:pPr>
        <w:pStyle w:val="10"/>
        <w:rPr>
          <w:rFonts w:hAnsi="黑体"/>
          <w:b/>
          <w:sz w:val="32"/>
          <w:szCs w:val="32"/>
        </w:rPr>
      </w:pPr>
      <w:r>
        <w:rPr>
          <w:rFonts w:hint="eastAsia" w:hAnsi="黑体"/>
          <w:b/>
          <w:sz w:val="32"/>
          <w:szCs w:val="32"/>
        </w:rPr>
        <w:t>五、一般公共预算财政拨款支出决算情况说明</w:t>
      </w:r>
    </w:p>
    <w:p w14:paraId="70AE7DEE">
      <w:pPr>
        <w:ind w:firstLine="281" w:firstLineChars="100"/>
        <w:jc w:val="left"/>
        <w:rPr>
          <w:rFonts w:ascii="仿宋_GB2312" w:eastAsia="仿宋_GB2312" w:hAnsiTheme="minorEastAsia"/>
          <w:b/>
          <w:bCs/>
          <w:sz w:val="28"/>
          <w:szCs w:val="32"/>
        </w:rPr>
      </w:pPr>
      <w:r>
        <w:rPr>
          <w:rFonts w:hint="eastAsia" w:ascii="仿宋_GB2312" w:eastAsia="仿宋_GB2312" w:hAnsiTheme="minorEastAsia"/>
          <w:b/>
          <w:bCs/>
          <w:sz w:val="28"/>
          <w:szCs w:val="32"/>
        </w:rPr>
        <w:t>（一）财政拨款支出决算总体情况</w:t>
      </w:r>
    </w:p>
    <w:p w14:paraId="64B59F28">
      <w:pPr>
        <w:widowControl/>
        <w:spacing w:line="600" w:lineRule="exact"/>
        <w:ind w:firstLine="640" w:firstLineChars="200"/>
        <w:rPr>
          <w:rFonts w:asciiTheme="minorEastAsia" w:hAnsiTheme="minorEastAsia"/>
          <w:bCs/>
          <w:kern w:val="0"/>
          <w:sz w:val="32"/>
          <w:szCs w:val="32"/>
        </w:rPr>
      </w:pPr>
      <w:r>
        <w:rPr>
          <w:rFonts w:hint="eastAsia" w:asciiTheme="minorEastAsia" w:hAnsiTheme="minorEastAsia"/>
          <w:bCs/>
          <w:kern w:val="0"/>
          <w:sz w:val="32"/>
          <w:szCs w:val="32"/>
        </w:rPr>
        <w:t>2019年度财政拨款支出903.50万元，占本年支出合计的100%，与2018年相比，财政拨款支出增加7.94万元，增长0.89%，主要是因为对个人和家庭的补助支出有所增加。</w:t>
      </w:r>
    </w:p>
    <w:p w14:paraId="7B9E29F8">
      <w:pPr>
        <w:ind w:firstLine="281" w:firstLineChars="100"/>
        <w:jc w:val="left"/>
        <w:rPr>
          <w:rFonts w:ascii="仿宋_GB2312" w:eastAsia="仿宋_GB2312" w:hAnsiTheme="minorEastAsia"/>
          <w:b/>
          <w:bCs/>
          <w:sz w:val="28"/>
          <w:szCs w:val="32"/>
        </w:rPr>
      </w:pPr>
      <w:r>
        <w:rPr>
          <w:rFonts w:hint="eastAsia" w:ascii="仿宋_GB2312" w:eastAsia="仿宋_GB2312" w:hAnsiTheme="minorEastAsia"/>
          <w:b/>
          <w:bCs/>
          <w:sz w:val="28"/>
          <w:szCs w:val="32"/>
        </w:rPr>
        <w:t>（二）财政拨款支出决算结构情况</w:t>
      </w:r>
    </w:p>
    <w:p w14:paraId="7B130753">
      <w:pPr>
        <w:widowControl/>
        <w:spacing w:line="600" w:lineRule="exact"/>
        <w:ind w:firstLine="640" w:firstLineChars="200"/>
        <w:rPr>
          <w:rFonts w:asciiTheme="minorEastAsia" w:hAnsiTheme="minorEastAsia"/>
          <w:bCs/>
          <w:kern w:val="0"/>
          <w:sz w:val="32"/>
          <w:szCs w:val="32"/>
        </w:rPr>
      </w:pPr>
      <w:r>
        <w:rPr>
          <w:rFonts w:hint="eastAsia" w:asciiTheme="minorEastAsia" w:hAnsiTheme="minorEastAsia"/>
          <w:bCs/>
          <w:kern w:val="0"/>
          <w:sz w:val="32"/>
          <w:szCs w:val="32"/>
        </w:rPr>
        <w:t>2019年度财政拨款支出903.5万元，主要用于以下方面：一般公共服务支出741.36万元，占82.05%；文化旅游体育与传媒支出2.29万元，占0.25%；社会保障和就业支出72.25万元，占8.0%；卫生健康支出25.87万元，占2.86%；城乡社区支出20万元，占2.21%；资源勘探信息等支出18万元，占1.99%；住房保障支出23.73万元，占2.64%；</w:t>
      </w:r>
    </w:p>
    <w:p w14:paraId="6E76DEBA">
      <w:pPr>
        <w:ind w:firstLine="281" w:firstLineChars="100"/>
        <w:jc w:val="left"/>
        <w:rPr>
          <w:rFonts w:ascii="仿宋_GB2312" w:eastAsia="仿宋_GB2312" w:hAnsiTheme="minorEastAsia"/>
          <w:b/>
          <w:bCs/>
          <w:sz w:val="28"/>
          <w:szCs w:val="32"/>
        </w:rPr>
      </w:pPr>
      <w:r>
        <w:rPr>
          <w:rFonts w:hint="eastAsia" w:ascii="仿宋_GB2312" w:eastAsia="仿宋_GB2312" w:hAnsiTheme="minorEastAsia"/>
          <w:b/>
          <w:bCs/>
          <w:sz w:val="28"/>
          <w:szCs w:val="32"/>
        </w:rPr>
        <w:t>（三）财政拨款支出决算具体情况</w:t>
      </w:r>
    </w:p>
    <w:p w14:paraId="6D07922A">
      <w:pPr>
        <w:widowControl/>
        <w:spacing w:line="600" w:lineRule="exact"/>
        <w:ind w:firstLine="640" w:firstLineChars="200"/>
        <w:rPr>
          <w:rFonts w:asciiTheme="minorEastAsia" w:hAnsiTheme="minorEastAsia"/>
          <w:bCs/>
          <w:kern w:val="0"/>
          <w:sz w:val="32"/>
          <w:szCs w:val="32"/>
        </w:rPr>
      </w:pPr>
      <w:r>
        <w:rPr>
          <w:rFonts w:hint="eastAsia" w:asciiTheme="minorEastAsia" w:hAnsiTheme="minorEastAsia"/>
          <w:bCs/>
          <w:kern w:val="0"/>
          <w:sz w:val="32"/>
          <w:szCs w:val="32"/>
        </w:rPr>
        <w:t>2019年度财政拨款支出年初预算数为636.72万元，支出决算数为903.50万元，完成年初预算的141.90%，其中：</w:t>
      </w:r>
    </w:p>
    <w:p w14:paraId="14ED9548">
      <w:pPr>
        <w:widowControl/>
        <w:spacing w:line="600" w:lineRule="exact"/>
        <w:ind w:firstLine="640" w:firstLineChars="200"/>
        <w:rPr>
          <w:rFonts w:asciiTheme="minorEastAsia" w:hAnsiTheme="minorEastAsia"/>
          <w:bCs/>
          <w:kern w:val="0"/>
          <w:sz w:val="32"/>
          <w:szCs w:val="32"/>
        </w:rPr>
      </w:pPr>
      <w:r>
        <w:rPr>
          <w:rFonts w:hint="eastAsia" w:asciiTheme="minorEastAsia" w:hAnsiTheme="minorEastAsia"/>
          <w:bCs/>
          <w:kern w:val="0"/>
          <w:sz w:val="32"/>
          <w:szCs w:val="32"/>
        </w:rPr>
        <w:t>1、一般公共服务（类）发展与改革事务（款）行政运行（项）。</w:t>
      </w:r>
    </w:p>
    <w:p w14:paraId="51F12FFD">
      <w:pPr>
        <w:widowControl/>
        <w:spacing w:line="600" w:lineRule="exact"/>
        <w:ind w:firstLine="640" w:firstLineChars="200"/>
        <w:rPr>
          <w:rFonts w:asciiTheme="minorEastAsia" w:hAnsiTheme="minorEastAsia"/>
          <w:bCs/>
          <w:kern w:val="0"/>
          <w:sz w:val="32"/>
          <w:szCs w:val="32"/>
        </w:rPr>
      </w:pPr>
      <w:r>
        <w:rPr>
          <w:rFonts w:hint="eastAsia" w:asciiTheme="minorEastAsia" w:hAnsiTheme="minorEastAsia"/>
          <w:bCs/>
          <w:kern w:val="0"/>
          <w:sz w:val="32"/>
          <w:szCs w:val="32"/>
        </w:rPr>
        <w:t>年初预算为378.75万元，支出决算为470.91万元，完成年初预算的124.33%，决算数大于年初预算数的主要原因是：非全额编制人员部分基本工资、津补贴以及部分绩效考核奖、综治奖、文明创建奖等未纳入年初预算。</w:t>
      </w:r>
    </w:p>
    <w:p w14:paraId="1C544CBE">
      <w:pPr>
        <w:widowControl/>
        <w:spacing w:line="600" w:lineRule="exact"/>
        <w:ind w:firstLine="640" w:firstLineChars="200"/>
        <w:rPr>
          <w:rFonts w:asciiTheme="minorEastAsia" w:hAnsiTheme="minorEastAsia"/>
          <w:bCs/>
          <w:kern w:val="0"/>
          <w:sz w:val="32"/>
          <w:szCs w:val="32"/>
        </w:rPr>
      </w:pPr>
      <w:r>
        <w:rPr>
          <w:rFonts w:hint="eastAsia" w:asciiTheme="minorEastAsia" w:hAnsiTheme="minorEastAsia"/>
          <w:bCs/>
          <w:kern w:val="0"/>
          <w:sz w:val="32"/>
          <w:szCs w:val="32"/>
        </w:rPr>
        <w:t>2、一般公共服务（类）发展与改革事务（款）一般行政管理事务（项）。</w:t>
      </w:r>
    </w:p>
    <w:p w14:paraId="1167809C">
      <w:pPr>
        <w:widowControl/>
        <w:spacing w:line="600" w:lineRule="exact"/>
        <w:ind w:firstLine="640" w:firstLineChars="200"/>
        <w:rPr>
          <w:rFonts w:asciiTheme="minorEastAsia" w:hAnsiTheme="minorEastAsia"/>
          <w:bCs/>
          <w:kern w:val="0"/>
          <w:sz w:val="32"/>
          <w:szCs w:val="32"/>
        </w:rPr>
      </w:pPr>
      <w:r>
        <w:rPr>
          <w:rFonts w:hint="eastAsia" w:asciiTheme="minorEastAsia" w:hAnsiTheme="minorEastAsia"/>
          <w:bCs/>
          <w:kern w:val="0"/>
          <w:sz w:val="32"/>
          <w:szCs w:val="32"/>
        </w:rPr>
        <w:t>年初预算为41.40万元，支出决算为41.40万元，完成年初预算的100%。</w:t>
      </w:r>
    </w:p>
    <w:p w14:paraId="1F6599FA">
      <w:pPr>
        <w:widowControl/>
        <w:spacing w:line="600" w:lineRule="exact"/>
        <w:ind w:firstLine="640" w:firstLineChars="200"/>
        <w:rPr>
          <w:rFonts w:asciiTheme="minorEastAsia" w:hAnsiTheme="minorEastAsia"/>
          <w:bCs/>
          <w:kern w:val="0"/>
          <w:sz w:val="32"/>
          <w:szCs w:val="32"/>
        </w:rPr>
      </w:pPr>
      <w:r>
        <w:rPr>
          <w:rFonts w:hint="eastAsia" w:asciiTheme="minorEastAsia" w:hAnsiTheme="minorEastAsia"/>
          <w:bCs/>
          <w:kern w:val="0"/>
          <w:sz w:val="32"/>
          <w:szCs w:val="32"/>
        </w:rPr>
        <w:t>3、一般公共服务（类）发展与改革事务（款）物价管理（项）。</w:t>
      </w:r>
    </w:p>
    <w:p w14:paraId="49B487BD">
      <w:pPr>
        <w:widowControl/>
        <w:spacing w:line="600" w:lineRule="exact"/>
        <w:ind w:firstLine="640" w:firstLineChars="200"/>
        <w:rPr>
          <w:rFonts w:asciiTheme="minorEastAsia" w:hAnsiTheme="minorEastAsia"/>
          <w:bCs/>
          <w:kern w:val="0"/>
          <w:sz w:val="32"/>
          <w:szCs w:val="32"/>
        </w:rPr>
      </w:pPr>
      <w:r>
        <w:rPr>
          <w:rFonts w:hint="eastAsia" w:asciiTheme="minorEastAsia" w:hAnsiTheme="minorEastAsia"/>
          <w:bCs/>
          <w:kern w:val="0"/>
          <w:sz w:val="32"/>
          <w:szCs w:val="32"/>
        </w:rPr>
        <w:t>年初预算为33万元，支出决算为3.35万元，完成年初预算的10.15%，决算数小于年初预算数的主要原因是：因前期会计核算时未单独设置价格监测与服务、成本调查工作经费、价格监测调查经费、价格专项检查等项目进行核算，导致上述工作开支未归集至物价管理项目支出所致。</w:t>
      </w:r>
    </w:p>
    <w:p w14:paraId="0F950393">
      <w:pPr>
        <w:widowControl/>
        <w:spacing w:line="600" w:lineRule="exact"/>
        <w:ind w:firstLine="640" w:firstLineChars="200"/>
        <w:rPr>
          <w:rFonts w:asciiTheme="minorEastAsia" w:hAnsiTheme="minorEastAsia"/>
          <w:bCs/>
          <w:kern w:val="0"/>
          <w:sz w:val="32"/>
          <w:szCs w:val="32"/>
        </w:rPr>
      </w:pPr>
      <w:r>
        <w:rPr>
          <w:rFonts w:hint="eastAsia" w:asciiTheme="minorEastAsia" w:hAnsiTheme="minorEastAsia"/>
          <w:bCs/>
          <w:kern w:val="0"/>
          <w:sz w:val="32"/>
          <w:szCs w:val="32"/>
        </w:rPr>
        <w:t>4、一般公共服务（类）发展与改革事务（款）其他发展与改革事务（项）。</w:t>
      </w:r>
    </w:p>
    <w:p w14:paraId="5038741C">
      <w:pPr>
        <w:widowControl/>
        <w:spacing w:line="600" w:lineRule="exact"/>
        <w:ind w:firstLine="640" w:firstLineChars="200"/>
        <w:rPr>
          <w:rFonts w:asciiTheme="minorEastAsia" w:hAnsiTheme="minorEastAsia"/>
          <w:bCs/>
          <w:kern w:val="0"/>
          <w:sz w:val="32"/>
          <w:szCs w:val="32"/>
        </w:rPr>
      </w:pPr>
      <w:r>
        <w:rPr>
          <w:rFonts w:hint="eastAsia" w:asciiTheme="minorEastAsia" w:hAnsiTheme="minorEastAsia"/>
          <w:bCs/>
          <w:kern w:val="0"/>
          <w:sz w:val="32"/>
          <w:szCs w:val="32"/>
        </w:rPr>
        <w:t>年初预算为28万元，支出决算为185.04万元，完成年初预算的660.86%，决算数大于年初预算数的主要原因是：一是上年结转的项目经费未包含在年初预算内，二是前期会计核算未设置物价管理项目，部分开支也归集在此项目中进行核算，三是因争资引项工作需要追加了专项经费。</w:t>
      </w:r>
    </w:p>
    <w:p w14:paraId="6A40C452">
      <w:pPr>
        <w:widowControl/>
        <w:spacing w:line="600" w:lineRule="exact"/>
        <w:ind w:firstLine="640" w:firstLineChars="200"/>
        <w:rPr>
          <w:rFonts w:asciiTheme="minorEastAsia" w:hAnsiTheme="minorEastAsia"/>
          <w:bCs/>
          <w:kern w:val="0"/>
          <w:sz w:val="32"/>
          <w:szCs w:val="32"/>
        </w:rPr>
      </w:pPr>
      <w:r>
        <w:rPr>
          <w:rFonts w:hint="eastAsia" w:asciiTheme="minorEastAsia" w:hAnsiTheme="minorEastAsia"/>
          <w:bCs/>
          <w:kern w:val="0"/>
          <w:sz w:val="32"/>
          <w:szCs w:val="32"/>
        </w:rPr>
        <w:t>5、一般公共服务（类）财政事务（款）其他财政事务支出（项）。</w:t>
      </w:r>
    </w:p>
    <w:p w14:paraId="45ED573B">
      <w:pPr>
        <w:widowControl/>
        <w:spacing w:line="600" w:lineRule="exact"/>
        <w:ind w:firstLine="640" w:firstLineChars="200"/>
        <w:rPr>
          <w:rFonts w:asciiTheme="minorEastAsia" w:hAnsiTheme="minorEastAsia"/>
          <w:bCs/>
          <w:kern w:val="0"/>
          <w:sz w:val="32"/>
          <w:szCs w:val="32"/>
        </w:rPr>
      </w:pPr>
      <w:r>
        <w:rPr>
          <w:rFonts w:hint="eastAsia" w:asciiTheme="minorEastAsia" w:hAnsiTheme="minorEastAsia"/>
          <w:bCs/>
          <w:kern w:val="0"/>
          <w:sz w:val="32"/>
          <w:szCs w:val="32"/>
        </w:rPr>
        <w:t>年初预算为0万元，支出决算为40.65万元，决算数大于年初预算数的主要原因是：因上年度结转解决2018年产业项目建设年活动先进单位、先进个人奖励追加财政资金未在年初预算体现所致。</w:t>
      </w:r>
    </w:p>
    <w:p w14:paraId="053F9D3C">
      <w:pPr>
        <w:widowControl/>
        <w:spacing w:line="600" w:lineRule="exact"/>
        <w:ind w:firstLine="640" w:firstLineChars="200"/>
        <w:rPr>
          <w:rFonts w:asciiTheme="minorEastAsia" w:hAnsiTheme="minorEastAsia"/>
          <w:bCs/>
          <w:kern w:val="0"/>
          <w:sz w:val="32"/>
          <w:szCs w:val="32"/>
        </w:rPr>
      </w:pPr>
      <w:r>
        <w:rPr>
          <w:rFonts w:hint="eastAsia" w:asciiTheme="minorEastAsia" w:hAnsiTheme="minorEastAsia"/>
          <w:bCs/>
          <w:kern w:val="0"/>
          <w:sz w:val="32"/>
          <w:szCs w:val="32"/>
        </w:rPr>
        <w:t>6、文化旅游体育与传媒支出（类）文化和旅游（款）其他文化和旅游支出（项）。</w:t>
      </w:r>
    </w:p>
    <w:p w14:paraId="7618AEE9">
      <w:pPr>
        <w:widowControl/>
        <w:spacing w:line="600" w:lineRule="exact"/>
        <w:ind w:firstLine="640" w:firstLineChars="200"/>
        <w:rPr>
          <w:rFonts w:asciiTheme="minorEastAsia" w:hAnsiTheme="minorEastAsia"/>
          <w:bCs/>
          <w:kern w:val="0"/>
          <w:sz w:val="32"/>
          <w:szCs w:val="32"/>
        </w:rPr>
      </w:pPr>
      <w:r>
        <w:rPr>
          <w:rFonts w:hint="eastAsia" w:asciiTheme="minorEastAsia" w:hAnsiTheme="minorEastAsia"/>
          <w:bCs/>
          <w:kern w:val="0"/>
          <w:sz w:val="32"/>
          <w:szCs w:val="32"/>
        </w:rPr>
        <w:t>年初预算为0万元，支出决算为2.29万元，决算数大于年初预算数的主要原因是：因上年度结转解决2018年新增1000亿粮食生产能力规划方案追加财政资金未在年初预算体现所致。</w:t>
      </w:r>
    </w:p>
    <w:p w14:paraId="6FDB8036">
      <w:pPr>
        <w:widowControl/>
        <w:spacing w:line="600" w:lineRule="exact"/>
        <w:ind w:firstLine="640" w:firstLineChars="200"/>
        <w:rPr>
          <w:rFonts w:asciiTheme="minorEastAsia" w:hAnsiTheme="minorEastAsia"/>
          <w:bCs/>
          <w:kern w:val="0"/>
          <w:sz w:val="32"/>
          <w:szCs w:val="32"/>
        </w:rPr>
      </w:pPr>
      <w:r>
        <w:rPr>
          <w:rFonts w:hint="eastAsia" w:asciiTheme="minorEastAsia" w:hAnsiTheme="minorEastAsia"/>
          <w:bCs/>
          <w:kern w:val="0"/>
          <w:sz w:val="32"/>
          <w:szCs w:val="32"/>
        </w:rPr>
        <w:t>7、社会保障和就业支出（类）行政事业单位离退休（款）机关事业单位基本养老保险缴费支出（项）。</w:t>
      </w:r>
    </w:p>
    <w:p w14:paraId="4692F2E0">
      <w:pPr>
        <w:widowControl/>
        <w:spacing w:line="600" w:lineRule="exact"/>
        <w:ind w:firstLine="640" w:firstLineChars="200"/>
        <w:rPr>
          <w:rFonts w:asciiTheme="minorEastAsia" w:hAnsiTheme="minorEastAsia"/>
          <w:bCs/>
          <w:kern w:val="0"/>
          <w:sz w:val="32"/>
          <w:szCs w:val="32"/>
        </w:rPr>
      </w:pPr>
      <w:r>
        <w:rPr>
          <w:rFonts w:hint="eastAsia" w:asciiTheme="minorEastAsia" w:hAnsiTheme="minorEastAsia"/>
          <w:bCs/>
          <w:kern w:val="0"/>
          <w:sz w:val="32"/>
          <w:szCs w:val="32"/>
        </w:rPr>
        <w:t>年初预算为75.71万元，支出决算为65.62万元，完成年初预算的86.67%，决算数小于年初预算数的主要原因是：还有一部分养老保险支出体现在财政对城乡居民基本养老保险基金的补助中。</w:t>
      </w:r>
    </w:p>
    <w:p w14:paraId="6184FBCB">
      <w:pPr>
        <w:widowControl/>
        <w:spacing w:line="600" w:lineRule="exact"/>
        <w:ind w:firstLine="640" w:firstLineChars="200"/>
        <w:rPr>
          <w:rFonts w:asciiTheme="minorEastAsia" w:hAnsiTheme="minorEastAsia"/>
          <w:bCs/>
          <w:kern w:val="0"/>
          <w:sz w:val="32"/>
          <w:szCs w:val="32"/>
        </w:rPr>
      </w:pPr>
      <w:r>
        <w:rPr>
          <w:rFonts w:hint="eastAsia" w:asciiTheme="minorEastAsia" w:hAnsiTheme="minorEastAsia"/>
          <w:bCs/>
          <w:kern w:val="0"/>
          <w:sz w:val="32"/>
          <w:szCs w:val="32"/>
        </w:rPr>
        <w:t>8、社会保障和就业支出（类）抚恤（款）伤残抚恤（项）。</w:t>
      </w:r>
    </w:p>
    <w:p w14:paraId="0B149EA6">
      <w:pPr>
        <w:widowControl/>
        <w:spacing w:line="600" w:lineRule="exact"/>
        <w:ind w:firstLine="640" w:firstLineChars="200"/>
        <w:rPr>
          <w:rFonts w:asciiTheme="minorEastAsia" w:hAnsiTheme="minorEastAsia"/>
          <w:bCs/>
          <w:kern w:val="0"/>
          <w:sz w:val="32"/>
          <w:szCs w:val="32"/>
        </w:rPr>
      </w:pPr>
      <w:r>
        <w:rPr>
          <w:rFonts w:hint="eastAsia" w:asciiTheme="minorEastAsia" w:hAnsiTheme="minorEastAsia"/>
          <w:bCs/>
          <w:kern w:val="0"/>
          <w:sz w:val="32"/>
          <w:szCs w:val="32"/>
        </w:rPr>
        <w:t>年初预算为0万元，支出决算为0.90万元，决算数大于年初预算数的主要原因是：伤残补助金未纳入年初预算所致。</w:t>
      </w:r>
    </w:p>
    <w:p w14:paraId="6190EA99">
      <w:pPr>
        <w:widowControl/>
        <w:spacing w:line="600" w:lineRule="exact"/>
        <w:ind w:firstLine="640" w:firstLineChars="200"/>
        <w:rPr>
          <w:rFonts w:asciiTheme="minorEastAsia" w:hAnsiTheme="minorEastAsia"/>
          <w:bCs/>
          <w:kern w:val="0"/>
          <w:sz w:val="32"/>
          <w:szCs w:val="32"/>
        </w:rPr>
      </w:pPr>
      <w:r>
        <w:rPr>
          <w:rFonts w:hint="eastAsia" w:asciiTheme="minorEastAsia" w:hAnsiTheme="minorEastAsia"/>
          <w:bCs/>
          <w:kern w:val="0"/>
          <w:sz w:val="32"/>
          <w:szCs w:val="32"/>
        </w:rPr>
        <w:t>9、社会保障和就业支出（类）财政对基本养老保险基金的补助（款）财政对城乡居民基本养老保险基金的补助（项）。</w:t>
      </w:r>
    </w:p>
    <w:p w14:paraId="1DC5E403">
      <w:pPr>
        <w:widowControl/>
        <w:spacing w:line="600" w:lineRule="exact"/>
        <w:ind w:firstLine="640" w:firstLineChars="200"/>
        <w:rPr>
          <w:rFonts w:asciiTheme="minorEastAsia" w:hAnsiTheme="minorEastAsia"/>
          <w:bCs/>
          <w:kern w:val="0"/>
          <w:sz w:val="32"/>
          <w:szCs w:val="32"/>
        </w:rPr>
      </w:pPr>
      <w:r>
        <w:rPr>
          <w:rFonts w:hint="eastAsia" w:asciiTheme="minorEastAsia" w:hAnsiTheme="minorEastAsia"/>
          <w:bCs/>
          <w:kern w:val="0"/>
          <w:sz w:val="32"/>
          <w:szCs w:val="32"/>
        </w:rPr>
        <w:t>年初预算为0万元，支出决算为5.73万元，决算数大于年初预算数的主要原因是：养老保险资金年初预算全部体现在机关事业单位基本养老保险缴费支出中。</w:t>
      </w:r>
    </w:p>
    <w:p w14:paraId="1E187EEC">
      <w:pPr>
        <w:widowControl/>
        <w:spacing w:line="600" w:lineRule="exact"/>
        <w:ind w:firstLine="640" w:firstLineChars="200"/>
        <w:rPr>
          <w:rFonts w:asciiTheme="minorEastAsia" w:hAnsiTheme="minorEastAsia"/>
          <w:bCs/>
          <w:kern w:val="0"/>
          <w:sz w:val="32"/>
          <w:szCs w:val="32"/>
        </w:rPr>
      </w:pPr>
      <w:r>
        <w:rPr>
          <w:rFonts w:hint="eastAsia" w:asciiTheme="minorEastAsia" w:hAnsiTheme="minorEastAsia"/>
          <w:bCs/>
          <w:kern w:val="0"/>
          <w:sz w:val="32"/>
          <w:szCs w:val="32"/>
        </w:rPr>
        <w:t>10、卫生健康支出（类）行政事业单位医疗（款）行政单位医疗（项）。</w:t>
      </w:r>
    </w:p>
    <w:p w14:paraId="4F448766">
      <w:pPr>
        <w:widowControl/>
        <w:spacing w:line="600" w:lineRule="exact"/>
        <w:ind w:firstLine="640" w:firstLineChars="200"/>
        <w:rPr>
          <w:rFonts w:asciiTheme="minorEastAsia" w:hAnsiTheme="minorEastAsia"/>
          <w:bCs/>
          <w:kern w:val="0"/>
          <w:sz w:val="32"/>
          <w:szCs w:val="32"/>
        </w:rPr>
      </w:pPr>
      <w:r>
        <w:rPr>
          <w:rFonts w:hint="eastAsia" w:asciiTheme="minorEastAsia" w:hAnsiTheme="minorEastAsia"/>
          <w:bCs/>
          <w:kern w:val="0"/>
          <w:sz w:val="32"/>
          <w:szCs w:val="32"/>
        </w:rPr>
        <w:t>年初预算为21.39万元，支出决算为25.87万元，完成年初预算的120.94%，决算数大于年初预算数的主要原因是：非全额编制人员的部分医疗保险支出未纳入年初预算。</w:t>
      </w:r>
    </w:p>
    <w:p w14:paraId="0E3D0537">
      <w:pPr>
        <w:widowControl/>
        <w:spacing w:line="600" w:lineRule="exact"/>
        <w:ind w:firstLine="640" w:firstLineChars="200"/>
        <w:rPr>
          <w:rFonts w:asciiTheme="minorEastAsia" w:hAnsiTheme="minorEastAsia"/>
          <w:bCs/>
          <w:kern w:val="0"/>
          <w:sz w:val="32"/>
          <w:szCs w:val="32"/>
        </w:rPr>
      </w:pPr>
      <w:r>
        <w:rPr>
          <w:rFonts w:hint="eastAsia" w:asciiTheme="minorEastAsia" w:hAnsiTheme="minorEastAsia"/>
          <w:bCs/>
          <w:kern w:val="0"/>
          <w:sz w:val="32"/>
          <w:szCs w:val="32"/>
        </w:rPr>
        <w:t>11、城乡社区支出（类）城乡社区规划与管理（款）城乡社区规划与管理（项）。</w:t>
      </w:r>
    </w:p>
    <w:p w14:paraId="503A99D4">
      <w:pPr>
        <w:widowControl/>
        <w:spacing w:line="600" w:lineRule="exact"/>
        <w:ind w:firstLine="640" w:firstLineChars="200"/>
        <w:rPr>
          <w:rFonts w:asciiTheme="minorEastAsia" w:hAnsiTheme="minorEastAsia"/>
          <w:bCs/>
          <w:kern w:val="0"/>
          <w:sz w:val="32"/>
          <w:szCs w:val="32"/>
        </w:rPr>
      </w:pPr>
      <w:r>
        <w:rPr>
          <w:rFonts w:hint="eastAsia" w:asciiTheme="minorEastAsia" w:hAnsiTheme="minorEastAsia"/>
          <w:bCs/>
          <w:kern w:val="0"/>
          <w:sz w:val="32"/>
          <w:szCs w:val="32"/>
        </w:rPr>
        <w:t>年初预算为0万元，支出决算为20万元，决算数大于年初预算数的主要原因是：上年结转解决编制衡南县乡村振兴战略规划（2018-2022年）追加资金未体现在年初预算中。</w:t>
      </w:r>
    </w:p>
    <w:p w14:paraId="5289A8CE">
      <w:pPr>
        <w:widowControl/>
        <w:spacing w:line="600" w:lineRule="exact"/>
        <w:ind w:firstLine="640" w:firstLineChars="200"/>
        <w:rPr>
          <w:rFonts w:asciiTheme="minorEastAsia" w:hAnsiTheme="minorEastAsia"/>
          <w:bCs/>
          <w:kern w:val="0"/>
          <w:sz w:val="32"/>
          <w:szCs w:val="32"/>
        </w:rPr>
      </w:pPr>
      <w:r>
        <w:rPr>
          <w:rFonts w:hint="eastAsia" w:asciiTheme="minorEastAsia" w:hAnsiTheme="minorEastAsia"/>
          <w:bCs/>
          <w:kern w:val="0"/>
          <w:sz w:val="32"/>
          <w:szCs w:val="32"/>
        </w:rPr>
        <w:t>12、资源勘探信息等支出（类）支持中小企业发展和管理支出（款）其他支持中小企业发展和管理支出（项）。</w:t>
      </w:r>
    </w:p>
    <w:p w14:paraId="4FBEB39C">
      <w:pPr>
        <w:widowControl/>
        <w:spacing w:line="600" w:lineRule="exact"/>
        <w:ind w:firstLine="640" w:firstLineChars="200"/>
        <w:rPr>
          <w:rFonts w:asciiTheme="minorEastAsia" w:hAnsiTheme="minorEastAsia"/>
          <w:bCs/>
          <w:kern w:val="0"/>
          <w:sz w:val="32"/>
          <w:szCs w:val="32"/>
        </w:rPr>
      </w:pPr>
      <w:r>
        <w:rPr>
          <w:rFonts w:hint="eastAsia" w:asciiTheme="minorEastAsia" w:hAnsiTheme="minorEastAsia"/>
          <w:bCs/>
          <w:kern w:val="0"/>
          <w:sz w:val="32"/>
          <w:szCs w:val="32"/>
        </w:rPr>
        <w:t>年初预算为0万元，支出决算为18万元，决算数大于年初预算数的主要原因是：因解决2018年四上企业培育工作奖励资金需要追加资金所致。</w:t>
      </w:r>
    </w:p>
    <w:p w14:paraId="4302C482">
      <w:pPr>
        <w:widowControl/>
        <w:spacing w:line="600" w:lineRule="exact"/>
        <w:ind w:firstLine="640" w:firstLineChars="200"/>
        <w:rPr>
          <w:rFonts w:asciiTheme="minorEastAsia" w:hAnsiTheme="minorEastAsia"/>
          <w:bCs/>
          <w:kern w:val="0"/>
          <w:sz w:val="32"/>
          <w:szCs w:val="32"/>
        </w:rPr>
      </w:pPr>
      <w:r>
        <w:rPr>
          <w:rFonts w:hint="eastAsia" w:asciiTheme="minorEastAsia" w:hAnsiTheme="minorEastAsia"/>
          <w:bCs/>
          <w:kern w:val="0"/>
          <w:sz w:val="32"/>
          <w:szCs w:val="32"/>
        </w:rPr>
        <w:t>13、住房保障支出（类）住房改革支出（款）住房公积金（项）。</w:t>
      </w:r>
    </w:p>
    <w:p w14:paraId="59078E5D">
      <w:pPr>
        <w:widowControl/>
        <w:spacing w:line="600" w:lineRule="exact"/>
        <w:ind w:firstLine="640" w:firstLineChars="200"/>
        <w:rPr>
          <w:rFonts w:asciiTheme="minorEastAsia" w:hAnsiTheme="minorEastAsia"/>
          <w:bCs/>
          <w:kern w:val="0"/>
          <w:sz w:val="32"/>
          <w:szCs w:val="32"/>
        </w:rPr>
      </w:pPr>
      <w:r>
        <w:rPr>
          <w:rFonts w:hint="eastAsia" w:asciiTheme="minorEastAsia" w:hAnsiTheme="minorEastAsia"/>
          <w:bCs/>
          <w:kern w:val="0"/>
          <w:sz w:val="32"/>
          <w:szCs w:val="32"/>
        </w:rPr>
        <w:t>年初预算为23.73万元，支出决算为23.73万元，完成年初预算的100%。</w:t>
      </w:r>
    </w:p>
    <w:p w14:paraId="029AF12C">
      <w:pPr>
        <w:widowControl/>
        <w:spacing w:line="600" w:lineRule="exact"/>
        <w:ind w:firstLine="640" w:firstLineChars="200"/>
        <w:rPr>
          <w:rFonts w:asciiTheme="minorEastAsia" w:hAnsiTheme="minorEastAsia"/>
          <w:bCs/>
          <w:kern w:val="0"/>
          <w:sz w:val="32"/>
          <w:szCs w:val="32"/>
        </w:rPr>
      </w:pPr>
    </w:p>
    <w:p w14:paraId="566BE6F9">
      <w:pPr>
        <w:pStyle w:val="10"/>
        <w:ind w:firstLine="800" w:firstLineChars="250"/>
        <w:rPr>
          <w:rFonts w:asciiTheme="minorEastAsia" w:hAnsiTheme="minorEastAsia" w:eastAsiaTheme="minorEastAsia"/>
          <w:sz w:val="32"/>
          <w:szCs w:val="32"/>
        </w:rPr>
      </w:pPr>
    </w:p>
    <w:p w14:paraId="310177E1">
      <w:pPr>
        <w:pStyle w:val="10"/>
        <w:ind w:firstLine="800" w:firstLineChars="250"/>
        <w:rPr>
          <w:rFonts w:asciiTheme="minorEastAsia" w:hAnsiTheme="minorEastAsia" w:eastAsiaTheme="minorEastAsia"/>
          <w:sz w:val="32"/>
          <w:szCs w:val="32"/>
        </w:rPr>
      </w:pPr>
    </w:p>
    <w:p w14:paraId="5745E07D">
      <w:pPr>
        <w:pStyle w:val="10"/>
        <w:ind w:firstLine="800" w:firstLineChars="250"/>
        <w:rPr>
          <w:rFonts w:asciiTheme="minorEastAsia" w:hAnsiTheme="minorEastAsia" w:eastAsiaTheme="minorEastAsia"/>
          <w:sz w:val="32"/>
          <w:szCs w:val="32"/>
        </w:rPr>
      </w:pPr>
    </w:p>
    <w:p w14:paraId="6030BB46">
      <w:pPr>
        <w:pStyle w:val="10"/>
        <w:rPr>
          <w:rFonts w:hAnsi="黑体"/>
          <w:b/>
          <w:sz w:val="32"/>
          <w:szCs w:val="32"/>
        </w:rPr>
      </w:pPr>
      <w:r>
        <w:rPr>
          <w:rFonts w:hint="eastAsia" w:hAnsi="黑体"/>
          <w:b/>
          <w:sz w:val="32"/>
          <w:szCs w:val="32"/>
        </w:rPr>
        <w:t>六、一般公共预算财政拨款基本支出决算情况说明</w:t>
      </w:r>
    </w:p>
    <w:p w14:paraId="4B09B793">
      <w:pPr>
        <w:widowControl/>
        <w:spacing w:line="600" w:lineRule="exact"/>
        <w:ind w:firstLine="640" w:firstLineChars="200"/>
        <w:rPr>
          <w:rFonts w:asciiTheme="minorEastAsia" w:hAnsiTheme="minorEastAsia"/>
          <w:bCs/>
          <w:kern w:val="0"/>
          <w:sz w:val="32"/>
          <w:szCs w:val="32"/>
        </w:rPr>
      </w:pPr>
      <w:r>
        <w:rPr>
          <w:rFonts w:hint="eastAsia" w:asciiTheme="minorEastAsia" w:hAnsiTheme="minorEastAsia"/>
          <w:bCs/>
          <w:kern w:val="0"/>
          <w:sz w:val="32"/>
          <w:szCs w:val="32"/>
        </w:rPr>
        <w:t>2019年度财政拨款基本支出801.75万元，其中：人员经费682.28万元，占基本支出的85.10%,主要包括基本工资、津贴补贴、奖金、伙食补助费，养老保险、医疗保险、住房公积金、对个人和家庭的补助等；公用经费119.47万元，占基本支出的14.90%，主要包括办公费、印刷费、咨询费、手续费、水电费、物业管理费、差旅费、会议费、培训费、公务接待费、工会经费等。</w:t>
      </w:r>
    </w:p>
    <w:p w14:paraId="75FCF2FA">
      <w:pPr>
        <w:pStyle w:val="2"/>
        <w:rPr>
          <w:rFonts w:hint="default"/>
        </w:rPr>
      </w:pPr>
    </w:p>
    <w:p w14:paraId="02B37BDC">
      <w:pPr>
        <w:pStyle w:val="10"/>
        <w:rPr>
          <w:rFonts w:hAnsi="黑体"/>
          <w:b/>
          <w:sz w:val="32"/>
          <w:szCs w:val="32"/>
        </w:rPr>
      </w:pPr>
      <w:r>
        <w:rPr>
          <w:rFonts w:hint="eastAsia" w:hAnsi="黑体"/>
          <w:b/>
          <w:sz w:val="32"/>
          <w:szCs w:val="32"/>
        </w:rPr>
        <w:t>七、一般公共预算财政拨款三公经费支出决算情况说明</w:t>
      </w:r>
    </w:p>
    <w:p w14:paraId="7A23688A">
      <w:pPr>
        <w:pStyle w:val="10"/>
        <w:rPr>
          <w:rFonts w:asciiTheme="minorEastAsia" w:hAnsiTheme="minorEastAsia" w:eastAsiaTheme="minorEastAsia"/>
          <w:b/>
          <w:sz w:val="32"/>
          <w:szCs w:val="32"/>
        </w:rPr>
      </w:pPr>
      <w:r>
        <w:rPr>
          <w:rFonts w:hint="eastAsia" w:asciiTheme="minorEastAsia" w:hAnsiTheme="minorEastAsia" w:eastAsiaTheme="minorEastAsia"/>
          <w:b/>
          <w:sz w:val="32"/>
          <w:szCs w:val="32"/>
        </w:rPr>
        <w:t>（一）“三公”经费财政拨款支出决算总体情况说明</w:t>
      </w:r>
    </w:p>
    <w:p w14:paraId="45ACCEB3">
      <w:pPr>
        <w:widowControl/>
        <w:spacing w:line="600" w:lineRule="exact"/>
        <w:ind w:firstLine="640" w:firstLineChars="200"/>
        <w:rPr>
          <w:rFonts w:asciiTheme="minorEastAsia" w:hAnsiTheme="minorEastAsia"/>
          <w:bCs/>
          <w:kern w:val="0"/>
          <w:sz w:val="32"/>
          <w:szCs w:val="32"/>
        </w:rPr>
      </w:pPr>
      <w:r>
        <w:rPr>
          <w:rFonts w:hint="eastAsia" w:asciiTheme="minorEastAsia" w:hAnsiTheme="minorEastAsia"/>
          <w:bCs/>
          <w:kern w:val="0"/>
          <w:sz w:val="32"/>
          <w:szCs w:val="32"/>
        </w:rPr>
        <w:t>“三公”经费财政拨款支出预算为8万元，支出决算为</w:t>
      </w:r>
      <w:r>
        <w:rPr>
          <w:rFonts w:hint="eastAsia" w:asciiTheme="minorEastAsia" w:hAnsiTheme="minorEastAsia"/>
          <w:bCs/>
          <w:kern w:val="0"/>
          <w:sz w:val="32"/>
          <w:szCs w:val="32"/>
          <w:lang w:val="en-US" w:eastAsia="zh-CN"/>
        </w:rPr>
        <w:t>3</w:t>
      </w:r>
      <w:r>
        <w:rPr>
          <w:rFonts w:hint="eastAsia" w:asciiTheme="minorEastAsia" w:hAnsiTheme="minorEastAsia"/>
          <w:bCs/>
          <w:kern w:val="0"/>
          <w:sz w:val="32"/>
          <w:szCs w:val="32"/>
        </w:rPr>
        <w:t>.36万元，完成预算的79.5%，其中：</w:t>
      </w:r>
    </w:p>
    <w:p w14:paraId="30A34664">
      <w:pPr>
        <w:widowControl/>
        <w:spacing w:line="600" w:lineRule="exact"/>
        <w:ind w:firstLine="640" w:firstLineChars="200"/>
        <w:rPr>
          <w:rFonts w:asciiTheme="minorEastAsia" w:hAnsiTheme="minorEastAsia"/>
          <w:bCs/>
          <w:kern w:val="0"/>
          <w:sz w:val="32"/>
          <w:szCs w:val="32"/>
        </w:rPr>
      </w:pPr>
      <w:r>
        <w:rPr>
          <w:rFonts w:hint="eastAsia" w:asciiTheme="minorEastAsia" w:hAnsiTheme="minorEastAsia"/>
          <w:bCs/>
          <w:kern w:val="0"/>
          <w:sz w:val="32"/>
          <w:szCs w:val="32"/>
        </w:rPr>
        <w:t>因公出国（境）费支出预算为0万元，支出决算为0万元。与上年相比减少（增加）0万元。</w:t>
      </w:r>
    </w:p>
    <w:p w14:paraId="19CAC284">
      <w:pPr>
        <w:widowControl/>
        <w:spacing w:line="600" w:lineRule="exact"/>
        <w:ind w:firstLine="640" w:firstLineChars="200"/>
        <w:rPr>
          <w:rFonts w:asciiTheme="minorEastAsia" w:hAnsiTheme="minorEastAsia"/>
          <w:bCs/>
          <w:kern w:val="0"/>
          <w:sz w:val="32"/>
          <w:szCs w:val="32"/>
        </w:rPr>
      </w:pPr>
      <w:r>
        <w:rPr>
          <w:rFonts w:hint="eastAsia" w:asciiTheme="minorEastAsia" w:hAnsiTheme="minorEastAsia"/>
          <w:bCs/>
          <w:kern w:val="0"/>
          <w:sz w:val="32"/>
          <w:szCs w:val="32"/>
        </w:rPr>
        <w:t>公务接待费支出预算为8万元，支出决算为</w:t>
      </w:r>
      <w:r>
        <w:rPr>
          <w:rFonts w:hint="eastAsia" w:asciiTheme="minorEastAsia" w:hAnsiTheme="minorEastAsia"/>
          <w:bCs/>
          <w:kern w:val="0"/>
          <w:sz w:val="32"/>
          <w:szCs w:val="32"/>
          <w:lang w:val="en-US" w:eastAsia="zh-CN"/>
        </w:rPr>
        <w:t>3</w:t>
      </w:r>
      <w:r>
        <w:rPr>
          <w:rFonts w:hint="eastAsia" w:asciiTheme="minorEastAsia" w:hAnsiTheme="minorEastAsia"/>
          <w:bCs/>
          <w:kern w:val="0"/>
          <w:sz w:val="32"/>
          <w:szCs w:val="32"/>
        </w:rPr>
        <w:t>.36万元，完成预算的79.5%，决算数小于年初预算数的主要原因是在上年的基础上本年继续严控三公经费支出，与上年相比减少3.24万元，减少33.75%,减少的主要原因是本年度继续严控公务接待支出。</w:t>
      </w:r>
    </w:p>
    <w:p w14:paraId="6296D4C4">
      <w:pPr>
        <w:pStyle w:val="10"/>
        <w:rPr>
          <w:rFonts w:asciiTheme="minorEastAsia" w:hAnsiTheme="minorEastAsia" w:eastAsiaTheme="minorEastAsia"/>
          <w:b/>
          <w:sz w:val="32"/>
          <w:szCs w:val="32"/>
        </w:rPr>
      </w:pPr>
      <w:r>
        <w:rPr>
          <w:rFonts w:hint="eastAsia" w:asciiTheme="minorEastAsia" w:hAnsiTheme="minorEastAsia" w:eastAsiaTheme="minorEastAsia"/>
          <w:b/>
          <w:sz w:val="32"/>
          <w:szCs w:val="32"/>
        </w:rPr>
        <w:t>（二）“三公”经费财政拨款支出决算具体情况说明</w:t>
      </w:r>
    </w:p>
    <w:p w14:paraId="6F906299">
      <w:pPr>
        <w:widowControl/>
        <w:spacing w:line="600" w:lineRule="exact"/>
        <w:ind w:firstLine="640" w:firstLineChars="200"/>
        <w:rPr>
          <w:rFonts w:asciiTheme="minorEastAsia" w:hAnsiTheme="minorEastAsia"/>
          <w:bCs/>
          <w:kern w:val="0"/>
          <w:sz w:val="32"/>
          <w:szCs w:val="32"/>
        </w:rPr>
      </w:pPr>
      <w:r>
        <w:rPr>
          <w:rFonts w:hint="eastAsia" w:asciiTheme="minorEastAsia" w:hAnsiTheme="minorEastAsia"/>
          <w:bCs/>
          <w:kern w:val="0"/>
          <w:sz w:val="32"/>
          <w:szCs w:val="32"/>
        </w:rPr>
        <w:t>1、因公出国（境）费支出决算为0万元，全年安排因公出国（境）团组0个，累计0人次。</w:t>
      </w:r>
    </w:p>
    <w:p w14:paraId="161AD668">
      <w:pPr>
        <w:widowControl/>
        <w:spacing w:line="600" w:lineRule="exact"/>
        <w:ind w:firstLine="640" w:firstLineChars="200"/>
        <w:rPr>
          <w:rFonts w:asciiTheme="minorEastAsia" w:hAnsiTheme="minorEastAsia"/>
          <w:bCs/>
          <w:kern w:val="0"/>
          <w:sz w:val="32"/>
          <w:szCs w:val="32"/>
        </w:rPr>
      </w:pPr>
      <w:r>
        <w:rPr>
          <w:rFonts w:hint="eastAsia" w:asciiTheme="minorEastAsia" w:hAnsiTheme="minorEastAsia"/>
          <w:bCs/>
          <w:kern w:val="0"/>
          <w:sz w:val="32"/>
          <w:szCs w:val="32"/>
        </w:rPr>
        <w:t>2、公务接待费支出决算为3</w:t>
      </w:r>
      <w:r>
        <w:rPr>
          <w:rFonts w:hint="eastAsia" w:asciiTheme="minorEastAsia" w:hAnsiTheme="minorEastAsia"/>
          <w:bCs/>
          <w:kern w:val="0"/>
          <w:sz w:val="32"/>
          <w:szCs w:val="32"/>
          <w:lang w:val="en-US" w:eastAsia="zh-CN"/>
        </w:rPr>
        <w:t>.</w:t>
      </w:r>
      <w:r>
        <w:rPr>
          <w:rFonts w:hint="eastAsia" w:asciiTheme="minorEastAsia" w:hAnsiTheme="minorEastAsia"/>
          <w:bCs/>
          <w:kern w:val="0"/>
          <w:sz w:val="32"/>
          <w:szCs w:val="32"/>
        </w:rPr>
        <w:t>36万元，全年共接待来访团组52个、来宾670人次，主要是省、市来我单位考察、调研、项目合作、招商引资、易地扶贫搬迁工作督查等事项发生的接待支出。</w:t>
      </w:r>
    </w:p>
    <w:p w14:paraId="5DFF4F7F">
      <w:pPr>
        <w:widowControl/>
        <w:spacing w:line="600" w:lineRule="exact"/>
        <w:ind w:firstLine="640" w:firstLineChars="200"/>
        <w:rPr>
          <w:rFonts w:hint="default" w:asciiTheme="minorEastAsia" w:hAnsiTheme="minorEastAsia" w:eastAsiaTheme="minorEastAsia"/>
          <w:bCs/>
          <w:kern w:val="0"/>
          <w:sz w:val="32"/>
          <w:szCs w:val="32"/>
          <w:lang w:val="en-US" w:eastAsia="zh-CN"/>
        </w:rPr>
      </w:pPr>
      <w:r>
        <w:rPr>
          <w:rFonts w:hint="eastAsia" w:asciiTheme="minorEastAsia" w:hAnsiTheme="minorEastAsia"/>
          <w:bCs/>
          <w:kern w:val="0"/>
          <w:sz w:val="32"/>
          <w:szCs w:val="32"/>
        </w:rPr>
        <w:t>3、公务用车购置费及运行维护费支出决算为0万元，其中：公务用车购置费0万元。公务用车运行维护费0万元，截止2019年12月31日，我单位开支财政拨款的公务用车保有量为0辆</w:t>
      </w:r>
      <w:r>
        <w:rPr>
          <w:rFonts w:hint="eastAsia" w:asciiTheme="minorEastAsia" w:hAnsiTheme="minorEastAsia"/>
          <w:bCs/>
          <w:kern w:val="0"/>
          <w:sz w:val="32"/>
          <w:szCs w:val="32"/>
          <w:lang w:eastAsia="zh-CN"/>
        </w:rPr>
        <w:t>，年新增公务用车为</w:t>
      </w:r>
      <w:r>
        <w:rPr>
          <w:rFonts w:hint="eastAsia" w:asciiTheme="minorEastAsia" w:hAnsiTheme="minorEastAsia"/>
          <w:bCs/>
          <w:kern w:val="0"/>
          <w:sz w:val="32"/>
          <w:szCs w:val="32"/>
          <w:lang w:val="en-US" w:eastAsia="zh-CN"/>
        </w:rPr>
        <w:t>0辆。</w:t>
      </w:r>
    </w:p>
    <w:p w14:paraId="0EC04D26">
      <w:pPr>
        <w:pStyle w:val="10"/>
        <w:rPr>
          <w:rFonts w:hAnsi="黑体"/>
          <w:b/>
          <w:sz w:val="32"/>
          <w:szCs w:val="32"/>
        </w:rPr>
      </w:pPr>
      <w:r>
        <w:rPr>
          <w:rFonts w:hint="eastAsia" w:hAnsi="黑体"/>
          <w:b/>
          <w:sz w:val="32"/>
          <w:szCs w:val="32"/>
        </w:rPr>
        <w:t>八、政府性基金预算收入支出决算情况</w:t>
      </w:r>
    </w:p>
    <w:p w14:paraId="153AB93A">
      <w:pPr>
        <w:pStyle w:val="10"/>
        <w:spacing w:line="600" w:lineRule="exact"/>
        <w:ind w:firstLine="640" w:firstLineChars="200"/>
        <w:rPr>
          <w:rFonts w:asciiTheme="minorEastAsia" w:hAnsiTheme="minorEastAsia" w:eastAsiaTheme="minorEastAsia"/>
          <w:i/>
          <w:color w:val="FF0000"/>
          <w:sz w:val="32"/>
          <w:szCs w:val="32"/>
        </w:rPr>
      </w:pPr>
      <w:r>
        <w:rPr>
          <w:rFonts w:hint="eastAsia" w:asciiTheme="minorEastAsia" w:hAnsiTheme="minorEastAsia" w:eastAsiaTheme="minorEastAsia" w:cstheme="minorBidi"/>
          <w:bCs/>
          <w:color w:val="auto"/>
          <w:sz w:val="32"/>
          <w:szCs w:val="32"/>
        </w:rPr>
        <w:t>本单位无政府性基金收支</w:t>
      </w:r>
      <w:r>
        <w:rPr>
          <w:rFonts w:hint="eastAsia" w:asciiTheme="minorEastAsia" w:hAnsiTheme="minorEastAsia" w:eastAsiaTheme="minorEastAsia"/>
          <w:sz w:val="32"/>
          <w:szCs w:val="32"/>
        </w:rPr>
        <w:t>。</w:t>
      </w:r>
    </w:p>
    <w:p w14:paraId="3430C55A">
      <w:pPr>
        <w:pStyle w:val="10"/>
        <w:rPr>
          <w:rFonts w:hAnsi="黑体"/>
          <w:b/>
          <w:sz w:val="32"/>
          <w:szCs w:val="32"/>
        </w:rPr>
      </w:pPr>
      <w:r>
        <w:rPr>
          <w:rFonts w:hint="eastAsia" w:hAnsi="黑体"/>
          <w:b/>
          <w:sz w:val="32"/>
          <w:szCs w:val="32"/>
        </w:rPr>
        <w:t>九、关于2019年度预算绩效情况说明</w:t>
      </w:r>
    </w:p>
    <w:p w14:paraId="1D86BEDB">
      <w:pPr>
        <w:widowControl/>
        <w:spacing w:line="600" w:lineRule="exact"/>
        <w:ind w:firstLine="640" w:firstLineChars="200"/>
        <w:rPr>
          <w:rFonts w:asciiTheme="minorEastAsia" w:hAnsiTheme="minorEastAsia"/>
          <w:bCs/>
          <w:kern w:val="0"/>
          <w:sz w:val="32"/>
          <w:szCs w:val="32"/>
        </w:rPr>
      </w:pPr>
      <w:r>
        <w:rPr>
          <w:rFonts w:hint="eastAsia" w:asciiTheme="minorEastAsia" w:hAnsiTheme="minorEastAsia"/>
          <w:bCs/>
          <w:kern w:val="0"/>
          <w:sz w:val="32"/>
          <w:szCs w:val="32"/>
        </w:rPr>
        <w:t>为加强财政预算资金管理，进一步规范预算资金使用，提高财政资金使用效益，根据《衡南县财政局关于开展2019年度县级财政资金绩效自评工作的通知》要求，我局对2019年度本单位整体支出进行了绩效自评。</w:t>
      </w:r>
    </w:p>
    <w:p w14:paraId="14B11BD5">
      <w:pPr>
        <w:widowControl/>
        <w:spacing w:line="600" w:lineRule="exact"/>
        <w:ind w:firstLine="640" w:firstLineChars="200"/>
        <w:rPr>
          <w:rFonts w:asciiTheme="minorEastAsia" w:hAnsiTheme="minorEastAsia"/>
          <w:bCs/>
          <w:kern w:val="0"/>
          <w:sz w:val="32"/>
          <w:szCs w:val="32"/>
        </w:rPr>
      </w:pPr>
      <w:r>
        <w:rPr>
          <w:rFonts w:hint="eastAsia" w:asciiTheme="minorEastAsia" w:hAnsiTheme="minorEastAsia"/>
          <w:bCs/>
          <w:kern w:val="0"/>
          <w:sz w:val="32"/>
          <w:szCs w:val="32"/>
        </w:rPr>
        <w:t>在县委、县政府的正确领导下和市发改委的关心支持下，我局紧紧围绕</w:t>
      </w:r>
      <w:r>
        <w:rPr>
          <w:rFonts w:hint="eastAsia" w:asciiTheme="minorEastAsia" w:hAnsiTheme="minorEastAsia"/>
          <w:bCs/>
          <w:kern w:val="0"/>
          <w:sz w:val="32"/>
          <w:szCs w:val="32"/>
          <w:lang w:eastAsia="zh-CN"/>
        </w:rPr>
        <w:t>县委县政府</w:t>
      </w:r>
      <w:r>
        <w:rPr>
          <w:rFonts w:hint="eastAsia" w:asciiTheme="minorEastAsia" w:hAnsiTheme="minorEastAsia"/>
          <w:bCs/>
          <w:kern w:val="0"/>
          <w:sz w:val="32"/>
          <w:szCs w:val="32"/>
        </w:rPr>
        <w:t>和上级发改部门提出的目标和任务，克服困难，开拓进取，较好的完成了2019年的工作任务。各项经济指标在全市排名靠前，同时在争资跑项、重点项目建设、深化制度改革、“三大攻坚战”、价格监管、规划编制等方面均取得了突出成效。</w:t>
      </w:r>
    </w:p>
    <w:p w14:paraId="116BA83D">
      <w:pPr>
        <w:widowControl/>
        <w:spacing w:line="600" w:lineRule="exact"/>
        <w:ind w:firstLine="640" w:firstLineChars="200"/>
        <w:rPr>
          <w:rFonts w:asciiTheme="minorEastAsia" w:hAnsiTheme="minorEastAsia"/>
          <w:bCs/>
          <w:kern w:val="0"/>
          <w:sz w:val="32"/>
          <w:szCs w:val="32"/>
        </w:rPr>
      </w:pPr>
      <w:r>
        <w:rPr>
          <w:rFonts w:hint="eastAsia" w:asciiTheme="minorEastAsia" w:hAnsiTheme="minorEastAsia"/>
          <w:bCs/>
          <w:kern w:val="0"/>
          <w:sz w:val="32"/>
          <w:szCs w:val="32"/>
        </w:rPr>
        <w:t>部门整体支出绩效情况如下：</w:t>
      </w:r>
    </w:p>
    <w:p w14:paraId="2A4487CA">
      <w:pPr>
        <w:widowControl/>
        <w:spacing w:line="600" w:lineRule="exact"/>
        <w:ind w:firstLine="640" w:firstLineChars="200"/>
        <w:rPr>
          <w:rFonts w:asciiTheme="minorEastAsia" w:hAnsiTheme="minorEastAsia"/>
          <w:bCs/>
          <w:kern w:val="0"/>
          <w:sz w:val="32"/>
          <w:szCs w:val="32"/>
        </w:rPr>
      </w:pPr>
      <w:r>
        <w:rPr>
          <w:rFonts w:hint="eastAsia" w:asciiTheme="minorEastAsia" w:hAnsiTheme="minorEastAsia"/>
          <w:bCs/>
          <w:kern w:val="0"/>
          <w:sz w:val="32"/>
          <w:szCs w:val="32"/>
        </w:rPr>
        <w:t>1、重点支出安排率: 100%</w:t>
      </w:r>
    </w:p>
    <w:p w14:paraId="5659C3AD">
      <w:pPr>
        <w:widowControl/>
        <w:spacing w:line="600" w:lineRule="exact"/>
        <w:ind w:firstLine="640" w:firstLineChars="200"/>
        <w:rPr>
          <w:rFonts w:asciiTheme="minorEastAsia" w:hAnsiTheme="minorEastAsia"/>
          <w:bCs/>
          <w:kern w:val="0"/>
          <w:sz w:val="32"/>
          <w:szCs w:val="32"/>
        </w:rPr>
      </w:pPr>
      <w:r>
        <w:rPr>
          <w:rFonts w:hint="eastAsia" w:asciiTheme="minorEastAsia" w:hAnsiTheme="minorEastAsia"/>
          <w:bCs/>
          <w:kern w:val="0"/>
          <w:sz w:val="32"/>
          <w:szCs w:val="32"/>
        </w:rPr>
        <w:t>2、在职人员控制率：100%</w:t>
      </w:r>
    </w:p>
    <w:p w14:paraId="6568DB8D">
      <w:pPr>
        <w:widowControl/>
        <w:spacing w:line="600" w:lineRule="exact"/>
        <w:ind w:firstLine="640" w:firstLineChars="200"/>
        <w:rPr>
          <w:rFonts w:asciiTheme="minorEastAsia" w:hAnsiTheme="minorEastAsia"/>
          <w:bCs/>
          <w:kern w:val="0"/>
          <w:sz w:val="32"/>
          <w:szCs w:val="32"/>
        </w:rPr>
      </w:pPr>
      <w:r>
        <w:rPr>
          <w:rFonts w:hint="eastAsia" w:asciiTheme="minorEastAsia" w:hAnsiTheme="minorEastAsia"/>
          <w:bCs/>
          <w:kern w:val="0"/>
          <w:sz w:val="32"/>
          <w:szCs w:val="32"/>
        </w:rPr>
        <w:t>3、“三公经费”控制率：100%，严格控制“三公经费”支出，开源节流。</w:t>
      </w:r>
    </w:p>
    <w:p w14:paraId="57E92F75">
      <w:pPr>
        <w:widowControl/>
        <w:spacing w:line="600" w:lineRule="exact"/>
        <w:ind w:firstLine="640" w:firstLineChars="200"/>
        <w:rPr>
          <w:rFonts w:asciiTheme="minorEastAsia" w:hAnsiTheme="minorEastAsia"/>
          <w:bCs/>
          <w:kern w:val="0"/>
          <w:sz w:val="32"/>
          <w:szCs w:val="32"/>
        </w:rPr>
      </w:pPr>
      <w:r>
        <w:rPr>
          <w:rFonts w:hint="eastAsia" w:asciiTheme="minorEastAsia" w:hAnsiTheme="minorEastAsia"/>
          <w:bCs/>
          <w:kern w:val="0"/>
          <w:sz w:val="32"/>
          <w:szCs w:val="32"/>
        </w:rPr>
        <w:t>4、预算完成率：86.4%</w:t>
      </w:r>
    </w:p>
    <w:p w14:paraId="1F5D112E">
      <w:pPr>
        <w:widowControl/>
        <w:spacing w:line="600" w:lineRule="exact"/>
        <w:ind w:firstLine="640" w:firstLineChars="200"/>
        <w:rPr>
          <w:rFonts w:asciiTheme="minorEastAsia" w:hAnsiTheme="minorEastAsia"/>
          <w:bCs/>
          <w:kern w:val="0"/>
          <w:sz w:val="32"/>
          <w:szCs w:val="32"/>
        </w:rPr>
      </w:pPr>
      <w:r>
        <w:rPr>
          <w:rFonts w:hint="eastAsia" w:asciiTheme="minorEastAsia" w:hAnsiTheme="minorEastAsia"/>
          <w:bCs/>
          <w:kern w:val="0"/>
          <w:sz w:val="32"/>
          <w:szCs w:val="32"/>
        </w:rPr>
        <w:t>5、预算变动率：31.6%，由于上年结转以及争资引项、固定资产投资、产业项目建设等各项工作的奖励资金等追加预算所致。</w:t>
      </w:r>
    </w:p>
    <w:p w14:paraId="6FE72B76">
      <w:pPr>
        <w:widowControl/>
        <w:spacing w:line="600" w:lineRule="exact"/>
        <w:ind w:firstLine="640" w:firstLineChars="200"/>
        <w:rPr>
          <w:rFonts w:asciiTheme="minorEastAsia" w:hAnsiTheme="minorEastAsia"/>
          <w:bCs/>
          <w:kern w:val="0"/>
          <w:sz w:val="32"/>
          <w:szCs w:val="32"/>
        </w:rPr>
      </w:pPr>
      <w:r>
        <w:rPr>
          <w:rFonts w:hint="eastAsia" w:asciiTheme="minorEastAsia" w:hAnsiTheme="minorEastAsia"/>
          <w:bCs/>
          <w:kern w:val="0"/>
          <w:sz w:val="32"/>
          <w:szCs w:val="32"/>
        </w:rPr>
        <w:t>6、政府采购执行率：100%</w:t>
      </w:r>
    </w:p>
    <w:p w14:paraId="361D3D4F">
      <w:pPr>
        <w:widowControl/>
        <w:spacing w:line="600" w:lineRule="exact"/>
        <w:ind w:firstLine="640" w:firstLineChars="200"/>
        <w:rPr>
          <w:rFonts w:asciiTheme="minorEastAsia" w:hAnsiTheme="minorEastAsia"/>
          <w:bCs/>
          <w:kern w:val="0"/>
          <w:sz w:val="32"/>
          <w:szCs w:val="32"/>
        </w:rPr>
      </w:pPr>
      <w:r>
        <w:rPr>
          <w:rFonts w:hint="eastAsia" w:asciiTheme="minorEastAsia" w:hAnsiTheme="minorEastAsia"/>
          <w:bCs/>
          <w:kern w:val="0"/>
          <w:sz w:val="32"/>
          <w:szCs w:val="32"/>
        </w:rPr>
        <w:t>7、在资金管理上，我局制定了一系列的财务管理制度。</w:t>
      </w:r>
    </w:p>
    <w:p w14:paraId="52DFE15B">
      <w:pPr>
        <w:pStyle w:val="10"/>
        <w:spacing w:line="600" w:lineRule="exact"/>
        <w:ind w:firstLine="640" w:firstLineChars="200"/>
        <w:rPr>
          <w:rFonts w:asciiTheme="minorEastAsia" w:hAnsiTheme="minorEastAsia" w:eastAsiaTheme="minorEastAsia" w:cstheme="minorBidi"/>
          <w:bCs/>
          <w:color w:val="auto"/>
          <w:sz w:val="32"/>
          <w:szCs w:val="32"/>
        </w:rPr>
      </w:pPr>
      <w:r>
        <w:rPr>
          <w:rFonts w:hint="eastAsia" w:asciiTheme="minorEastAsia" w:hAnsiTheme="minorEastAsia" w:eastAsiaTheme="minorEastAsia" w:cstheme="minorBidi"/>
          <w:bCs/>
          <w:color w:val="auto"/>
          <w:sz w:val="32"/>
          <w:szCs w:val="32"/>
        </w:rPr>
        <w:t>具体绩效自评报告见附件。</w:t>
      </w:r>
    </w:p>
    <w:p w14:paraId="028DFEAB">
      <w:pPr>
        <w:pStyle w:val="10"/>
        <w:spacing w:line="600" w:lineRule="exact"/>
        <w:ind w:firstLine="640" w:firstLineChars="200"/>
        <w:rPr>
          <w:rFonts w:asciiTheme="minorEastAsia" w:hAnsiTheme="minorEastAsia" w:eastAsiaTheme="minorEastAsia" w:cstheme="minorBidi"/>
          <w:bCs/>
          <w:color w:val="auto"/>
          <w:sz w:val="32"/>
          <w:szCs w:val="32"/>
        </w:rPr>
      </w:pPr>
    </w:p>
    <w:p w14:paraId="1051CAC0">
      <w:pPr>
        <w:pStyle w:val="10"/>
        <w:rPr>
          <w:rFonts w:hAnsi="黑体"/>
          <w:b/>
          <w:sz w:val="32"/>
          <w:szCs w:val="32"/>
        </w:rPr>
      </w:pPr>
      <w:r>
        <w:rPr>
          <w:rFonts w:hint="eastAsia" w:hAnsi="黑体"/>
          <w:b/>
          <w:sz w:val="32"/>
          <w:szCs w:val="32"/>
        </w:rPr>
        <w:t>十、其他重要事项情况说明</w:t>
      </w:r>
    </w:p>
    <w:p w14:paraId="0CD0583F">
      <w:pPr>
        <w:ind w:firstLine="281" w:firstLineChars="100"/>
        <w:jc w:val="left"/>
        <w:rPr>
          <w:rFonts w:ascii="仿宋_GB2312" w:eastAsia="仿宋_GB2312" w:hAnsiTheme="minorEastAsia"/>
          <w:b/>
          <w:bCs/>
          <w:sz w:val="28"/>
          <w:szCs w:val="32"/>
        </w:rPr>
      </w:pPr>
      <w:r>
        <w:rPr>
          <w:rFonts w:hint="eastAsia" w:ascii="仿宋_GB2312" w:eastAsia="仿宋_GB2312" w:hAnsiTheme="minorEastAsia"/>
          <w:b/>
          <w:bCs/>
          <w:sz w:val="28"/>
          <w:szCs w:val="32"/>
        </w:rPr>
        <w:t>（一）机关运行经费支出情况</w:t>
      </w:r>
    </w:p>
    <w:p w14:paraId="600D928D">
      <w:pPr>
        <w:spacing w:line="600" w:lineRule="exact"/>
        <w:ind w:firstLine="640" w:firstLineChars="200"/>
        <w:rPr>
          <w:rFonts w:cs="黑体" w:asciiTheme="minorEastAsia" w:hAnsiTheme="minorEastAsia"/>
          <w:color w:val="000000"/>
          <w:kern w:val="0"/>
          <w:sz w:val="32"/>
          <w:szCs w:val="32"/>
        </w:rPr>
      </w:pPr>
      <w:r>
        <w:rPr>
          <w:rFonts w:hint="eastAsia" w:cs="黑体" w:asciiTheme="minorEastAsia" w:hAnsiTheme="minorEastAsia"/>
          <w:color w:val="000000"/>
          <w:kern w:val="0"/>
          <w:sz w:val="32"/>
          <w:szCs w:val="32"/>
        </w:rPr>
        <w:t>本部门2019 年度机关运行经费支出119.47万元，比年初预算数增加78.07万元，增长188.57%。主要原因是：我单位年初预算中公用经费的金额偏低，日常运行中办公经费等存在较大资金缺口所致。</w:t>
      </w:r>
    </w:p>
    <w:p w14:paraId="38A915A9">
      <w:pPr>
        <w:ind w:firstLine="281" w:firstLineChars="100"/>
        <w:jc w:val="left"/>
        <w:rPr>
          <w:rFonts w:ascii="仿宋_GB2312" w:eastAsia="仿宋_GB2312" w:hAnsiTheme="minorEastAsia"/>
          <w:b/>
          <w:bCs/>
          <w:sz w:val="28"/>
          <w:szCs w:val="32"/>
        </w:rPr>
      </w:pPr>
      <w:r>
        <w:rPr>
          <w:rFonts w:hint="eastAsia" w:ascii="仿宋_GB2312" w:eastAsia="仿宋_GB2312" w:hAnsiTheme="minorEastAsia"/>
          <w:b/>
          <w:bCs/>
          <w:sz w:val="28"/>
          <w:szCs w:val="32"/>
        </w:rPr>
        <w:t>（二）一般性支出情况</w:t>
      </w:r>
    </w:p>
    <w:p w14:paraId="40CB2C9E">
      <w:pPr>
        <w:spacing w:line="600" w:lineRule="exact"/>
        <w:ind w:firstLine="640" w:firstLineChars="200"/>
        <w:rPr>
          <w:rFonts w:cs="黑体" w:asciiTheme="minorEastAsia" w:hAnsiTheme="minorEastAsia"/>
          <w:color w:val="000000"/>
          <w:kern w:val="0"/>
          <w:sz w:val="32"/>
          <w:szCs w:val="32"/>
        </w:rPr>
      </w:pPr>
      <w:r>
        <w:rPr>
          <w:rFonts w:hint="eastAsia" w:cs="黑体" w:asciiTheme="minorEastAsia" w:hAnsiTheme="minorEastAsia"/>
          <w:color w:val="000000"/>
          <w:kern w:val="0"/>
          <w:sz w:val="32"/>
          <w:szCs w:val="32"/>
        </w:rPr>
        <w:t>2019年本部门开支会议费11.07万元，用于召开重点项目建设推进、固定资产联网直报等会议，人数约为550人，内容为布置全县重点项目任务、推进固定资产联网直报工作等。开支培训费3.58万元，用于开展规上服务业、固定资产投资工作业务培训，人数约为170人，内容为规上服务业、固定资产投资统计报表等业务；没有举办节庆、晚会、论坛、赛事活动。</w:t>
      </w:r>
    </w:p>
    <w:p w14:paraId="47A28414">
      <w:pPr>
        <w:ind w:firstLine="281" w:firstLineChars="100"/>
        <w:jc w:val="left"/>
        <w:rPr>
          <w:rFonts w:ascii="仿宋_GB2312" w:eastAsia="仿宋_GB2312" w:hAnsiTheme="minorEastAsia"/>
          <w:b/>
          <w:bCs/>
          <w:sz w:val="28"/>
          <w:szCs w:val="32"/>
        </w:rPr>
      </w:pPr>
      <w:r>
        <w:rPr>
          <w:rFonts w:hint="eastAsia" w:ascii="仿宋_GB2312" w:eastAsia="仿宋_GB2312" w:hAnsiTheme="minorEastAsia"/>
          <w:b/>
          <w:bCs/>
          <w:sz w:val="28"/>
          <w:szCs w:val="32"/>
        </w:rPr>
        <w:t>（三）政府采购支出情况</w:t>
      </w:r>
    </w:p>
    <w:p w14:paraId="13C9E32B">
      <w:pPr>
        <w:spacing w:line="600" w:lineRule="exact"/>
        <w:ind w:firstLine="640" w:firstLineChars="200"/>
        <w:rPr>
          <w:rFonts w:hint="eastAsia" w:cs="黑体" w:asciiTheme="minorEastAsia" w:hAnsiTheme="minorEastAsia"/>
          <w:color w:val="000000"/>
          <w:kern w:val="0"/>
          <w:sz w:val="32"/>
          <w:szCs w:val="32"/>
          <w:lang w:eastAsia="zh-CN"/>
        </w:rPr>
      </w:pPr>
      <w:r>
        <w:rPr>
          <w:rFonts w:hint="eastAsia" w:cs="黑体" w:asciiTheme="minorEastAsia" w:hAnsiTheme="minorEastAsia"/>
          <w:color w:val="000000"/>
          <w:kern w:val="0"/>
          <w:sz w:val="32"/>
          <w:szCs w:val="32"/>
        </w:rPr>
        <w:t>本部门2019年度政府采购支出总额12.36万元，其中：政府采购货物支出4.70万元、政府采购工程支出7.66万元、政府采购服务支出0万元。授予中小企业合同金额12.36万元，占政府采购支出总额的100%，其中：授予小微企业合同金额12.36万元，占政府采购支出总额的100%。政府采购支出</w:t>
      </w:r>
      <w:r>
        <w:rPr>
          <w:rFonts w:hint="eastAsia" w:cs="黑体" w:asciiTheme="minorEastAsia" w:hAnsiTheme="minorEastAsia"/>
          <w:color w:val="000000"/>
          <w:kern w:val="0"/>
          <w:sz w:val="32"/>
          <w:szCs w:val="32"/>
          <w:lang w:eastAsia="zh-CN"/>
        </w:rPr>
        <w:t>主要内容用于单位业务采购。</w:t>
      </w:r>
    </w:p>
    <w:p w14:paraId="75FBA2B9">
      <w:pPr>
        <w:ind w:firstLine="281" w:firstLineChars="100"/>
        <w:jc w:val="left"/>
        <w:rPr>
          <w:rFonts w:hint="eastAsia" w:ascii="仿宋_GB2312" w:eastAsia="仿宋_GB2312" w:hAnsiTheme="minorEastAsia"/>
          <w:b/>
          <w:bCs/>
          <w:sz w:val="28"/>
          <w:szCs w:val="32"/>
        </w:rPr>
      </w:pPr>
      <w:r>
        <w:rPr>
          <w:rFonts w:hint="eastAsia" w:ascii="仿宋_GB2312" w:eastAsia="仿宋_GB2312" w:hAnsiTheme="minorEastAsia"/>
          <w:b/>
          <w:bCs/>
          <w:sz w:val="28"/>
          <w:szCs w:val="32"/>
        </w:rPr>
        <w:t>（四）国有资产占用情况</w:t>
      </w:r>
    </w:p>
    <w:p w14:paraId="0C3F583F">
      <w:pPr>
        <w:spacing w:line="600" w:lineRule="exact"/>
        <w:ind w:firstLine="640" w:firstLineChars="200"/>
        <w:rPr>
          <w:rFonts w:cs="黑体" w:asciiTheme="minorEastAsia" w:hAnsiTheme="minorEastAsia"/>
          <w:color w:val="000000"/>
          <w:kern w:val="0"/>
          <w:sz w:val="32"/>
          <w:szCs w:val="32"/>
        </w:rPr>
      </w:pPr>
      <w:r>
        <w:rPr>
          <w:rFonts w:hint="eastAsia" w:cs="黑体" w:asciiTheme="minorEastAsia" w:hAnsiTheme="minorEastAsia"/>
          <w:color w:val="000000"/>
          <w:kern w:val="0"/>
          <w:sz w:val="32"/>
          <w:szCs w:val="32"/>
        </w:rPr>
        <w:t>截至2019年12月31日，本单位共有车辆0辆；单位价值50万元以上通用设备0台（套）；单位价值100万元以上专用设备0台（套）。</w:t>
      </w:r>
    </w:p>
    <w:p w14:paraId="39B48CA4">
      <w:pPr>
        <w:widowControl/>
        <w:jc w:val="left"/>
        <w:rPr>
          <w:rFonts w:cs="黑体" w:asciiTheme="minorEastAsia" w:hAnsiTheme="minorEastAsia"/>
          <w:color w:val="000000"/>
          <w:kern w:val="0"/>
          <w:sz w:val="32"/>
          <w:szCs w:val="32"/>
        </w:rPr>
      </w:pPr>
      <w:r>
        <w:rPr>
          <w:rFonts w:cs="黑体" w:asciiTheme="minorEastAsia" w:hAnsiTheme="minorEastAsia"/>
          <w:color w:val="000000"/>
          <w:kern w:val="0"/>
          <w:sz w:val="32"/>
          <w:szCs w:val="32"/>
        </w:rPr>
        <w:br w:type="page"/>
      </w:r>
    </w:p>
    <w:p w14:paraId="6A15D5E8">
      <w:pPr>
        <w:ind w:firstLine="640" w:firstLineChars="200"/>
        <w:rPr>
          <w:rFonts w:cs="黑体" w:asciiTheme="minorEastAsia" w:hAnsiTheme="minorEastAsia"/>
          <w:color w:val="000000"/>
          <w:kern w:val="0"/>
          <w:sz w:val="32"/>
          <w:szCs w:val="32"/>
        </w:rPr>
      </w:pPr>
    </w:p>
    <w:p w14:paraId="3F0BB7E0">
      <w:pPr>
        <w:pStyle w:val="10"/>
        <w:jc w:val="center"/>
        <w:rPr>
          <w:sz w:val="72"/>
          <w:szCs w:val="72"/>
        </w:rPr>
      </w:pPr>
    </w:p>
    <w:p w14:paraId="6EBC621D">
      <w:pPr>
        <w:pStyle w:val="10"/>
        <w:jc w:val="center"/>
        <w:rPr>
          <w:sz w:val="72"/>
          <w:szCs w:val="72"/>
        </w:rPr>
      </w:pPr>
    </w:p>
    <w:p w14:paraId="3187EEE1">
      <w:pPr>
        <w:pStyle w:val="10"/>
        <w:jc w:val="center"/>
        <w:rPr>
          <w:sz w:val="72"/>
          <w:szCs w:val="72"/>
        </w:rPr>
      </w:pPr>
    </w:p>
    <w:p w14:paraId="3FCBF14A">
      <w:pPr>
        <w:pStyle w:val="10"/>
        <w:jc w:val="center"/>
        <w:rPr>
          <w:sz w:val="72"/>
          <w:szCs w:val="72"/>
        </w:rPr>
      </w:pPr>
    </w:p>
    <w:p w14:paraId="5A5C2EA6">
      <w:pPr>
        <w:pStyle w:val="10"/>
        <w:jc w:val="center"/>
        <w:rPr>
          <w:sz w:val="72"/>
          <w:szCs w:val="72"/>
        </w:rPr>
      </w:pPr>
      <w:r>
        <w:rPr>
          <w:rFonts w:hint="eastAsia"/>
          <w:sz w:val="72"/>
          <w:szCs w:val="72"/>
        </w:rPr>
        <w:t>第四部分</w:t>
      </w:r>
    </w:p>
    <w:p w14:paraId="285E851A">
      <w:pPr>
        <w:jc w:val="center"/>
        <w:rPr>
          <w:rFonts w:ascii="黑体" w:eastAsia="黑体" w:cs="黑体"/>
          <w:color w:val="000000"/>
          <w:kern w:val="0"/>
          <w:sz w:val="70"/>
          <w:szCs w:val="70"/>
        </w:rPr>
      </w:pPr>
    </w:p>
    <w:p w14:paraId="40CCF8DA">
      <w:pPr>
        <w:jc w:val="center"/>
        <w:rPr>
          <w:rFonts w:ascii="黑体" w:eastAsia="黑体" w:cs="黑体"/>
          <w:color w:val="000000"/>
          <w:kern w:val="0"/>
          <w:sz w:val="70"/>
          <w:szCs w:val="70"/>
        </w:rPr>
      </w:pPr>
      <w:r>
        <w:rPr>
          <w:rFonts w:hint="eastAsia" w:ascii="黑体" w:eastAsia="黑体" w:cs="黑体"/>
          <w:color w:val="000000"/>
          <w:kern w:val="0"/>
          <w:sz w:val="70"/>
          <w:szCs w:val="70"/>
        </w:rPr>
        <w:t>名词解释</w:t>
      </w:r>
    </w:p>
    <w:p w14:paraId="3D6BF4E8">
      <w:pPr>
        <w:widowControl/>
        <w:jc w:val="left"/>
        <w:rPr>
          <w:rFonts w:ascii="黑体" w:eastAsia="黑体" w:cs="黑体"/>
          <w:color w:val="000000"/>
          <w:kern w:val="0"/>
          <w:sz w:val="70"/>
          <w:szCs w:val="70"/>
        </w:rPr>
      </w:pPr>
      <w:r>
        <w:rPr>
          <w:rFonts w:ascii="黑体" w:eastAsia="黑体" w:cs="黑体"/>
          <w:color w:val="000000"/>
          <w:kern w:val="0"/>
          <w:sz w:val="70"/>
          <w:szCs w:val="70"/>
        </w:rPr>
        <w:br w:type="page"/>
      </w:r>
    </w:p>
    <w:p w14:paraId="6EDE6658">
      <w:pPr>
        <w:ind w:firstLine="640" w:firstLineChars="200"/>
        <w:jc w:val="left"/>
        <w:rPr>
          <w:rFonts w:cs="黑体" w:asciiTheme="minorEastAsia" w:hAnsiTheme="minorEastAsia"/>
          <w:color w:val="000000"/>
          <w:kern w:val="0"/>
          <w:sz w:val="32"/>
          <w:szCs w:val="32"/>
        </w:rPr>
      </w:pPr>
    </w:p>
    <w:p w14:paraId="3EDC4F4E">
      <w:pPr>
        <w:pStyle w:val="10"/>
        <w:rPr>
          <w:rFonts w:hAnsi="黑体"/>
          <w:b/>
          <w:sz w:val="32"/>
          <w:szCs w:val="32"/>
        </w:rPr>
      </w:pPr>
      <w:r>
        <w:rPr>
          <w:rFonts w:hint="eastAsia" w:hAnsi="黑体"/>
          <w:b/>
          <w:sz w:val="32"/>
          <w:szCs w:val="32"/>
        </w:rPr>
        <w:t>一、财政拨款收入：指财政当年拨付的资金。</w:t>
      </w:r>
    </w:p>
    <w:p w14:paraId="3E180852">
      <w:pPr>
        <w:pStyle w:val="10"/>
        <w:rPr>
          <w:rFonts w:hAnsi="黑体"/>
          <w:b/>
          <w:sz w:val="32"/>
          <w:szCs w:val="32"/>
        </w:rPr>
      </w:pPr>
      <w:r>
        <w:rPr>
          <w:rFonts w:hint="eastAsia" w:hAnsi="黑体"/>
          <w:b/>
          <w:sz w:val="32"/>
          <w:szCs w:val="32"/>
        </w:rPr>
        <w:t>二、年初结转和结余：指以前年度尚未完成、结转到本年按有关规定继续使用的资金。</w:t>
      </w:r>
    </w:p>
    <w:p w14:paraId="2894487E">
      <w:pPr>
        <w:pStyle w:val="10"/>
        <w:rPr>
          <w:rFonts w:hAnsi="黑体"/>
          <w:b/>
          <w:sz w:val="32"/>
          <w:szCs w:val="32"/>
        </w:rPr>
      </w:pPr>
      <w:r>
        <w:rPr>
          <w:rFonts w:hint="eastAsia" w:hAnsi="黑体"/>
          <w:b/>
          <w:sz w:val="32"/>
          <w:szCs w:val="32"/>
        </w:rPr>
        <w:t>三、年末结转和结余：指本年度或以前年度预算安排、因客观条件发生变化无法按计划实施，需要延迟到以后年度按有关规定继续使用的资金。</w:t>
      </w:r>
    </w:p>
    <w:p w14:paraId="7149B32A">
      <w:pPr>
        <w:pStyle w:val="10"/>
        <w:rPr>
          <w:rFonts w:hAnsi="黑体"/>
          <w:b/>
          <w:sz w:val="32"/>
          <w:szCs w:val="32"/>
        </w:rPr>
      </w:pPr>
      <w:r>
        <w:rPr>
          <w:rFonts w:hint="eastAsia" w:hAnsi="黑体"/>
          <w:b/>
          <w:sz w:val="32"/>
          <w:szCs w:val="32"/>
        </w:rPr>
        <w:t>四、基本支出：指为保障机构正常运转、完成日常工作任务而发生的人员支出和公用支出。</w:t>
      </w:r>
    </w:p>
    <w:p w14:paraId="03F792AB">
      <w:pPr>
        <w:pStyle w:val="10"/>
        <w:rPr>
          <w:rFonts w:hAnsi="黑体"/>
          <w:b/>
          <w:sz w:val="32"/>
          <w:szCs w:val="32"/>
        </w:rPr>
      </w:pPr>
      <w:r>
        <w:rPr>
          <w:rFonts w:hint="eastAsia" w:hAnsi="黑体"/>
          <w:b/>
          <w:sz w:val="32"/>
          <w:szCs w:val="32"/>
        </w:rPr>
        <w:t>五、项目支出：指在基本支出之外为完成特定行政任务和事业发展目标所发生的支出。</w:t>
      </w:r>
    </w:p>
    <w:p w14:paraId="7A8D239F">
      <w:pPr>
        <w:pStyle w:val="10"/>
        <w:rPr>
          <w:rFonts w:hAnsi="黑体"/>
          <w:b/>
          <w:sz w:val="32"/>
          <w:szCs w:val="32"/>
        </w:rPr>
      </w:pPr>
      <w:r>
        <w:rPr>
          <w:rFonts w:hint="eastAsia" w:hAnsi="黑体"/>
          <w:b/>
          <w:sz w:val="32"/>
          <w:szCs w:val="32"/>
        </w:rPr>
        <w:t>六、“三公”经费：指财政拨款安排的因公出国（境）、公务用车购置及运行费和公务接待费。</w:t>
      </w:r>
    </w:p>
    <w:p w14:paraId="6F14A310">
      <w:pPr>
        <w:pStyle w:val="10"/>
        <w:rPr>
          <w:rFonts w:hAnsi="黑体"/>
          <w:b/>
          <w:sz w:val="32"/>
          <w:szCs w:val="32"/>
        </w:rPr>
      </w:pPr>
      <w:r>
        <w:rPr>
          <w:rFonts w:hint="eastAsia" w:hAnsi="黑体"/>
          <w:b/>
          <w:sz w:val="32"/>
          <w:szCs w:val="32"/>
        </w:rPr>
        <w:t>七、机关运行经费：为保障行政单位运行用于购买货物和服务的各项资金，包括办公费、印刷费、邮电费、差旅费、会议费、福利费、日常维修费、专用材料及一般设备购置费、办公用房水电费、办公用房取暖费、办公用房物业管理费、公务用车购置运行费以及其他费用。</w:t>
      </w:r>
    </w:p>
    <w:p w14:paraId="4F61744C">
      <w:pPr>
        <w:rPr>
          <w:rFonts w:ascii="Times New Roman" w:hAnsi="Times New Roman" w:cs="Times New Roman"/>
        </w:rPr>
      </w:pPr>
    </w:p>
    <w:p w14:paraId="6594F372">
      <w:pPr>
        <w:pStyle w:val="10"/>
        <w:jc w:val="center"/>
        <w:rPr>
          <w:sz w:val="72"/>
          <w:szCs w:val="72"/>
        </w:rPr>
      </w:pPr>
    </w:p>
    <w:p w14:paraId="4358CA66">
      <w:pPr>
        <w:pStyle w:val="10"/>
        <w:jc w:val="center"/>
        <w:rPr>
          <w:sz w:val="72"/>
          <w:szCs w:val="72"/>
        </w:rPr>
      </w:pPr>
    </w:p>
    <w:p w14:paraId="005F5710">
      <w:pPr>
        <w:pStyle w:val="10"/>
        <w:jc w:val="center"/>
        <w:rPr>
          <w:sz w:val="72"/>
          <w:szCs w:val="72"/>
        </w:rPr>
      </w:pPr>
    </w:p>
    <w:p w14:paraId="002AF3A6">
      <w:pPr>
        <w:pStyle w:val="10"/>
        <w:jc w:val="center"/>
        <w:rPr>
          <w:sz w:val="72"/>
          <w:szCs w:val="72"/>
        </w:rPr>
      </w:pPr>
    </w:p>
    <w:p w14:paraId="4AA19B75">
      <w:pPr>
        <w:pStyle w:val="10"/>
        <w:jc w:val="center"/>
        <w:rPr>
          <w:sz w:val="72"/>
          <w:szCs w:val="72"/>
        </w:rPr>
      </w:pPr>
    </w:p>
    <w:p w14:paraId="7FBC28BF">
      <w:pPr>
        <w:pStyle w:val="10"/>
        <w:jc w:val="center"/>
        <w:rPr>
          <w:sz w:val="72"/>
          <w:szCs w:val="72"/>
        </w:rPr>
      </w:pPr>
    </w:p>
    <w:p w14:paraId="1ED841EB">
      <w:pPr>
        <w:pStyle w:val="10"/>
        <w:jc w:val="center"/>
        <w:rPr>
          <w:sz w:val="72"/>
          <w:szCs w:val="72"/>
        </w:rPr>
      </w:pPr>
      <w:r>
        <w:rPr>
          <w:rFonts w:hint="eastAsia"/>
          <w:sz w:val="72"/>
          <w:szCs w:val="72"/>
        </w:rPr>
        <w:t>第五部分</w:t>
      </w:r>
    </w:p>
    <w:p w14:paraId="4B9DF784">
      <w:pPr>
        <w:jc w:val="center"/>
        <w:rPr>
          <w:rFonts w:ascii="黑体" w:eastAsia="黑体" w:cs="黑体"/>
          <w:color w:val="000000"/>
          <w:kern w:val="0"/>
          <w:sz w:val="70"/>
          <w:szCs w:val="70"/>
        </w:rPr>
      </w:pPr>
    </w:p>
    <w:p w14:paraId="48490959">
      <w:pPr>
        <w:jc w:val="center"/>
        <w:rPr>
          <w:rFonts w:ascii="黑体" w:eastAsia="黑体" w:cs="黑体"/>
          <w:color w:val="000000"/>
          <w:kern w:val="0"/>
          <w:sz w:val="70"/>
          <w:szCs w:val="70"/>
        </w:rPr>
      </w:pPr>
      <w:r>
        <w:rPr>
          <w:rFonts w:hint="eastAsia" w:ascii="黑体" w:eastAsia="黑体" w:cs="黑体"/>
          <w:color w:val="000000"/>
          <w:kern w:val="0"/>
          <w:sz w:val="70"/>
          <w:szCs w:val="70"/>
        </w:rPr>
        <w:t>附  件</w:t>
      </w:r>
    </w:p>
    <w:p w14:paraId="0C3CE0AB">
      <w:pPr>
        <w:widowControl/>
        <w:jc w:val="left"/>
        <w:rPr>
          <w:rFonts w:ascii="黑体" w:eastAsia="黑体" w:cs="黑体"/>
          <w:color w:val="000000"/>
          <w:kern w:val="0"/>
          <w:sz w:val="70"/>
          <w:szCs w:val="70"/>
        </w:rPr>
      </w:pPr>
      <w:r>
        <w:rPr>
          <w:rFonts w:ascii="黑体" w:eastAsia="黑体" w:cs="黑体"/>
          <w:color w:val="000000"/>
          <w:kern w:val="0"/>
          <w:sz w:val="70"/>
          <w:szCs w:val="70"/>
        </w:rPr>
        <w:br w:type="page"/>
      </w:r>
    </w:p>
    <w:p w14:paraId="70DEACA5">
      <w:pPr>
        <w:jc w:val="center"/>
        <w:rPr>
          <w:rFonts w:ascii="黑体" w:eastAsia="黑体" w:cs="黑体"/>
          <w:color w:val="000000"/>
          <w:kern w:val="0"/>
          <w:sz w:val="70"/>
          <w:szCs w:val="70"/>
        </w:rPr>
      </w:pPr>
    </w:p>
    <w:p w14:paraId="62E12DB6">
      <w:pPr>
        <w:ind w:firstLine="643" w:firstLineChars="200"/>
        <w:jc w:val="center"/>
        <w:rPr>
          <w:rFonts w:cs="黑体" w:asciiTheme="minorEastAsia" w:hAnsiTheme="minorEastAsia"/>
          <w:b/>
          <w:color w:val="000000"/>
          <w:kern w:val="0"/>
          <w:sz w:val="32"/>
          <w:szCs w:val="32"/>
        </w:rPr>
      </w:pPr>
      <w:r>
        <w:rPr>
          <w:rFonts w:hint="eastAsia" w:cs="黑体" w:asciiTheme="minorEastAsia" w:hAnsiTheme="minorEastAsia"/>
          <w:b/>
          <w:color w:val="000000"/>
          <w:kern w:val="0"/>
          <w:sz w:val="32"/>
          <w:szCs w:val="32"/>
        </w:rPr>
        <w:t>2019年度部门整体支出绩效评价报告</w:t>
      </w:r>
    </w:p>
    <w:p w14:paraId="00D75DCC">
      <w:pPr>
        <w:spacing w:line="600" w:lineRule="exact"/>
        <w:ind w:firstLine="640" w:firstLineChars="200"/>
        <w:rPr>
          <w:rFonts w:ascii="仿宋" w:hAnsi="仿宋" w:eastAsia="仿宋" w:cs="仿宋"/>
          <w:b/>
          <w:bCs/>
          <w:kern w:val="0"/>
          <w:sz w:val="32"/>
          <w:szCs w:val="32"/>
        </w:rPr>
      </w:pPr>
      <w:r>
        <w:rPr>
          <w:rFonts w:hint="eastAsia" w:ascii="仿宋_GB2312" w:hAnsi="仿宋_GB2312" w:eastAsia="仿宋_GB2312" w:cs="仿宋_GB2312"/>
          <w:kern w:val="0"/>
          <w:sz w:val="32"/>
          <w:szCs w:val="32"/>
        </w:rPr>
        <w:t>为加强财政预算资金管理，进一步规范预算资金使用，提高财政资金使用效益，根据《衡南县财政局关于开展2019年度县级财政资金绩效自评工作的通知》要求，我局对2019年度本单位整体支出进行了绩效自评，现将具体绩效评价情况报告如下：          </w:t>
      </w:r>
      <w:r>
        <w:rPr>
          <w:rFonts w:hint="eastAsia" w:ascii="仿宋" w:hAnsi="仿宋" w:eastAsia="仿宋"/>
          <w:spacing w:val="-2"/>
          <w:sz w:val="32"/>
          <w:szCs w:val="32"/>
        </w:rPr>
        <w:t xml:space="preserve"> </w:t>
      </w:r>
      <w:r>
        <w:rPr>
          <w:rFonts w:hint="eastAsia" w:ascii="仿宋" w:hAnsi="仿宋" w:eastAsia="仿宋" w:cs="仿宋"/>
          <w:b/>
          <w:bCs/>
          <w:kern w:val="0"/>
          <w:sz w:val="32"/>
          <w:szCs w:val="32"/>
        </w:rPr>
        <w:t xml:space="preserve">                                                                                                                                           </w:t>
      </w:r>
    </w:p>
    <w:p w14:paraId="469DB813">
      <w:pPr>
        <w:spacing w:line="560" w:lineRule="exact"/>
        <w:ind w:firstLine="643" w:firstLineChars="200"/>
        <w:rPr>
          <w:rFonts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一、部门基本情况</w:t>
      </w:r>
    </w:p>
    <w:p w14:paraId="4D950471">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1.部门职责</w:t>
      </w:r>
    </w:p>
    <w:p w14:paraId="49A35A70">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衡南县发展和改革局是县政府工作部门，是综合研究拟定全县经济和社会发展政策，进行总量平衡，指导全县总体经济体制改革的宏观调控部门。主要职责有：</w:t>
      </w:r>
    </w:p>
    <w:p w14:paraId="59D0E3B5">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（1）拟定并组织实施全县国民经济和社会发展战略、中长期规划和年度计划。</w:t>
      </w:r>
    </w:p>
    <w:p w14:paraId="3819136E">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（2）研究提出加快建设现代化经济体系、推动高质量发展的总体目标、重大任务及相关政策。</w:t>
      </w:r>
    </w:p>
    <w:p w14:paraId="6CDEC508">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（3）研究提出全县国民经济和社会发展主要目标，监测预测预警宏观经济和社会发展态势趋势，提出宏观调控政策建议，综合协调宏观经济政策，牵头研究宏观经济应对措施。</w:t>
      </w:r>
    </w:p>
    <w:p w14:paraId="02BAE44F">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（4）调节经济运行，协调解决经济运行中的重大问题。</w:t>
      </w:r>
    </w:p>
    <w:p w14:paraId="067899A8">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（5）研究提出和综合协调全县经济体制改革的建议与措施。</w:t>
      </w:r>
    </w:p>
    <w:p w14:paraId="6D26E771">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（6）研究提出全县利用外资和境外投资的战略、规划、总量平衡和结构优化的政策。</w:t>
      </w:r>
    </w:p>
    <w:p w14:paraId="611728CF">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（7）负责投资综合管理，拟定全县全社会固定资产投资总规模和投资结构的调控目标、政策及措施。</w:t>
      </w:r>
    </w:p>
    <w:p w14:paraId="7B9E87BB">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（8）推进落实区域协调发展战略、新型城镇化战略和重大政策，组织拟定相关区域规划和政策。</w:t>
      </w:r>
    </w:p>
    <w:p w14:paraId="0B302D1D">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（9）组织拟定综合性产业政策，负责协调第一、二、三产业发展的重大问题并统筹衔接相关发展规划和重大政策；推动实施创新驱动发展战略。</w:t>
      </w:r>
    </w:p>
    <w:p w14:paraId="56C35607">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（10）跟踪研判涉及经济安全、生态安全、资源安全、科技安全、社会安全等各类风险隐患，提出相关工作建议。</w:t>
      </w:r>
    </w:p>
    <w:p w14:paraId="10865F00">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（11）负责社会发展与国民经济发展的政策衔接，组织拟定社会发展战略、总体规划。</w:t>
      </w:r>
    </w:p>
    <w:p w14:paraId="78AA7625">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（12）推进可持续发展战略，推动生态文明建设和改革，协调生态环境保护与修护、能源资源节约和综合利用等工作。</w:t>
      </w:r>
    </w:p>
    <w:p w14:paraId="05DC037F">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（13）负责能源规划与社会发展规划的协调衔接。</w:t>
      </w:r>
    </w:p>
    <w:p w14:paraId="40BBB2E2">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（14）拟定全县价格改革方案和年度计划，研究提出价格调控目标和政策建议，组织实施价格总水平调控。</w:t>
      </w:r>
    </w:p>
    <w:p w14:paraId="4050768D">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（15）牵头组织监督公共资源交易活动；研究拟定推进社会信用体系建设的法规、规划、政策措施，统筹推动统一的社会信用信息平台建设，协调有关重大问题。</w:t>
      </w:r>
    </w:p>
    <w:p w14:paraId="6FFA6D6A">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（16）会同有关部门拟定推进全县经济建设与国防建设协调发展。</w:t>
      </w:r>
    </w:p>
    <w:p w14:paraId="2D39B950">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（17）牵头承担县国防动员委员会、推进“一带一路”建设暨国际产能合作领导小组、县推动长江经济带发展领导小组、县促进中部地区崛起领导小组等有关具体工作。</w:t>
      </w:r>
    </w:p>
    <w:p w14:paraId="491611CF">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（18）负责本行业领域职责范围内的应急管理工作，对本行业领域职责范围内的安全生产工作实施监督管理。</w:t>
      </w:r>
    </w:p>
    <w:p w14:paraId="07E9C9A7">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（19）完成县委和县政府交办的其他任务。</w:t>
      </w:r>
    </w:p>
    <w:p w14:paraId="4F8BA105">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2.机构设置情况</w:t>
      </w:r>
    </w:p>
    <w:p w14:paraId="3172A760">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为了推进上述职能工作的开展，我局下设办公室（行政审批服务股）、固定资产投资股（国民经济综合和法规股）、农村经济股、工交能源和环保资源股（县“两型”社会建设办公室）、服务业股（财政金融和信用建设股）、社会发展股、价格调控管理股共七个股室。同时，下设县重点项目建设事务中心、价格认证中心、成本调查队三个非独立核算二级机构。</w:t>
      </w:r>
    </w:p>
    <w:p w14:paraId="0F95B895">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3.人员编制情况</w:t>
      </w:r>
    </w:p>
    <w:p w14:paraId="49C98AF5">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我局2019年6月底共有干部职工107人，其中在职69人（含全额编制49人，非全额编制16人，临聘人员4人），退休38人。2019年7月机构改革调动和转隶调出24人。截至2019年12月底我局共有干部职工83人，其中在职人员44人（含全额编制35人、非全额编制5人、临聘人员4人），退休人员39人。</w:t>
      </w:r>
    </w:p>
    <w:p w14:paraId="73D739F9">
      <w:pPr>
        <w:spacing w:line="560" w:lineRule="exact"/>
        <w:ind w:firstLine="643" w:firstLineChars="200"/>
        <w:rPr>
          <w:rFonts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二、部门整体支出管理及使用情况</w:t>
      </w:r>
    </w:p>
    <w:p w14:paraId="58849E25">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1.部门预算收支情况（含公共财政拨款、政府性基金拨款、纳入专户管理的非税收入拨款及其他资金）及部门决算情况。</w:t>
      </w:r>
    </w:p>
    <w:p w14:paraId="5C4F3A26">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（1）2019年部门预算情况</w:t>
      </w:r>
    </w:p>
    <w:p w14:paraId="1EB66D48">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我局2019年单位支出预算批复经费包干数为636.72万元，其中工资福利支出534.32万元，一般商品和服务支出41.40万元，专项经费61万元。</w:t>
      </w:r>
    </w:p>
    <w:p w14:paraId="77D7E3BB">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纳入专户管理的非税收入拨款158万元。</w:t>
      </w:r>
    </w:p>
    <w:p w14:paraId="48612525">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（2）2019年部门决算情况</w:t>
      </w:r>
    </w:p>
    <w:p w14:paraId="0CBF3EAE">
      <w:pPr>
        <w:spacing w:line="560" w:lineRule="exac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xml:space="preserve">    我局2019年部门决算收入总计1046.13万元（含上年结转121.39万元，追加申请的专项经费130.02万元），支出总计903.50万元，结转下年142.63万元（含年底尚未支付的转隶人员经费58.65万元）。</w:t>
      </w:r>
    </w:p>
    <w:p w14:paraId="48CBFFB9">
      <w:pPr>
        <w:numPr>
          <w:ilvl w:val="0"/>
          <w:numId w:val="2"/>
        </w:num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支出分类情况</w:t>
      </w:r>
    </w:p>
    <w:p w14:paraId="6D60DC88">
      <w:pPr>
        <w:numPr>
          <w:ilvl w:val="0"/>
          <w:numId w:val="3"/>
        </w:numPr>
        <w:spacing w:line="560" w:lineRule="exac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基本支出</w:t>
      </w:r>
    </w:p>
    <w:p w14:paraId="55E5EFD8">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我局2019年基本支出总计801.75万元，其中工资福利支出639.57万元，商品和服务支出109.32万元，对个人和家庭的补助支出38.56万元，资本性支出13.80万元，其他支出0.5万元。以上支出主要用于职工工资、津补贴、社保、住房公积金及退休人员慰问、办公费、差旅费、培训费、交通补助、维修维护费、邮电费、印刷费、办公设备购置等日常公用经费。</w:t>
      </w:r>
    </w:p>
    <w:p w14:paraId="090944F4">
      <w:pPr>
        <w:numPr>
          <w:ilvl w:val="0"/>
          <w:numId w:val="3"/>
        </w:numPr>
        <w:spacing w:line="560" w:lineRule="exac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项目支出</w:t>
      </w:r>
    </w:p>
    <w:p w14:paraId="1AAEC45B">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我局2019年项目支出总计101.75万元。其中，精准扶贫相关工作开支29.64万元，主要用于后盾单位帮扶资金、驻村队工作经费、常态化督导组工作经费、节日扶贫慰问等。规上服务业工作经费7.74万元，主要用于规上服务业相关差旅费、培训费、规上服务业固定资产联网直报工作人员补助等。易地扶贫搬迁工作经费33.55万元，主要用于易地扶贫搬迁搬迁工作相关的资料印刷费、租车费、会议费、办公费、差旅费、报告编写费用等支出。争资引项工作经费25.09万元，主要用于重点项目调研、督查等工作开支以及固定资产投资、跑项争资、重点项目建设、固定资产联网直报工作奖励。成本调查工作经费2.17万元，价格专项检查工作经费0.86万元，物价监测与服务工作经费0.99万元，价格监测与调查工作经费1.68万元，以上主要用于各股室开展上述工作发生的相关开支等。</w:t>
      </w:r>
    </w:p>
    <w:p w14:paraId="2449E583">
      <w:pPr>
        <w:numPr>
          <w:ilvl w:val="0"/>
          <w:numId w:val="2"/>
        </w:num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“三公”经费情况</w:t>
      </w:r>
    </w:p>
    <w:p w14:paraId="09A62498">
      <w:pPr>
        <w:spacing w:line="560" w:lineRule="exact"/>
        <w:ind w:left="420" w:leftChars="200"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我局2019年“三公经费”支出总计6.36万元，其中公务接待费支出6.36万元，无因公出国（境）费用和公务用车运行维护费。相比上年减少支出3.24万元。</w:t>
      </w:r>
    </w:p>
    <w:p w14:paraId="6947AC68">
      <w:pPr>
        <w:spacing w:line="560" w:lineRule="exact"/>
        <w:ind w:firstLine="643" w:firstLineChars="200"/>
        <w:rPr>
          <w:rFonts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三、部门整体支出绩效评价情况</w:t>
      </w:r>
    </w:p>
    <w:p w14:paraId="247B1817">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为加强预算管理、规范财务行为，我局制定并完善了《局财务管理制度》并严格执行。确保预算资金的使用均符合国家财经法规、财务管理制度规定及相关预算支出管理办法的规定。资金拨付严格按照县财政的相关要求和规定，履行完整的审批程序和手续。重大预算支出均经过评估论证。经费支出基本符合部门预算批复的用途，不存在截留、挤占、挪用、虚列支出等情况。同时，我局积极按照县财政的相关要求报送并公开预决算信息，加强固定资产管理。</w:t>
      </w:r>
    </w:p>
    <w:p w14:paraId="274A29FD">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在县委、县政府的正确领导下和市发改委的关心支持下，我局紧紧围绕</w:t>
      </w:r>
      <w:r>
        <w:rPr>
          <w:rFonts w:hint="eastAsia" w:ascii="仿宋_GB2312" w:hAnsi="仿宋_GB2312" w:eastAsia="仿宋_GB2312" w:cs="仿宋_GB2312"/>
          <w:kern w:val="0"/>
          <w:sz w:val="32"/>
          <w:szCs w:val="32"/>
          <w:lang w:eastAsia="zh-CN"/>
        </w:rPr>
        <w:t>县委县政府</w:t>
      </w:r>
      <w:r>
        <w:rPr>
          <w:rFonts w:hint="eastAsia" w:ascii="仿宋_GB2312" w:hAnsi="仿宋_GB2312" w:eastAsia="仿宋_GB2312" w:cs="仿宋_GB2312"/>
          <w:kern w:val="0"/>
          <w:sz w:val="32"/>
          <w:szCs w:val="32"/>
        </w:rPr>
        <w:t>和上级发改部门提出的目标和任务，克服困难，开拓进取，较好的完成了2019年的工作任务。各项经济指标在全市排名靠前，同时在争资跑项、重点项目建设、深化制度改革、“三大攻坚战”、价格监管、规划编制等方面均取得了突出成效。</w:t>
      </w:r>
    </w:p>
    <w:p w14:paraId="5787DDDE">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部门整体支出绩效情况如下：</w:t>
      </w:r>
    </w:p>
    <w:p w14:paraId="1EA5DE7E">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1、重点支出安排率: 100%</w:t>
      </w:r>
    </w:p>
    <w:p w14:paraId="5A5D0CDC">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2、在职人员控制率：100%</w:t>
      </w:r>
    </w:p>
    <w:p w14:paraId="221E8982">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3、“三公经费”控制率：100%，严格控制“三公经费”支出，开源节流。</w:t>
      </w:r>
    </w:p>
    <w:p w14:paraId="1F24EB20">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4、预算完成率：86.4%</w:t>
      </w:r>
    </w:p>
    <w:p w14:paraId="06E2C709">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5、预算变动率：31.6%，由于上年结转以及争资引项、固定资产投资、产业项目建设等各项工作的奖励资金等追加预算所致。</w:t>
      </w:r>
    </w:p>
    <w:p w14:paraId="7C60B299">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6、政府采购执行率：100%</w:t>
      </w:r>
    </w:p>
    <w:p w14:paraId="13C0BE25">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7、在资金管理上，我局制定了一系列的财务管理制度。</w:t>
      </w:r>
    </w:p>
    <w:p w14:paraId="07212560">
      <w:pPr>
        <w:spacing w:line="560" w:lineRule="exact"/>
        <w:ind w:firstLine="643" w:firstLineChars="200"/>
        <w:rPr>
          <w:rFonts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四、存在的主要问题</w:t>
      </w:r>
    </w:p>
    <w:p w14:paraId="6A3A9E99">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因财政资金日益紧张，预算资金逐年减少，单位预算管理压力加大。部分开支未纳入预算，资金缺口较大。本单位的预算执行能力还有待加强，需要进一步提高资金使用效率。</w:t>
      </w:r>
    </w:p>
    <w:p w14:paraId="1905C509">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由于年底未及时拨付财政资金，部分开支无法在决算前支付，导致决算数与预算数不能完全匹配。</w:t>
      </w:r>
    </w:p>
    <w:p w14:paraId="2CC21279">
      <w:pPr>
        <w:spacing w:line="560" w:lineRule="exact"/>
        <w:ind w:firstLine="643" w:firstLineChars="200"/>
        <w:rPr>
          <w:rFonts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五、改进措施及建议</w:t>
      </w:r>
    </w:p>
    <w:p w14:paraId="2D68A9E0">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1、进一步精细测算各项工作年度开支，争取各项工作开展所需经费能够纳入预算，减少预算变动率。</w:t>
      </w:r>
    </w:p>
    <w:p w14:paraId="03DC97BC">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2、抓好财务预算管理，严格执行财务管理制度，充分发挥监督作用。</w:t>
      </w:r>
    </w:p>
    <w:p w14:paraId="448487DF">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3、严格财务支出审批。抓好审核和审批两个环节，在审核审批中严把支出关，切实维护财务纪律的严肃性。</w:t>
      </w:r>
    </w:p>
    <w:p w14:paraId="65B7E9EE">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4、强化经费管理。重点加强招待费和办公经费的管理，严格控制支出，降低经费支出。</w:t>
      </w:r>
    </w:p>
    <w:p w14:paraId="0512880F">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xml:space="preserve">5、及时拨付资金，减少结转下年的资金。  </w:t>
      </w:r>
    </w:p>
    <w:p w14:paraId="76F3795C">
      <w:pPr>
        <w:pStyle w:val="2"/>
        <w:rPr>
          <w:rFonts w:hint="default"/>
        </w:rPr>
      </w:pPr>
    </w:p>
    <w:p w14:paraId="644BBCC7">
      <w:pPr>
        <w:pStyle w:val="2"/>
        <w:rPr>
          <w:rFonts w:hint="default"/>
        </w:rPr>
      </w:pPr>
    </w:p>
    <w:p w14:paraId="2C6C83E3">
      <w:pPr>
        <w:pStyle w:val="2"/>
        <w:rPr>
          <w:rFonts w:hint="default"/>
        </w:rPr>
      </w:pPr>
    </w:p>
    <w:p w14:paraId="2D873AD7">
      <w:pPr>
        <w:spacing w:line="560" w:lineRule="exact"/>
        <w:ind w:firstLine="640" w:firstLineChars="200"/>
        <w:jc w:val="righ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衡南县发展和改革局</w:t>
      </w:r>
    </w:p>
    <w:p w14:paraId="5F81FD65">
      <w:pPr>
        <w:spacing w:line="560" w:lineRule="exact"/>
        <w:ind w:firstLine="640" w:firstLineChars="200"/>
        <w:jc w:val="righ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2020年6月22日</w:t>
      </w:r>
    </w:p>
    <w:p w14:paraId="3DC85923">
      <w:pPr>
        <w:ind w:firstLine="640" w:firstLineChars="200"/>
        <w:jc w:val="left"/>
        <w:rPr>
          <w:rFonts w:cs="黑体" w:asciiTheme="minorEastAsia" w:hAnsiTheme="minorEastAsia"/>
          <w:color w:val="000000"/>
          <w:kern w:val="0"/>
          <w:sz w:val="32"/>
          <w:szCs w:val="32"/>
        </w:rPr>
      </w:pPr>
    </w:p>
    <w:sectPr>
      <w:pgSz w:w="11906" w:h="16838"/>
      <w:pgMar w:top="1440" w:right="1803" w:bottom="1440" w:left="1803" w:header="851" w:footer="992" w:gutter="0"/>
      <w:cols w:space="0" w:num="1"/>
      <w:docGrid w:type="lines" w:linePitch="317"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D28C40A"/>
    <w:multiLevelType w:val="singleLevel"/>
    <w:tmpl w:val="BD28C40A"/>
    <w:lvl w:ilvl="0" w:tentative="0">
      <w:start w:val="2"/>
      <w:numFmt w:val="decimal"/>
      <w:lvlText w:val="%1."/>
      <w:lvlJc w:val="left"/>
      <w:pPr>
        <w:tabs>
          <w:tab w:val="left" w:pos="312"/>
        </w:tabs>
      </w:pPr>
    </w:lvl>
  </w:abstractNum>
  <w:abstractNum w:abstractNumId="1">
    <w:nsid w:val="373518C1"/>
    <w:multiLevelType w:val="multilevel"/>
    <w:tmpl w:val="373518C1"/>
    <w:lvl w:ilvl="0" w:tentative="0">
      <w:start w:val="1"/>
      <w:numFmt w:val="none"/>
      <w:lvlText w:val="一、"/>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4ABAEA51"/>
    <w:multiLevelType w:val="singleLevel"/>
    <w:tmpl w:val="4ABAEA51"/>
    <w:lvl w:ilvl="0" w:tentative="0">
      <w:start w:val="1"/>
      <w:numFmt w:val="decimal"/>
      <w:suff w:val="nothing"/>
      <w:lvlText w:val="（%1）"/>
      <w:lvlJc w:val="left"/>
      <w:pPr>
        <w:ind w:left="480" w:firstLine="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1"/>
  <w:bordersDoNotSurroundHeader w:val="1"/>
  <w:bordersDoNotSurroundFooter w:val="1"/>
  <w:documentProtection w:enforcement="0"/>
  <w:defaultTabStop w:val="420"/>
  <w:drawingGridHorizontalSpacing w:val="210"/>
  <w:drawingGridVerticalSpacing w:val="159"/>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4506F9"/>
    <w:rsid w:val="0002229B"/>
    <w:rsid w:val="000273BD"/>
    <w:rsid w:val="000415B7"/>
    <w:rsid w:val="000658A3"/>
    <w:rsid w:val="00074155"/>
    <w:rsid w:val="000A3F69"/>
    <w:rsid w:val="00152C6D"/>
    <w:rsid w:val="00162D39"/>
    <w:rsid w:val="001A67DB"/>
    <w:rsid w:val="001D51E5"/>
    <w:rsid w:val="001F0C3B"/>
    <w:rsid w:val="001F703B"/>
    <w:rsid w:val="00214427"/>
    <w:rsid w:val="002370C8"/>
    <w:rsid w:val="002602A5"/>
    <w:rsid w:val="00265724"/>
    <w:rsid w:val="0027426B"/>
    <w:rsid w:val="003479BD"/>
    <w:rsid w:val="003768D5"/>
    <w:rsid w:val="004506F9"/>
    <w:rsid w:val="004717A2"/>
    <w:rsid w:val="00491741"/>
    <w:rsid w:val="00500E5F"/>
    <w:rsid w:val="005122EF"/>
    <w:rsid w:val="00517C33"/>
    <w:rsid w:val="00523644"/>
    <w:rsid w:val="0054069E"/>
    <w:rsid w:val="005767CC"/>
    <w:rsid w:val="00590D9F"/>
    <w:rsid w:val="00595D26"/>
    <w:rsid w:val="005A74E6"/>
    <w:rsid w:val="005D4D55"/>
    <w:rsid w:val="005E2CFB"/>
    <w:rsid w:val="0062378F"/>
    <w:rsid w:val="00651EEC"/>
    <w:rsid w:val="006A351B"/>
    <w:rsid w:val="006B0422"/>
    <w:rsid w:val="006C1B53"/>
    <w:rsid w:val="006D7730"/>
    <w:rsid w:val="006E5284"/>
    <w:rsid w:val="006F3EB5"/>
    <w:rsid w:val="00702E34"/>
    <w:rsid w:val="00704395"/>
    <w:rsid w:val="00720FF1"/>
    <w:rsid w:val="007367B7"/>
    <w:rsid w:val="00783892"/>
    <w:rsid w:val="00812ED5"/>
    <w:rsid w:val="008277D9"/>
    <w:rsid w:val="008A3E8D"/>
    <w:rsid w:val="009237C4"/>
    <w:rsid w:val="00950252"/>
    <w:rsid w:val="00967F5D"/>
    <w:rsid w:val="009A0F95"/>
    <w:rsid w:val="009B3ADF"/>
    <w:rsid w:val="009C3B52"/>
    <w:rsid w:val="00A12BD8"/>
    <w:rsid w:val="00A42218"/>
    <w:rsid w:val="00A70249"/>
    <w:rsid w:val="00B33BEA"/>
    <w:rsid w:val="00B57C9F"/>
    <w:rsid w:val="00B845B3"/>
    <w:rsid w:val="00B85D8B"/>
    <w:rsid w:val="00BE3674"/>
    <w:rsid w:val="00C3049A"/>
    <w:rsid w:val="00C31B1E"/>
    <w:rsid w:val="00C77645"/>
    <w:rsid w:val="00CE04C3"/>
    <w:rsid w:val="00CE76A0"/>
    <w:rsid w:val="00D148C6"/>
    <w:rsid w:val="00DD06FF"/>
    <w:rsid w:val="00DD5FE9"/>
    <w:rsid w:val="00E00C7A"/>
    <w:rsid w:val="00E55B68"/>
    <w:rsid w:val="00F74360"/>
    <w:rsid w:val="00FB462F"/>
    <w:rsid w:val="00FE16FA"/>
    <w:rsid w:val="00FE328A"/>
    <w:rsid w:val="01814A3D"/>
    <w:rsid w:val="01C93F78"/>
    <w:rsid w:val="01F96F5C"/>
    <w:rsid w:val="021C1563"/>
    <w:rsid w:val="02F9588D"/>
    <w:rsid w:val="04553F3B"/>
    <w:rsid w:val="04856889"/>
    <w:rsid w:val="058723DC"/>
    <w:rsid w:val="0598315E"/>
    <w:rsid w:val="05E55998"/>
    <w:rsid w:val="0623127F"/>
    <w:rsid w:val="071A7DCE"/>
    <w:rsid w:val="077523A5"/>
    <w:rsid w:val="07DB5774"/>
    <w:rsid w:val="085B2415"/>
    <w:rsid w:val="0914070C"/>
    <w:rsid w:val="09BA49F4"/>
    <w:rsid w:val="0A036944"/>
    <w:rsid w:val="0A733E75"/>
    <w:rsid w:val="0AA06206"/>
    <w:rsid w:val="0B6F6EED"/>
    <w:rsid w:val="0B863B68"/>
    <w:rsid w:val="0B8F0940"/>
    <w:rsid w:val="0C145ECD"/>
    <w:rsid w:val="0C270167"/>
    <w:rsid w:val="0C895773"/>
    <w:rsid w:val="0D36280E"/>
    <w:rsid w:val="0E246CF6"/>
    <w:rsid w:val="0E4D0B5B"/>
    <w:rsid w:val="0FDC4D1C"/>
    <w:rsid w:val="0FEB4DB6"/>
    <w:rsid w:val="10D36598"/>
    <w:rsid w:val="11395A62"/>
    <w:rsid w:val="11833721"/>
    <w:rsid w:val="11C601B4"/>
    <w:rsid w:val="120C6F28"/>
    <w:rsid w:val="135C1A46"/>
    <w:rsid w:val="1446379D"/>
    <w:rsid w:val="14C24C5B"/>
    <w:rsid w:val="15594BC1"/>
    <w:rsid w:val="168E3235"/>
    <w:rsid w:val="168F3444"/>
    <w:rsid w:val="172C4BE3"/>
    <w:rsid w:val="19340E22"/>
    <w:rsid w:val="19376448"/>
    <w:rsid w:val="19CF37DB"/>
    <w:rsid w:val="1A1A45C4"/>
    <w:rsid w:val="1A775ABE"/>
    <w:rsid w:val="1B05625B"/>
    <w:rsid w:val="1B8120CA"/>
    <w:rsid w:val="1BA21FA1"/>
    <w:rsid w:val="1CAF2650"/>
    <w:rsid w:val="1CDB4E55"/>
    <w:rsid w:val="1DEA45AE"/>
    <w:rsid w:val="1E182B30"/>
    <w:rsid w:val="1E3D4ADF"/>
    <w:rsid w:val="1E926325"/>
    <w:rsid w:val="1E9E2E6B"/>
    <w:rsid w:val="1EAB29F2"/>
    <w:rsid w:val="1F001869"/>
    <w:rsid w:val="1F2113A8"/>
    <w:rsid w:val="1F490CD0"/>
    <w:rsid w:val="1F6976E7"/>
    <w:rsid w:val="20343B48"/>
    <w:rsid w:val="20D51545"/>
    <w:rsid w:val="22AD3DD8"/>
    <w:rsid w:val="239A2356"/>
    <w:rsid w:val="243C70DF"/>
    <w:rsid w:val="244968AA"/>
    <w:rsid w:val="25EB5E8C"/>
    <w:rsid w:val="277C5686"/>
    <w:rsid w:val="27FE3DF5"/>
    <w:rsid w:val="28BD6B9F"/>
    <w:rsid w:val="29126499"/>
    <w:rsid w:val="291D5A7C"/>
    <w:rsid w:val="2A2C24F5"/>
    <w:rsid w:val="2A384132"/>
    <w:rsid w:val="2AE23E35"/>
    <w:rsid w:val="2B46501A"/>
    <w:rsid w:val="2BED4C67"/>
    <w:rsid w:val="2D6C09C7"/>
    <w:rsid w:val="2D8A4A70"/>
    <w:rsid w:val="2DA02BD5"/>
    <w:rsid w:val="2DA2685D"/>
    <w:rsid w:val="2DED3F80"/>
    <w:rsid w:val="2F487824"/>
    <w:rsid w:val="2FDF3A55"/>
    <w:rsid w:val="309E1EB5"/>
    <w:rsid w:val="3208084F"/>
    <w:rsid w:val="328A2FB4"/>
    <w:rsid w:val="332F2B3B"/>
    <w:rsid w:val="33590E33"/>
    <w:rsid w:val="33E44E6F"/>
    <w:rsid w:val="34065F95"/>
    <w:rsid w:val="341D1E77"/>
    <w:rsid w:val="341D20DB"/>
    <w:rsid w:val="34895540"/>
    <w:rsid w:val="34B21AEE"/>
    <w:rsid w:val="34C91FDE"/>
    <w:rsid w:val="35316982"/>
    <w:rsid w:val="3692133B"/>
    <w:rsid w:val="36F903C0"/>
    <w:rsid w:val="37B629D5"/>
    <w:rsid w:val="37FE018B"/>
    <w:rsid w:val="398A332E"/>
    <w:rsid w:val="39AA385E"/>
    <w:rsid w:val="3A43733C"/>
    <w:rsid w:val="3ABA397C"/>
    <w:rsid w:val="3B6B3A3F"/>
    <w:rsid w:val="3D9B551F"/>
    <w:rsid w:val="3DB60B8D"/>
    <w:rsid w:val="3EBC3BDD"/>
    <w:rsid w:val="3F335F8B"/>
    <w:rsid w:val="403034D2"/>
    <w:rsid w:val="40767E17"/>
    <w:rsid w:val="40805934"/>
    <w:rsid w:val="40F148A7"/>
    <w:rsid w:val="41234B91"/>
    <w:rsid w:val="42BD4FD5"/>
    <w:rsid w:val="443C79A8"/>
    <w:rsid w:val="44AE3668"/>
    <w:rsid w:val="45720A4E"/>
    <w:rsid w:val="45726B8B"/>
    <w:rsid w:val="45A9466D"/>
    <w:rsid w:val="461814F2"/>
    <w:rsid w:val="469E078C"/>
    <w:rsid w:val="489A0BAB"/>
    <w:rsid w:val="48B12AD4"/>
    <w:rsid w:val="498178DE"/>
    <w:rsid w:val="4A101D9C"/>
    <w:rsid w:val="4A105ECB"/>
    <w:rsid w:val="4B9117F6"/>
    <w:rsid w:val="4D3B77A9"/>
    <w:rsid w:val="4D3E1534"/>
    <w:rsid w:val="4D3F218B"/>
    <w:rsid w:val="4E287710"/>
    <w:rsid w:val="4EDB050D"/>
    <w:rsid w:val="4FF813BB"/>
    <w:rsid w:val="50113004"/>
    <w:rsid w:val="503407FA"/>
    <w:rsid w:val="50AC0FF2"/>
    <w:rsid w:val="50CE214D"/>
    <w:rsid w:val="50DC6831"/>
    <w:rsid w:val="51F57A3F"/>
    <w:rsid w:val="5202242B"/>
    <w:rsid w:val="521148EE"/>
    <w:rsid w:val="522C2892"/>
    <w:rsid w:val="52464485"/>
    <w:rsid w:val="530C5751"/>
    <w:rsid w:val="53646DAF"/>
    <w:rsid w:val="53BA5C0C"/>
    <w:rsid w:val="53BD60F5"/>
    <w:rsid w:val="53EC1F53"/>
    <w:rsid w:val="54282B20"/>
    <w:rsid w:val="545F6F85"/>
    <w:rsid w:val="56082173"/>
    <w:rsid w:val="56FB2FD2"/>
    <w:rsid w:val="597E2EF8"/>
    <w:rsid w:val="5A281D56"/>
    <w:rsid w:val="5B2C369C"/>
    <w:rsid w:val="5B8F1337"/>
    <w:rsid w:val="5DFD1059"/>
    <w:rsid w:val="5E43293D"/>
    <w:rsid w:val="5E5B5FB2"/>
    <w:rsid w:val="5EE65760"/>
    <w:rsid w:val="5FE51093"/>
    <w:rsid w:val="60F43791"/>
    <w:rsid w:val="616427A6"/>
    <w:rsid w:val="622306CB"/>
    <w:rsid w:val="62BF572C"/>
    <w:rsid w:val="6307737F"/>
    <w:rsid w:val="63897969"/>
    <w:rsid w:val="63904594"/>
    <w:rsid w:val="63D015AD"/>
    <w:rsid w:val="63F4723D"/>
    <w:rsid w:val="64AA0D0C"/>
    <w:rsid w:val="65471055"/>
    <w:rsid w:val="67413476"/>
    <w:rsid w:val="674C5B3F"/>
    <w:rsid w:val="6806776A"/>
    <w:rsid w:val="684B7CD4"/>
    <w:rsid w:val="69BC0126"/>
    <w:rsid w:val="6A84011D"/>
    <w:rsid w:val="6ACB0477"/>
    <w:rsid w:val="6AD307F4"/>
    <w:rsid w:val="6B2E19DC"/>
    <w:rsid w:val="6B501A23"/>
    <w:rsid w:val="6B9911C6"/>
    <w:rsid w:val="6C0D37A0"/>
    <w:rsid w:val="6C7E720D"/>
    <w:rsid w:val="6E2F77D1"/>
    <w:rsid w:val="6E7E48EA"/>
    <w:rsid w:val="6F561098"/>
    <w:rsid w:val="702E51AA"/>
    <w:rsid w:val="70D74F9E"/>
    <w:rsid w:val="71647D04"/>
    <w:rsid w:val="71C83BB6"/>
    <w:rsid w:val="71CF1F4F"/>
    <w:rsid w:val="72307E9D"/>
    <w:rsid w:val="725F21EC"/>
    <w:rsid w:val="72FF5C63"/>
    <w:rsid w:val="73252B3B"/>
    <w:rsid w:val="733111FE"/>
    <w:rsid w:val="73353AD8"/>
    <w:rsid w:val="735158EB"/>
    <w:rsid w:val="73725E1D"/>
    <w:rsid w:val="75FD3651"/>
    <w:rsid w:val="76BB082B"/>
    <w:rsid w:val="76E75E58"/>
    <w:rsid w:val="76FA5B36"/>
    <w:rsid w:val="77435524"/>
    <w:rsid w:val="78EC06A3"/>
    <w:rsid w:val="79F93A5C"/>
    <w:rsid w:val="7A9B79A2"/>
    <w:rsid w:val="7AF01753"/>
    <w:rsid w:val="7BC51C2F"/>
    <w:rsid w:val="7C41539E"/>
    <w:rsid w:val="7CD44318"/>
    <w:rsid w:val="7CEA560C"/>
    <w:rsid w:val="7D9719DB"/>
    <w:rsid w:val="7DDD7D5C"/>
    <w:rsid w:val="7E26030A"/>
    <w:rsid w:val="7E3D2026"/>
    <w:rsid w:val="7EA45A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Body Text"/>
    <w:basedOn w:val="1"/>
    <w:qFormat/>
    <w:uiPriority w:val="0"/>
    <w:pPr>
      <w:widowControl/>
      <w:spacing w:after="120"/>
      <w:jc w:val="left"/>
    </w:pPr>
    <w:rPr>
      <w:rFonts w:hint="eastAsia" w:ascii="宋体" w:hAnsi="宋体" w:eastAsia="宋体" w:cs="Times New Roman"/>
      <w:kern w:val="0"/>
      <w:sz w:val="24"/>
      <w:szCs w:val="24"/>
    </w:rPr>
  </w:style>
  <w:style w:type="paragraph" w:styleId="3">
    <w:name w:val="Balloon Text"/>
    <w:basedOn w:val="1"/>
    <w:link w:val="12"/>
    <w:semiHidden/>
    <w:unhideWhenUsed/>
    <w:qFormat/>
    <w:uiPriority w:val="99"/>
    <w:rPr>
      <w:sz w:val="18"/>
      <w:szCs w:val="18"/>
    </w:rPr>
  </w:style>
  <w:style w:type="paragraph" w:styleId="4">
    <w:name w:val="footer"/>
    <w:basedOn w:val="1"/>
    <w:link w:val="9"/>
    <w:unhideWhenUsed/>
    <w:qFormat/>
    <w:uiPriority w:val="99"/>
    <w:pPr>
      <w:tabs>
        <w:tab w:val="center" w:pos="4153"/>
        <w:tab w:val="right" w:pos="8306"/>
      </w:tabs>
      <w:snapToGrid w:val="0"/>
      <w:jc w:val="left"/>
    </w:pPr>
    <w:rPr>
      <w:sz w:val="18"/>
      <w:szCs w:val="18"/>
    </w:rPr>
  </w:style>
  <w:style w:type="paragraph" w:styleId="5">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qFormat/>
    <w:uiPriority w:val="99"/>
    <w:rPr>
      <w:sz w:val="18"/>
      <w:szCs w:val="18"/>
    </w:rPr>
  </w:style>
  <w:style w:type="character" w:customStyle="1" w:styleId="9">
    <w:name w:val="页脚 Char"/>
    <w:basedOn w:val="7"/>
    <w:link w:val="4"/>
    <w:qFormat/>
    <w:uiPriority w:val="99"/>
    <w:rPr>
      <w:sz w:val="18"/>
      <w:szCs w:val="18"/>
    </w:rPr>
  </w:style>
  <w:style w:type="paragraph" w:customStyle="1" w:styleId="10">
    <w:name w:val="Default"/>
    <w:qFormat/>
    <w:uiPriority w:val="0"/>
    <w:pPr>
      <w:widowControl w:val="0"/>
      <w:autoSpaceDE w:val="0"/>
      <w:autoSpaceDN w:val="0"/>
      <w:adjustRightInd w:val="0"/>
    </w:pPr>
    <w:rPr>
      <w:rFonts w:ascii="黑体" w:eastAsia="黑体" w:cs="黑体" w:hAnsiTheme="minorHAnsi"/>
      <w:color w:val="000000"/>
      <w:sz w:val="24"/>
      <w:szCs w:val="24"/>
      <w:lang w:val="en-US" w:eastAsia="zh-CN" w:bidi="ar-SA"/>
    </w:rPr>
  </w:style>
  <w:style w:type="paragraph" w:styleId="11">
    <w:name w:val="List Paragraph"/>
    <w:basedOn w:val="1"/>
    <w:qFormat/>
    <w:uiPriority w:val="34"/>
    <w:pPr>
      <w:ind w:firstLine="420" w:firstLineChars="200"/>
    </w:pPr>
  </w:style>
  <w:style w:type="character" w:customStyle="1" w:styleId="12">
    <w:name w:val="批注框文本 Char"/>
    <w:basedOn w:val="7"/>
    <w:link w:val="3"/>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418C946-F7CD-46CF-8AB2-86147EA5FF8E}">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27</Pages>
  <Words>8616</Words>
  <Characters>9352</Characters>
  <Lines>70</Lines>
  <Paragraphs>19</Paragraphs>
  <TotalTime>5</TotalTime>
  <ScaleCrop>false</ScaleCrop>
  <LinksUpToDate>false</LinksUpToDate>
  <CharactersWithSpaces>9521</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2020-07-02T02:32:00Z</dcterms:created>
  <dc:creator>李航 null</dc:creator>
  <cp:lastModifiedBy>邓婷</cp:lastModifiedBy>
  <cp:lastPrinted>2020-09-28T00:29:00Z</cp:lastPrinted>
  <dcterms:modified xsi:type="dcterms:W3CDTF">2025-01-17T07:34:27Z</dcterms:modified>
  <cp:revision>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4402529CF44F4AE6B7D5B0F9D597357F</vt:lpwstr>
  </property>
  <property fmtid="{D5CDD505-2E9C-101B-9397-08002B2CF9AE}" pid="4" name="KSOTemplateDocerSaveRecord">
    <vt:lpwstr>eyJoZGlkIjoiNWMyNjllMmU0YTcwZjNhMTY0NmE1Zjk3MGY5NmI4MWYiLCJ1c2VySWQiOiIxMDY5MjgzMDcxIn0=</vt:lpwstr>
  </property>
</Properties>
</file>