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sz w:val="56"/>
          <w:szCs w:val="56"/>
        </w:rPr>
      </w:pPr>
    </w:p>
    <w:p>
      <w:pPr>
        <w:pStyle w:val="9"/>
        <w:jc w:val="center"/>
        <w:rPr>
          <w:sz w:val="56"/>
          <w:szCs w:val="56"/>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2019年度</w:t>
      </w:r>
    </w:p>
    <w:p>
      <w:pPr>
        <w:pStyle w:val="9"/>
        <w:jc w:val="center"/>
        <w:rPr>
          <w:sz w:val="84"/>
          <w:szCs w:val="84"/>
        </w:rPr>
      </w:pPr>
      <w:r>
        <w:rPr>
          <w:rFonts w:hint="eastAsia"/>
          <w:sz w:val="84"/>
          <w:szCs w:val="84"/>
        </w:rPr>
        <w:t>单位部门决算</w:t>
      </w: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spacing w:line="540" w:lineRule="exact"/>
        <w:jc w:val="center"/>
        <w:rPr>
          <w:sz w:val="56"/>
          <w:szCs w:val="56"/>
        </w:rPr>
      </w:pPr>
    </w:p>
    <w:p>
      <w:pPr>
        <w:pStyle w:val="9"/>
        <w:spacing w:line="520" w:lineRule="exact"/>
        <w:jc w:val="center"/>
        <w:rPr>
          <w:sz w:val="56"/>
          <w:szCs w:val="56"/>
        </w:rPr>
      </w:pPr>
      <w:r>
        <w:rPr>
          <w:rFonts w:hint="eastAsia"/>
          <w:sz w:val="56"/>
          <w:szCs w:val="56"/>
        </w:rPr>
        <w:t>目录</w:t>
      </w:r>
    </w:p>
    <w:p>
      <w:pPr>
        <w:pStyle w:val="9"/>
        <w:spacing w:line="520" w:lineRule="exact"/>
        <w:rPr>
          <w:rFonts w:ascii="仿宋_GB2312" w:hAnsi="仿宋_GB2312" w:cs="仿宋_GB2312"/>
          <w:b/>
          <w:sz w:val="28"/>
          <w:szCs w:val="28"/>
        </w:rPr>
      </w:pPr>
      <w:r>
        <w:rPr>
          <w:rFonts w:hint="eastAsia"/>
          <w:b/>
          <w:sz w:val="28"/>
          <w:szCs w:val="28"/>
        </w:rPr>
        <w:t>第一部分单位概况</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9"/>
        <w:spacing w:line="52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2019</w:t>
      </w:r>
      <w:r>
        <w:rPr>
          <w:rFonts w:hint="eastAsia" w:hAnsi="仿宋_GB2312"/>
          <w:b/>
          <w:sz w:val="28"/>
          <w:szCs w:val="28"/>
        </w:rPr>
        <w:t>年度部门决算表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9"/>
        <w:spacing w:line="52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2019</w:t>
      </w:r>
      <w:r>
        <w:rPr>
          <w:rFonts w:hint="eastAsia" w:hAnsi="仿宋_GB2312"/>
          <w:b/>
          <w:sz w:val="28"/>
          <w:szCs w:val="28"/>
        </w:rPr>
        <w:t>年度部门决算情况说明</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、预算绩效情况说明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、其他重要事项情况说明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9"/>
        <w:jc w:val="center"/>
        <w:rPr>
          <w:sz w:val="84"/>
          <w:szCs w:val="84"/>
        </w:rPr>
      </w:pPr>
      <w:r>
        <w:rPr>
          <w:rFonts w:hint="eastAsia"/>
          <w:sz w:val="84"/>
          <w:szCs w:val="84"/>
        </w:rPr>
        <w:t>第一部分</w:t>
      </w:r>
      <w:r>
        <w:rPr>
          <w:sz w:val="84"/>
          <w:szCs w:val="84"/>
        </w:rPr>
        <w:t xml:space="preserve"> </w:t>
      </w:r>
    </w:p>
    <w:p>
      <w:pPr>
        <w:pStyle w:val="9"/>
        <w:jc w:val="center"/>
        <w:rPr>
          <w:sz w:val="84"/>
          <w:szCs w:val="84"/>
        </w:rPr>
      </w:pPr>
    </w:p>
    <w:p>
      <w:pPr>
        <w:pStyle w:val="9"/>
        <w:jc w:val="center"/>
        <w:rPr>
          <w:sz w:val="84"/>
          <w:szCs w:val="84"/>
        </w:rPr>
      </w:pP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0"/>
        <w:ind w:left="720" w:firstLine="0" w:firstLineChars="0"/>
        <w:jc w:val="left"/>
        <w:rPr>
          <w:rFonts w:ascii="黑体" w:hAnsi="黑体" w:eastAsia="黑体"/>
          <w:sz w:val="32"/>
          <w:szCs w:val="32"/>
        </w:rPr>
      </w:pPr>
    </w:p>
    <w:p>
      <w:pPr>
        <w:pStyle w:val="10"/>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ind w:left="567"/>
        <w:rPr>
          <w:rFonts w:hint="eastAsia" w:cs="仿宋_GB2312" w:asciiTheme="minorEastAsia" w:hAnsiTheme="minorEastAsia" w:eastAsiaTheme="minorEastAsia"/>
          <w:color w:val="000000"/>
          <w:kern w:val="0"/>
          <w:sz w:val="28"/>
          <w:szCs w:val="28"/>
          <w:lang w:val="en-US" w:eastAsia="zh-CN" w:bidi="ar-SA"/>
        </w:rPr>
      </w:pPr>
      <w:r>
        <w:rPr>
          <w:rFonts w:hint="eastAsia" w:cs="仿宋_GB2312" w:asciiTheme="minorEastAsia" w:hAnsiTheme="minorEastAsia" w:eastAsiaTheme="minorEastAsia"/>
          <w:color w:val="000000"/>
          <w:kern w:val="0"/>
          <w:sz w:val="28"/>
          <w:szCs w:val="28"/>
          <w:lang w:val="en-US" w:eastAsia="zh-CN" w:bidi="ar-SA"/>
        </w:rPr>
        <w:t>（一）贯彻执行国家和省、市、县关于公路建设、养护、管理工作的方针政策、法律、法规和规章，行使在本辖区境内所管养公路、桥梁的规划、建设、养护和路政等行政管理职责。</w:t>
      </w:r>
    </w:p>
    <w:p>
      <w:pPr>
        <w:ind w:left="567"/>
        <w:rPr>
          <w:rFonts w:hint="eastAsia" w:cs="仿宋_GB2312" w:asciiTheme="minorEastAsia" w:hAnsiTheme="minorEastAsia" w:eastAsiaTheme="minorEastAsia"/>
          <w:color w:val="000000"/>
          <w:kern w:val="0"/>
          <w:sz w:val="28"/>
          <w:szCs w:val="28"/>
          <w:lang w:val="en-US" w:eastAsia="zh-CN" w:bidi="ar-SA"/>
        </w:rPr>
      </w:pPr>
      <w:r>
        <w:rPr>
          <w:rFonts w:hint="eastAsia" w:cs="仿宋_GB2312" w:asciiTheme="minorEastAsia" w:hAnsiTheme="minorEastAsia" w:eastAsiaTheme="minorEastAsia"/>
          <w:color w:val="000000"/>
          <w:kern w:val="0"/>
          <w:sz w:val="28"/>
          <w:szCs w:val="28"/>
          <w:lang w:val="en-US" w:eastAsia="zh-CN" w:bidi="ar-SA"/>
        </w:rPr>
        <w:t>（二）负责编制所管养公路的发展规划，并具体组织实施，负责所管养公路建设、养护资金的计划编制和组织实施。</w:t>
      </w:r>
    </w:p>
    <w:p>
      <w:pPr>
        <w:ind w:left="567"/>
        <w:rPr>
          <w:rFonts w:hint="eastAsia" w:cs="仿宋_GB2312" w:asciiTheme="minorEastAsia" w:hAnsiTheme="minorEastAsia" w:eastAsiaTheme="minorEastAsia"/>
          <w:color w:val="000000"/>
          <w:kern w:val="0"/>
          <w:sz w:val="28"/>
          <w:szCs w:val="28"/>
          <w:lang w:val="en-US" w:eastAsia="zh-CN" w:bidi="ar-SA"/>
        </w:rPr>
      </w:pPr>
      <w:r>
        <w:rPr>
          <w:rFonts w:hint="eastAsia" w:cs="仿宋_GB2312" w:asciiTheme="minorEastAsia" w:hAnsiTheme="minorEastAsia" w:eastAsiaTheme="minorEastAsia"/>
          <w:color w:val="000000"/>
          <w:kern w:val="0"/>
          <w:sz w:val="28"/>
          <w:szCs w:val="28"/>
          <w:lang w:val="en-US" w:eastAsia="zh-CN" w:bidi="ar-SA"/>
        </w:rPr>
        <w:t>（三）负责所管养公路路基、路面、桥梁、隧道及公路附属设施的建设、日常养护、改造升级；负责所管养公路两侧绿化带的建设和管理；负责所管养公路大中修工程建设、危桥改造、水毁公路抢修等工作。</w:t>
      </w:r>
    </w:p>
    <w:p>
      <w:pPr>
        <w:ind w:left="567"/>
        <w:rPr>
          <w:rFonts w:hint="eastAsia" w:cs="仿宋_GB2312" w:asciiTheme="minorEastAsia" w:hAnsiTheme="minorEastAsia" w:eastAsiaTheme="minorEastAsia"/>
          <w:color w:val="000000"/>
          <w:kern w:val="0"/>
          <w:sz w:val="28"/>
          <w:szCs w:val="28"/>
          <w:lang w:val="en-US" w:eastAsia="zh-CN" w:bidi="ar-SA"/>
        </w:rPr>
      </w:pPr>
      <w:r>
        <w:rPr>
          <w:rFonts w:hint="eastAsia" w:cs="仿宋_GB2312" w:asciiTheme="minorEastAsia" w:hAnsiTheme="minorEastAsia" w:eastAsiaTheme="minorEastAsia"/>
          <w:color w:val="000000"/>
          <w:kern w:val="0"/>
          <w:sz w:val="28"/>
          <w:szCs w:val="28"/>
          <w:lang w:val="en-US" w:eastAsia="zh-CN" w:bidi="ar-SA"/>
        </w:rPr>
        <w:t>（四）负责所管养公路、桥梁的路政管理和公路沿线广告设置的管理；负责查处侵占公路用地、破坏公路设施等违法、违规、违章行为；负责查处公路、桥梁超限运输，依法维护公路产权；负责做好所管养公路、桥梁的战备规划和实施工作，保证公路畅通。</w:t>
      </w:r>
    </w:p>
    <w:p>
      <w:pPr>
        <w:ind w:left="567"/>
        <w:rPr>
          <w:rFonts w:hint="eastAsia" w:cs="仿宋_GB2312" w:asciiTheme="minorEastAsia" w:hAnsiTheme="minorEastAsia" w:eastAsiaTheme="minorEastAsia"/>
          <w:color w:val="000000"/>
          <w:kern w:val="0"/>
          <w:sz w:val="28"/>
          <w:szCs w:val="28"/>
          <w:lang w:val="en-US" w:eastAsia="zh-CN" w:bidi="ar-SA"/>
        </w:rPr>
      </w:pPr>
      <w:r>
        <w:rPr>
          <w:rFonts w:hint="eastAsia" w:cs="仿宋_GB2312" w:asciiTheme="minorEastAsia" w:hAnsiTheme="minorEastAsia" w:eastAsiaTheme="minorEastAsia"/>
          <w:color w:val="000000"/>
          <w:kern w:val="0"/>
          <w:sz w:val="28"/>
          <w:szCs w:val="28"/>
          <w:lang w:val="en-US" w:eastAsia="zh-CN" w:bidi="ar-SA"/>
        </w:rPr>
        <w:t>（五）负责本单位公路养护、管理技术的开发、推广和应用工作。</w:t>
      </w:r>
    </w:p>
    <w:p>
      <w:pPr>
        <w:ind w:left="567"/>
        <w:rPr>
          <w:rFonts w:hint="eastAsia" w:cs="仿宋_GB2312" w:asciiTheme="minorEastAsia" w:hAnsiTheme="minorEastAsia" w:eastAsiaTheme="minorEastAsia"/>
          <w:color w:val="000000"/>
          <w:kern w:val="0"/>
          <w:sz w:val="28"/>
          <w:szCs w:val="28"/>
          <w:lang w:val="en-US" w:eastAsia="zh-CN" w:bidi="ar-SA"/>
        </w:rPr>
      </w:pPr>
      <w:r>
        <w:rPr>
          <w:rFonts w:hint="eastAsia" w:cs="仿宋_GB2312" w:asciiTheme="minorEastAsia" w:hAnsiTheme="minorEastAsia" w:eastAsiaTheme="minorEastAsia"/>
          <w:color w:val="000000"/>
          <w:kern w:val="0"/>
          <w:sz w:val="28"/>
          <w:szCs w:val="28"/>
          <w:lang w:val="en-US" w:eastAsia="zh-CN" w:bidi="ar-SA"/>
        </w:rPr>
        <w:t>（六）负责承办本单位干部人事、劳动工资、教育培训、机构编制、离退休干部职工管理等工作；负责本单位副科级以上干部调配的呈报工作；负责本单位股级干部任免前呈报和备案工作；负责本单位党群和纪检监察工作；负责本单位精神文明建设和职工队伍建设。</w:t>
      </w:r>
    </w:p>
    <w:p>
      <w:pPr>
        <w:ind w:left="567"/>
        <w:rPr>
          <w:rFonts w:hint="eastAsia" w:cs="仿宋_GB2312" w:asciiTheme="minorEastAsia" w:hAnsiTheme="minorEastAsia" w:eastAsiaTheme="minorEastAsia"/>
          <w:color w:val="000000"/>
          <w:kern w:val="0"/>
          <w:sz w:val="28"/>
          <w:szCs w:val="28"/>
          <w:lang w:val="en-US" w:eastAsia="zh-CN" w:bidi="ar-SA"/>
        </w:rPr>
      </w:pPr>
      <w:r>
        <w:rPr>
          <w:rFonts w:hint="eastAsia" w:cs="仿宋_GB2312" w:asciiTheme="minorEastAsia" w:hAnsiTheme="minorEastAsia" w:eastAsiaTheme="minorEastAsia"/>
          <w:color w:val="000000"/>
          <w:kern w:val="0"/>
          <w:sz w:val="28"/>
          <w:szCs w:val="28"/>
          <w:lang w:val="en-US" w:eastAsia="zh-CN" w:bidi="ar-SA"/>
        </w:rPr>
        <w:t>（七）承担衡南县人民政府交办的其他工作。</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hint="eastAsia" w:asciiTheme="minorEastAsia" w:hAnsiTheme="minorEastAsia"/>
          <w:bCs/>
          <w:kern w:val="0"/>
          <w:sz w:val="32"/>
          <w:szCs w:val="32"/>
        </w:rPr>
      </w:pPr>
      <w:r>
        <w:rPr>
          <w:rFonts w:hint="eastAsia" w:asciiTheme="minorEastAsia" w:hAnsiTheme="minorEastAsia"/>
          <w:bCs/>
          <w:kern w:val="0"/>
          <w:sz w:val="32"/>
          <w:szCs w:val="32"/>
        </w:rPr>
        <w:t>（一）内设机构设置。</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衡南县公路建设养护中心是衡南县正科级公益一类事业单位，主要负责全县境内国省干线公路和农村公路建设养护工作的单位，其主要职责是为公路畅通提供养护管理保障。中心机关内设办公室、人事股、政策法规股、计划统计股、工程建设股、干线公路股、农村公路股、桥梁隧道股、安全质量监督股、财务股。2019年12月底，全局共有在职217人，176为全额事业编制；离退休人员151人。</w:t>
      </w:r>
    </w:p>
    <w:p>
      <w:pPr>
        <w:widowControl/>
        <w:numPr>
          <w:ilvl w:val="0"/>
          <w:numId w:val="2"/>
        </w:numPr>
        <w:spacing w:line="600" w:lineRule="exact"/>
        <w:rPr>
          <w:rFonts w:hint="eastAsia" w:asciiTheme="minorEastAsia" w:hAnsiTheme="minorEastAsia"/>
          <w:bCs/>
          <w:kern w:val="0"/>
          <w:sz w:val="32"/>
          <w:szCs w:val="32"/>
        </w:rPr>
      </w:pPr>
      <w:r>
        <w:rPr>
          <w:rFonts w:hint="eastAsia" w:asciiTheme="minorEastAsia" w:hAnsiTheme="minorEastAsia"/>
          <w:bCs/>
          <w:kern w:val="0"/>
          <w:sz w:val="32"/>
          <w:szCs w:val="32"/>
        </w:rPr>
        <w:t>决算单位构成</w:t>
      </w:r>
    </w:p>
    <w:p>
      <w:pPr>
        <w:widowControl/>
        <w:numPr>
          <w:ilvl w:val="0"/>
          <w:numId w:val="0"/>
        </w:numPr>
        <w:spacing w:line="600" w:lineRule="exact"/>
        <w:ind w:firstLine="640" w:firstLineChars="200"/>
        <w:rPr>
          <w:rFonts w:hint="eastAsia" w:asciiTheme="minorEastAsia" w:hAnsiTheme="minorEastAsia" w:eastAsiaTheme="minorEastAsia"/>
          <w:bCs/>
          <w:kern w:val="0"/>
          <w:sz w:val="32"/>
          <w:szCs w:val="32"/>
          <w:lang w:eastAsia="zh-CN"/>
        </w:rPr>
      </w:pPr>
      <w:r>
        <w:rPr>
          <w:rFonts w:asciiTheme="minorEastAsia" w:hAnsiTheme="minorEastAsia"/>
          <w:bCs/>
          <w:kern w:val="0"/>
          <w:sz w:val="32"/>
          <w:szCs w:val="32"/>
        </w:rPr>
        <w:t>2019</w:t>
      </w:r>
      <w:r>
        <w:rPr>
          <w:rFonts w:hint="eastAsia" w:asciiTheme="minorEastAsia" w:hAnsiTheme="minorEastAsia"/>
          <w:bCs/>
          <w:kern w:val="0"/>
          <w:sz w:val="32"/>
          <w:szCs w:val="32"/>
        </w:rPr>
        <w:t>年部门决算汇总公开单位构成包括：</w:t>
      </w:r>
      <w:r>
        <w:rPr>
          <w:rFonts w:hint="eastAsia" w:asciiTheme="minorEastAsia" w:hAnsiTheme="minorEastAsia"/>
          <w:bCs/>
          <w:kern w:val="0"/>
          <w:sz w:val="32"/>
          <w:szCs w:val="32"/>
          <w:lang w:eastAsia="zh-CN"/>
        </w:rPr>
        <w:t>衡南县公路建设养护中心</w:t>
      </w:r>
      <w:r>
        <w:rPr>
          <w:rFonts w:hint="eastAsia" w:asciiTheme="minorEastAsia" w:hAnsiTheme="minorEastAsia"/>
          <w:bCs/>
          <w:kern w:val="0"/>
          <w:sz w:val="32"/>
          <w:szCs w:val="32"/>
        </w:rPr>
        <w:t>单位本级以及</w:t>
      </w:r>
      <w:r>
        <w:rPr>
          <w:rFonts w:hint="eastAsia" w:asciiTheme="minorEastAsia" w:hAnsiTheme="minorEastAsia"/>
          <w:bCs/>
          <w:kern w:val="0"/>
          <w:sz w:val="32"/>
          <w:szCs w:val="32"/>
          <w:lang w:eastAsia="zh-CN"/>
        </w:rPr>
        <w:t>合并单位农村公路所本级。</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rFonts w:hint="default" w:eastAsiaTheme="minorEastAsia"/>
          <w:sz w:val="72"/>
          <w:szCs w:val="72"/>
          <w:lang w:val="en-US" w:eastAsia="zh-CN"/>
        </w:rPr>
      </w:pPr>
      <w:r>
        <w:rPr>
          <w:rFonts w:hint="eastAsia"/>
          <w:sz w:val="72"/>
          <w:szCs w:val="72"/>
          <w:lang w:val="en-US" w:eastAsia="zh-CN"/>
        </w:rPr>
        <w:t>(部门决算公示表附后)</w:t>
      </w: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1440" w:right="1800" w:bottom="1440" w:left="1800" w:header="851" w:footer="992" w:gutter="0"/>
          <w:cols w:space="425" w:num="1"/>
          <w:docGrid w:type="lines" w:linePitch="312" w:charSpace="0"/>
        </w:sect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第三部分</w:t>
      </w:r>
    </w:p>
    <w:p>
      <w:pPr>
        <w:pStyle w:val="9"/>
        <w:jc w:val="center"/>
        <w:rPr>
          <w:sz w:val="70"/>
          <w:szCs w:val="70"/>
        </w:rPr>
      </w:pPr>
    </w:p>
    <w:p>
      <w:pPr>
        <w:pStyle w:val="9"/>
        <w:jc w:val="center"/>
        <w:rPr>
          <w:sz w:val="70"/>
          <w:szCs w:val="70"/>
        </w:rPr>
      </w:pPr>
      <w:r>
        <w:rPr>
          <w:sz w:val="70"/>
          <w:szCs w:val="70"/>
        </w:rPr>
        <w:t>2019</w:t>
      </w:r>
      <w:r>
        <w:rPr>
          <w:rFonts w:hint="eastAsia"/>
          <w:sz w:val="70"/>
          <w:szCs w:val="70"/>
        </w:rPr>
        <w:t>年度部门决算情况说明</w:t>
      </w:r>
    </w:p>
    <w:p>
      <w:pPr>
        <w:widowControl/>
        <w:jc w:val="left"/>
        <w:rPr>
          <w:rFonts w:ascii="黑体" w:eastAsia="黑体" w:cs="黑体"/>
          <w:color w:val="000000"/>
          <w:kern w:val="0"/>
          <w:sz w:val="70"/>
          <w:szCs w:val="70"/>
        </w:rPr>
      </w:pPr>
      <w:r>
        <w:rPr>
          <w:sz w:val="70"/>
          <w:szCs w:val="70"/>
        </w:rPr>
        <w:br w:type="page"/>
      </w:r>
    </w:p>
    <w:p>
      <w:pPr>
        <w:pStyle w:val="9"/>
        <w:rPr>
          <w:rFonts w:asciiTheme="minorEastAsia" w:hAnsiTheme="minorEastAsia" w:eastAsiaTheme="minorEastAsia"/>
          <w:sz w:val="32"/>
          <w:szCs w:val="32"/>
        </w:rPr>
      </w:pPr>
    </w:p>
    <w:p>
      <w:pPr>
        <w:pStyle w:val="9"/>
        <w:rPr>
          <w:rFonts w:hAnsi="黑体"/>
          <w:b/>
          <w:sz w:val="32"/>
          <w:szCs w:val="32"/>
        </w:rPr>
      </w:pPr>
      <w:r>
        <w:rPr>
          <w:rFonts w:hint="eastAsia" w:hAnsi="黑体"/>
          <w:b/>
          <w:sz w:val="32"/>
          <w:szCs w:val="32"/>
        </w:rPr>
        <w:t>一、收入支出决算总体情况说明</w:t>
      </w:r>
    </w:p>
    <w:p>
      <w:pPr>
        <w:pStyle w:val="9"/>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2019 年度收、支总计131741168.32万元。与2018年相比，增加6088.31万元，增长</w:t>
      </w:r>
      <w:r>
        <w:rPr>
          <w:rFonts w:hint="eastAsia" w:asciiTheme="minorEastAsia" w:hAnsiTheme="minorEastAsia" w:eastAsiaTheme="minorEastAsia"/>
          <w:sz w:val="32"/>
          <w:szCs w:val="32"/>
          <w:lang w:val="en-US" w:eastAsia="zh-CN"/>
        </w:rPr>
        <w:t>85.92</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人员经费以及项目支出经费增加。</w:t>
      </w:r>
    </w:p>
    <w:p>
      <w:pPr>
        <w:pStyle w:val="9"/>
        <w:rPr>
          <w:rFonts w:hAnsi="黑体"/>
          <w:b/>
          <w:sz w:val="32"/>
          <w:szCs w:val="32"/>
        </w:rPr>
      </w:pPr>
      <w:r>
        <w:rPr>
          <w:rFonts w:hint="eastAsia" w:hAnsi="黑体"/>
          <w:b/>
          <w:sz w:val="32"/>
          <w:szCs w:val="32"/>
        </w:rPr>
        <w:t>二、收入决算情况说明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本年收入合计12173.07万元，其中：财政拨款收入7330.81万元，占</w:t>
      </w:r>
      <w:r>
        <w:rPr>
          <w:rFonts w:hint="eastAsia" w:asciiTheme="minorEastAsia" w:hAnsiTheme="minorEastAsia" w:eastAsiaTheme="minorEastAsia"/>
          <w:sz w:val="32"/>
          <w:szCs w:val="32"/>
          <w:lang w:val="en-US" w:eastAsia="zh-CN"/>
        </w:rPr>
        <w:t>60.22</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w:t>
      </w:r>
      <w:r>
        <w:rPr>
          <w:rFonts w:hint="eastAsia" w:asciiTheme="minorEastAsia" w:hAnsiTheme="minorEastAsia" w:eastAsiaTheme="minorEastAsia"/>
          <w:sz w:val="32"/>
          <w:szCs w:val="32"/>
          <w:lang w:eastAsia="zh-CN"/>
        </w:rPr>
        <w:t>它</w:t>
      </w:r>
      <w:r>
        <w:rPr>
          <w:rFonts w:hint="eastAsia" w:asciiTheme="minorEastAsia" w:hAnsiTheme="minorEastAsia" w:eastAsiaTheme="minorEastAsia"/>
          <w:sz w:val="32"/>
          <w:szCs w:val="32"/>
        </w:rPr>
        <w:t>收入4842.26万元，占</w:t>
      </w:r>
      <w:r>
        <w:rPr>
          <w:rFonts w:hint="eastAsia" w:asciiTheme="minorEastAsia" w:hAnsiTheme="minorEastAsia" w:eastAsiaTheme="minorEastAsia"/>
          <w:sz w:val="32"/>
          <w:szCs w:val="32"/>
          <w:lang w:val="en-US" w:eastAsia="zh-CN"/>
        </w:rPr>
        <w:t>39.78</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三、支出决算情况说明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本年支出合计9504.99万元，其中：基本支出2649.09万元，占</w:t>
      </w:r>
      <w:r>
        <w:rPr>
          <w:rFonts w:hint="eastAsia" w:asciiTheme="minorEastAsia" w:hAnsiTheme="minorEastAsia" w:eastAsiaTheme="minorEastAsia"/>
          <w:sz w:val="32"/>
          <w:szCs w:val="32"/>
          <w:lang w:val="en-US" w:eastAsia="zh-CN"/>
        </w:rPr>
        <w:t>27.87</w:t>
      </w:r>
      <w:r>
        <w:rPr>
          <w:rFonts w:hint="eastAsia" w:asciiTheme="minorEastAsia" w:hAnsiTheme="minorEastAsia" w:eastAsiaTheme="minorEastAsia"/>
          <w:sz w:val="32"/>
          <w:szCs w:val="32"/>
        </w:rPr>
        <w:t>%；项目支出6855.90万元，占</w:t>
      </w:r>
      <w:r>
        <w:rPr>
          <w:rFonts w:hint="eastAsia" w:asciiTheme="minorEastAsia" w:hAnsiTheme="minorEastAsia" w:eastAsiaTheme="minorEastAsia"/>
          <w:sz w:val="32"/>
          <w:szCs w:val="32"/>
          <w:lang w:val="en-US" w:eastAsia="zh-CN"/>
        </w:rPr>
        <w:t>72.13</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四、财政拨款收入支出决算总体情况说明</w:t>
      </w:r>
    </w:p>
    <w:p>
      <w:pPr>
        <w:pStyle w:val="9"/>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 xml:space="preserve">    2019年度财政拨款收、支总计8331.85万元，与2018年相比，增加1246.04万元,增长</w:t>
      </w:r>
      <w:r>
        <w:rPr>
          <w:rFonts w:hint="eastAsia" w:asciiTheme="minorEastAsia" w:hAnsiTheme="minorEastAsia" w:eastAsiaTheme="minorEastAsia"/>
          <w:sz w:val="32"/>
          <w:szCs w:val="32"/>
          <w:lang w:val="en-US" w:eastAsia="zh-CN"/>
        </w:rPr>
        <w:t>17.59</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项目结余增加。</w:t>
      </w:r>
    </w:p>
    <w:p>
      <w:pPr>
        <w:pStyle w:val="9"/>
        <w:rPr>
          <w:rFonts w:hAnsi="黑体"/>
          <w:b/>
          <w:sz w:val="32"/>
          <w:szCs w:val="32"/>
        </w:rPr>
      </w:pPr>
      <w:r>
        <w:rPr>
          <w:rFonts w:hint="eastAsia" w:hAnsi="黑体"/>
          <w:b/>
          <w:sz w:val="32"/>
          <w:szCs w:val="32"/>
        </w:rPr>
        <w:t>五、一般公共预算财政拨款支出决算情况说明</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2019年度财政拨款支出4662.73万元，占本年支出合计的</w:t>
      </w:r>
      <w:r>
        <w:rPr>
          <w:rFonts w:hint="eastAsia" w:asciiTheme="minorEastAsia" w:hAnsiTheme="minorEastAsia" w:eastAsiaTheme="minorEastAsia"/>
          <w:sz w:val="32"/>
          <w:szCs w:val="32"/>
          <w:lang w:val="en-US" w:eastAsia="zh-CN"/>
        </w:rPr>
        <w:t>49.06</w:t>
      </w:r>
      <w:r>
        <w:rPr>
          <w:rFonts w:hint="eastAsia" w:asciiTheme="minorEastAsia" w:hAnsiTheme="minorEastAsia" w:eastAsiaTheme="minorEastAsia"/>
          <w:sz w:val="32"/>
          <w:szCs w:val="32"/>
        </w:rPr>
        <w:t>%，与2018年相比，财政拨款支出</w:t>
      </w:r>
      <w:r>
        <w:rPr>
          <w:rFonts w:hint="eastAsia" w:asciiTheme="minorEastAsia" w:hAnsiTheme="minorEastAsia" w:eastAsiaTheme="minorEastAsia"/>
          <w:sz w:val="32"/>
          <w:szCs w:val="32"/>
          <w:lang w:eastAsia="zh-CN"/>
        </w:rPr>
        <w:t>减少3497.85</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42.86</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项目支出减少。</w:t>
      </w:r>
    </w:p>
    <w:p>
      <w:pPr>
        <w:pStyle w:val="9"/>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9"/>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2019年度财政拨款支出4662.73万元，主要用于以下方面：社会保障和就业（类）支出</w:t>
      </w:r>
      <w:r>
        <w:rPr>
          <w:rFonts w:hint="eastAsia" w:asciiTheme="minorEastAsia" w:hAnsiTheme="minorEastAsia" w:eastAsiaTheme="minorEastAsia"/>
          <w:sz w:val="32"/>
          <w:szCs w:val="32"/>
          <w:lang w:val="en-US" w:eastAsia="zh-CN"/>
        </w:rPr>
        <w:t>189.98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4.07</w:t>
      </w:r>
      <w:r>
        <w:rPr>
          <w:rFonts w:hint="eastAsia" w:asciiTheme="minorEastAsia" w:hAnsiTheme="minorEastAsia" w:eastAsiaTheme="minorEastAsia"/>
          <w:sz w:val="32"/>
          <w:szCs w:val="32"/>
        </w:rPr>
        <w:t>%；卫生健康（类）支出</w:t>
      </w:r>
      <w:r>
        <w:rPr>
          <w:rFonts w:hint="eastAsia" w:asciiTheme="minorEastAsia" w:hAnsiTheme="minorEastAsia" w:eastAsiaTheme="minorEastAsia"/>
          <w:sz w:val="32"/>
          <w:szCs w:val="32"/>
          <w:lang w:val="en-US" w:eastAsia="zh-CN"/>
        </w:rPr>
        <w:t>11.77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0.25</w:t>
      </w:r>
      <w:r>
        <w:rPr>
          <w:rFonts w:hint="eastAsia" w:asciiTheme="minorEastAsia" w:hAnsiTheme="minorEastAsia" w:eastAsiaTheme="minorEastAsia"/>
          <w:sz w:val="32"/>
          <w:szCs w:val="32"/>
        </w:rPr>
        <w:t>%;农林水（类）支出</w:t>
      </w:r>
      <w:r>
        <w:rPr>
          <w:rFonts w:hint="eastAsia" w:asciiTheme="minorEastAsia" w:hAnsiTheme="minorEastAsia" w:eastAsiaTheme="minorEastAsia"/>
          <w:sz w:val="32"/>
          <w:szCs w:val="32"/>
          <w:lang w:val="en-US" w:eastAsia="zh-CN"/>
        </w:rPr>
        <w:t>1000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21.45</w:t>
      </w:r>
      <w:r>
        <w:rPr>
          <w:rFonts w:hint="eastAsia" w:asciiTheme="minorEastAsia" w:hAnsiTheme="minorEastAsia" w:eastAsiaTheme="minorEastAsia"/>
          <w:sz w:val="32"/>
          <w:szCs w:val="32"/>
        </w:rPr>
        <w:t>%;交通运输（类）支出</w:t>
      </w:r>
      <w:r>
        <w:rPr>
          <w:rFonts w:hint="eastAsia" w:asciiTheme="minorEastAsia" w:hAnsiTheme="minorEastAsia" w:eastAsiaTheme="minorEastAsia"/>
          <w:sz w:val="32"/>
          <w:szCs w:val="32"/>
          <w:lang w:val="en-US" w:eastAsia="zh-CN"/>
        </w:rPr>
        <w:t>3370.24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72.28</w:t>
      </w:r>
      <w:r>
        <w:rPr>
          <w:rFonts w:hint="eastAsia" w:asciiTheme="minorEastAsia" w:hAnsiTheme="minorEastAsia" w:eastAsiaTheme="minorEastAsia"/>
          <w:sz w:val="32"/>
          <w:szCs w:val="32"/>
        </w:rPr>
        <w:t>%;住房保障（类）支出</w:t>
      </w:r>
      <w:r>
        <w:rPr>
          <w:rFonts w:hint="eastAsia" w:asciiTheme="minorEastAsia" w:hAnsiTheme="minorEastAsia" w:eastAsiaTheme="minorEastAsia"/>
          <w:sz w:val="32"/>
          <w:szCs w:val="32"/>
          <w:lang w:val="en-US" w:eastAsia="zh-CN"/>
        </w:rPr>
        <w:t>90.74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1.95</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2019年度财政拨款支出年初预算数为8331.84万元，支出决算数为4662.72万元，完成年初预算的</w:t>
      </w:r>
      <w:r>
        <w:rPr>
          <w:rFonts w:hint="eastAsia" w:asciiTheme="minorEastAsia" w:hAnsiTheme="minorEastAsia" w:eastAsiaTheme="minorEastAsia"/>
          <w:sz w:val="32"/>
          <w:szCs w:val="32"/>
          <w:lang w:val="en-US" w:eastAsia="zh-CN"/>
        </w:rPr>
        <w:t>55.96</w:t>
      </w:r>
      <w:r>
        <w:rPr>
          <w:rFonts w:hint="eastAsia" w:asciiTheme="minorEastAsia" w:hAnsiTheme="minorEastAsia" w:eastAsiaTheme="minorEastAsia"/>
          <w:sz w:val="32"/>
          <w:szCs w:val="32"/>
        </w:rPr>
        <w:t>%，其中：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1、社会保障和就业（类）行政事业单位离退休（款）机关事业单位基本养老保险缴费支出（项）。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113.85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113.85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持平。</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2、社会保障和就业（类）抚恤（款）死亡抚恤（项）。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13.1</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13.1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持平。</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、社会保障和就业（类）抚恤（款）其他优抚支出（项）。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40.77</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40.77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持平。</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4、社会保障和就业</w:t>
      </w:r>
      <w:r>
        <w:rPr>
          <w:rFonts w:hint="eastAsia" w:asciiTheme="minorEastAsia" w:hAnsiTheme="minorEastAsia" w:eastAsiaTheme="minorEastAsia"/>
          <w:sz w:val="32"/>
          <w:szCs w:val="32"/>
        </w:rPr>
        <w:t>（类）财政对基本养老保险基金的补助（款）财政对城乡居民基本养老保险基金的补助（项）。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22.26</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22.26</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持平。</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、卫生健康（类）行政事业单位医疗（款）事业单位医疗（项）。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11.77</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11.77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持平。</w:t>
      </w:r>
    </w:p>
    <w:p>
      <w:pPr>
        <w:pStyle w:val="9"/>
        <w:ind w:firstLine="800" w:firstLineChars="250"/>
        <w:rPr>
          <w:rFonts w:hint="eastAsia" w:asciiTheme="minorEastAsia" w:hAnsiTheme="minorEastAsia" w:eastAsiaTheme="minorEastAsia"/>
          <w:sz w:val="32"/>
          <w:szCs w:val="32"/>
          <w:lang w:eastAsia="zh-CN"/>
        </w:rPr>
      </w:pP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、农林水（类）农业（款）农村道路建设（项）。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1000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1000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持平。</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7</w:t>
      </w:r>
      <w:r>
        <w:rPr>
          <w:rFonts w:hint="eastAsia" w:asciiTheme="minorEastAsia" w:hAnsiTheme="minorEastAsia" w:eastAsiaTheme="minorEastAsia"/>
          <w:sz w:val="32"/>
          <w:szCs w:val="32"/>
        </w:rPr>
        <w:t>、交通运输（类）公路水路运输（款）行政运行（项）。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2044.04</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2044.04</w:t>
      </w:r>
      <w:r>
        <w:rPr>
          <w:rFonts w:hint="eastAsia" w:asciiTheme="minorEastAsia" w:hAnsiTheme="minorEastAsia" w:eastAsiaTheme="minorEastAsia"/>
          <w:sz w:val="32"/>
          <w:szCs w:val="32"/>
        </w:rPr>
        <w:t>万元，完成年初预算的%，完成年初预算的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持平。</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、交通运输（类）公路水路运输（款）公路建设（项）。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900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900</w:t>
      </w:r>
      <w:r>
        <w:rPr>
          <w:rFonts w:hint="eastAsia" w:asciiTheme="minorEastAsia" w:hAnsiTheme="minorEastAsia" w:eastAsiaTheme="minorEastAsia"/>
          <w:sz w:val="32"/>
          <w:szCs w:val="32"/>
        </w:rPr>
        <w:t>万元，完成年初预算的%，完成年初预算的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持平。</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9</w:t>
      </w:r>
      <w:r>
        <w:rPr>
          <w:rFonts w:hint="eastAsia" w:asciiTheme="minorEastAsia" w:hAnsiTheme="minorEastAsia" w:eastAsiaTheme="minorEastAsia"/>
          <w:sz w:val="32"/>
          <w:szCs w:val="32"/>
        </w:rPr>
        <w:t>、交通运输（类）公路水路运输（款）公路养护（项）。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300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300</w:t>
      </w:r>
      <w:r>
        <w:rPr>
          <w:rFonts w:hint="eastAsia" w:asciiTheme="minorEastAsia" w:hAnsiTheme="minorEastAsia" w:eastAsiaTheme="minorEastAsia"/>
          <w:sz w:val="32"/>
          <w:szCs w:val="32"/>
        </w:rPr>
        <w:t>万元，完成年初预算的%，完成年初预算的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持平。</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、交通运输（类）公路水路运输（款）其他公路水路运输支出（项）。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年初预算为3795.31万元，支出决算为</w:t>
      </w:r>
      <w:r>
        <w:rPr>
          <w:rFonts w:hint="eastAsia" w:asciiTheme="minorEastAsia" w:hAnsiTheme="minorEastAsia" w:eastAsiaTheme="minorEastAsia"/>
          <w:sz w:val="32"/>
          <w:szCs w:val="32"/>
          <w:lang w:val="en-US" w:eastAsia="zh-CN"/>
        </w:rPr>
        <w:t>126.19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3.25</w:t>
      </w:r>
      <w:r>
        <w:rPr>
          <w:rFonts w:hint="eastAsia" w:asciiTheme="minorEastAsia" w:hAnsiTheme="minorEastAsia" w:eastAsiaTheme="minorEastAsia"/>
          <w:sz w:val="32"/>
          <w:szCs w:val="32"/>
        </w:rPr>
        <w:t>%，决算数小于年初预算数的主要原因是：</w:t>
      </w:r>
      <w:r>
        <w:rPr>
          <w:rFonts w:hint="eastAsia" w:asciiTheme="minorEastAsia" w:hAnsiTheme="minorEastAsia" w:eastAsiaTheme="minorEastAsia"/>
          <w:sz w:val="32"/>
          <w:szCs w:val="32"/>
          <w:lang w:eastAsia="zh-CN"/>
        </w:rPr>
        <w:t>项目支出减少。</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11</w:t>
      </w:r>
      <w:r>
        <w:rPr>
          <w:rFonts w:hint="eastAsia" w:asciiTheme="minorEastAsia" w:hAnsiTheme="minorEastAsia" w:eastAsiaTheme="minorEastAsia"/>
          <w:sz w:val="32"/>
          <w:szCs w:val="32"/>
        </w:rPr>
        <w:t>、住房保障（类）住房改革（款）住房公积金（项）。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90.74</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90.74</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持平。</w:t>
      </w:r>
    </w:p>
    <w:p>
      <w:pPr>
        <w:pStyle w:val="9"/>
        <w:rPr>
          <w:rFonts w:hAnsi="黑体"/>
          <w:b/>
          <w:sz w:val="32"/>
          <w:szCs w:val="32"/>
        </w:rPr>
      </w:pPr>
      <w:r>
        <w:rPr>
          <w:rFonts w:hint="eastAsia" w:hAnsi="黑体"/>
          <w:b/>
          <w:sz w:val="32"/>
          <w:szCs w:val="32"/>
        </w:rPr>
        <w:t>六、一般公共预算财政拨款基本支出决算情况说明</w:t>
      </w:r>
    </w:p>
    <w:p>
      <w:pPr>
        <w:pStyle w:val="9"/>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2019年度财政拨款基本支出</w:t>
      </w:r>
      <w:r>
        <w:rPr>
          <w:rFonts w:hint="eastAsia" w:asciiTheme="minorEastAsia" w:hAnsiTheme="minorEastAsia" w:eastAsiaTheme="minorEastAsia"/>
          <w:sz w:val="32"/>
          <w:szCs w:val="32"/>
          <w:lang w:val="en-US" w:eastAsia="zh-CN"/>
        </w:rPr>
        <w:t>2336.54</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2336.54</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%,主要包括基本工资、津贴补贴、奖金、伙食补助费</w:t>
      </w:r>
      <w:r>
        <w:rPr>
          <w:rFonts w:hint="eastAsia" w:asciiTheme="minorEastAsia" w:hAnsiTheme="minorEastAsia" w:eastAsiaTheme="minorEastAsia"/>
          <w:sz w:val="32"/>
          <w:szCs w:val="32"/>
          <w:lang w:val="en-US" w:eastAsia="zh-CN"/>
        </w:rPr>
        <w:t>.</w:t>
      </w:r>
    </w:p>
    <w:p>
      <w:pPr>
        <w:pStyle w:val="9"/>
        <w:rPr>
          <w:rFonts w:hAnsi="黑体"/>
          <w:b/>
          <w:sz w:val="32"/>
          <w:szCs w:val="32"/>
        </w:rPr>
      </w:pPr>
      <w:r>
        <w:rPr>
          <w:rFonts w:hint="eastAsia" w:hAnsi="黑体"/>
          <w:b/>
          <w:sz w:val="32"/>
          <w:szCs w:val="32"/>
        </w:rPr>
        <w:t>七、一般公共预算财政拨款三公经费支出决算情况说明</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2019年度“三公”经费财政拨款支出决算中，公务接待费支出决算</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%。其中：</w:t>
      </w:r>
    </w:p>
    <w:p>
      <w:pPr>
        <w:pStyle w:val="9"/>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人次</w:t>
      </w:r>
      <w:r>
        <w:rPr>
          <w:rFonts w:hint="eastAsia" w:asciiTheme="minorEastAsia" w:hAnsiTheme="minorEastAsia" w:eastAsiaTheme="minorEastAsia"/>
          <w:sz w:val="32"/>
          <w:szCs w:val="32"/>
          <w:lang w:val="en-US" w:eastAsia="zh-CN"/>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人次。</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eastAsia="zh-CN"/>
        </w:rPr>
        <w:t>0</w:t>
      </w:r>
      <w:r>
        <w:rPr>
          <w:rFonts w:hint="eastAsia" w:asciiTheme="minorEastAsia" w:hAnsiTheme="minorEastAsia"/>
          <w:sz w:val="32"/>
          <w:szCs w:val="32"/>
        </w:rPr>
        <w:t>万元，截至2019年12月31日，本单位共有车辆0辆，当年新增公务用车为0辆。</w:t>
      </w:r>
    </w:p>
    <w:p>
      <w:pPr>
        <w:pStyle w:val="9"/>
        <w:rPr>
          <w:rFonts w:hAnsi="黑体"/>
          <w:b/>
          <w:sz w:val="32"/>
          <w:szCs w:val="32"/>
        </w:rPr>
      </w:pPr>
      <w:r>
        <w:rPr>
          <w:rFonts w:hint="eastAsia" w:hAnsi="黑体"/>
          <w:b/>
          <w:sz w:val="32"/>
          <w:szCs w:val="32"/>
        </w:rPr>
        <w:t>八、政府性基金预算收入支出决算情况</w:t>
      </w:r>
    </w:p>
    <w:p>
      <w:pPr>
        <w:pStyle w:val="9"/>
        <w:rPr>
          <w:rFonts w:hint="eastAsia" w:asciiTheme="minorEastAsia" w:hAnsiTheme="minorEastAsia" w:eastAsiaTheme="minorEastAsia"/>
          <w:sz w:val="32"/>
          <w:szCs w:val="32"/>
        </w:rPr>
      </w:pPr>
      <w:r>
        <w:rPr>
          <w:rFonts w:hint="eastAsia" w:asciiTheme="minorEastAsia" w:hAnsiTheme="minorEastAsia" w:eastAsiaTheme="minorEastAsia"/>
          <w:sz w:val="32"/>
          <w:szCs w:val="32"/>
        </w:rPr>
        <w:t xml:space="preserve">     2019年度单位无政府性基金收支</w:t>
      </w:r>
    </w:p>
    <w:p>
      <w:pPr>
        <w:pStyle w:val="9"/>
        <w:rPr>
          <w:rFonts w:hAnsi="黑体"/>
          <w:b/>
          <w:sz w:val="32"/>
          <w:szCs w:val="32"/>
        </w:rPr>
      </w:pPr>
      <w:r>
        <w:rPr>
          <w:rFonts w:hint="eastAsia" w:asciiTheme="minorEastAsia" w:hAnsiTheme="minorEastAsia" w:eastAsiaTheme="minorEastAsia"/>
          <w:i/>
          <w:color w:val="FF0000"/>
          <w:sz w:val="32"/>
          <w:szCs w:val="32"/>
          <w:lang w:val="en-US" w:eastAsia="zh-CN"/>
        </w:rPr>
        <w:t xml:space="preserve">  </w:t>
      </w:r>
      <w:r>
        <w:rPr>
          <w:rFonts w:hint="eastAsia" w:hAnsi="黑体"/>
          <w:b/>
          <w:sz w:val="32"/>
          <w:szCs w:val="32"/>
        </w:rPr>
        <w:t>九、关于2019年度预算绩效情况说明</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本部门预算绩效管理开展情况、绩效目标和绩效评价报告</w:t>
      </w:r>
    </w:p>
    <w:p>
      <w:pPr>
        <w:pStyle w:val="9"/>
        <w:rPr>
          <w:rFonts w:asciiTheme="minorEastAsia" w:hAnsiTheme="minorEastAsia" w:eastAsiaTheme="minorEastAsia"/>
          <w:sz w:val="32"/>
          <w:szCs w:val="32"/>
        </w:rPr>
      </w:pPr>
      <w:r>
        <w:rPr>
          <w:rFonts w:hint="eastAsia" w:asciiTheme="minorEastAsia" w:hAnsiTheme="minorEastAsia" w:eastAsiaTheme="minorEastAsia"/>
          <w:sz w:val="32"/>
          <w:szCs w:val="32"/>
        </w:rPr>
        <w:t>按照财政绩效部门要求已公开或其他有关部门要求需随同部门决算一同公开的绩效信息，请作为附件公开）</w:t>
      </w:r>
    </w:p>
    <w:p>
      <w:pPr>
        <w:pStyle w:val="9"/>
        <w:rPr>
          <w:rFonts w:hAnsi="黑体"/>
          <w:b/>
          <w:sz w:val="32"/>
          <w:szCs w:val="32"/>
        </w:rPr>
      </w:pPr>
      <w:r>
        <w:rPr>
          <w:rFonts w:hint="eastAsia" w:hAnsi="黑体"/>
          <w:b/>
          <w:sz w:val="32"/>
          <w:szCs w:val="32"/>
        </w:rPr>
        <w:t>十、其他重要事项情况说明</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（一）机关运行经费支出情况</w:t>
      </w:r>
    </w:p>
    <w:p>
      <w:pPr>
        <w:ind w:firstLine="640" w:firstLineChars="200"/>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rPr>
        <w:t>本部门2019 年度机关运行经费支出</w:t>
      </w:r>
      <w:r>
        <w:rPr>
          <w:rFonts w:hint="eastAsia" w:cs="黑体" w:asciiTheme="minorEastAsia" w:hAnsiTheme="minorEastAsia"/>
          <w:color w:val="000000"/>
          <w:kern w:val="0"/>
          <w:sz w:val="32"/>
          <w:szCs w:val="32"/>
          <w:lang w:val="en-US" w:eastAsia="zh-CN"/>
        </w:rPr>
        <w:t>233.65</w:t>
      </w:r>
      <w:r>
        <w:rPr>
          <w:rFonts w:hint="eastAsia" w:cs="黑体" w:asciiTheme="minorEastAsia" w:hAnsiTheme="minorEastAsia"/>
          <w:color w:val="000000"/>
          <w:kern w:val="0"/>
          <w:sz w:val="32"/>
          <w:szCs w:val="32"/>
        </w:rPr>
        <w:t>万元</w:t>
      </w:r>
      <w:r>
        <w:rPr>
          <w:rFonts w:hint="eastAsia" w:cs="黑体" w:asciiTheme="minorEastAsia" w:hAnsiTheme="minorEastAsia"/>
          <w:color w:val="000000"/>
          <w:kern w:val="0"/>
          <w:sz w:val="32"/>
          <w:szCs w:val="32"/>
          <w:lang w:eastAsia="zh-CN"/>
        </w:rPr>
        <w:t>。</w:t>
      </w:r>
    </w:p>
    <w:p>
      <w:pPr>
        <w:ind w:firstLine="640" w:firstLineChars="200"/>
        <w:rPr>
          <w:rFonts w:hint="eastAsia"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（二）一般性支出情况</w:t>
      </w:r>
    </w:p>
    <w:p>
      <w:pPr>
        <w:ind w:firstLine="640" w:firstLineChars="200"/>
        <w:rPr>
          <w:rFonts w:hint="default" w:cs="黑体" w:asciiTheme="minorEastAsia" w:hAnsiTheme="minorEastAsia" w:eastAsiaTheme="minorEastAsia"/>
          <w:b/>
          <w:color w:val="000000"/>
          <w:kern w:val="0"/>
          <w:sz w:val="32"/>
          <w:szCs w:val="32"/>
          <w:lang w:val="en-US" w:eastAsia="zh-CN"/>
        </w:rPr>
      </w:pPr>
      <w:r>
        <w:rPr>
          <w:rFonts w:hint="eastAsia" w:cs="黑体" w:asciiTheme="minorEastAsia" w:hAnsiTheme="minorEastAsia"/>
          <w:color w:val="000000"/>
          <w:kern w:val="0"/>
          <w:sz w:val="32"/>
          <w:szCs w:val="32"/>
        </w:rPr>
        <w:t>本部门2019 年度</w:t>
      </w:r>
      <w:r>
        <w:rPr>
          <w:rFonts w:hint="eastAsia" w:cs="黑体" w:asciiTheme="minorEastAsia" w:hAnsiTheme="minorEastAsia"/>
          <w:color w:val="000000"/>
          <w:kern w:val="0"/>
          <w:sz w:val="32"/>
          <w:szCs w:val="32"/>
          <w:lang w:eastAsia="zh-CN"/>
        </w:rPr>
        <w:t>除了发生人员经费</w:t>
      </w:r>
      <w:r>
        <w:rPr>
          <w:rFonts w:hint="eastAsia" w:cs="黑体" w:asciiTheme="minorEastAsia" w:hAnsiTheme="minorEastAsia"/>
          <w:color w:val="000000"/>
          <w:kern w:val="0"/>
          <w:sz w:val="32"/>
          <w:szCs w:val="32"/>
          <w:lang w:val="en-US" w:eastAsia="zh-CN"/>
        </w:rPr>
        <w:t>217.58万元以外，没有发生相关公用经费开支。人员经费也是以保证工资发放和日常运转为主。</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（三）政府采购支出情况</w:t>
      </w:r>
    </w:p>
    <w:p>
      <w:pPr>
        <w:ind w:firstLine="640" w:firstLineChars="200"/>
        <w:rPr>
          <w:rFonts w:hint="eastAsia" w:cs="黑体" w:asciiTheme="minorEastAsia" w:hAnsiTheme="minorEastAsia" w:eastAsiaTheme="minorEastAsia"/>
          <w:i/>
          <w:color w:val="FF0000"/>
          <w:kern w:val="0"/>
          <w:sz w:val="32"/>
          <w:szCs w:val="32"/>
          <w:lang w:eastAsia="zh-CN"/>
        </w:rPr>
      </w:pPr>
      <w:r>
        <w:rPr>
          <w:rFonts w:hint="eastAsia" w:cs="黑体" w:asciiTheme="minorEastAsia" w:hAnsiTheme="minorEastAsia"/>
          <w:color w:val="000000"/>
          <w:kern w:val="0"/>
          <w:sz w:val="32"/>
          <w:szCs w:val="32"/>
        </w:rPr>
        <w:t>本部门2019年度政府采购支出总额</w:t>
      </w:r>
      <w:r>
        <w:rPr>
          <w:rFonts w:hint="eastAsia" w:cs="黑体" w:asciiTheme="minorEastAsia" w:hAnsiTheme="minorEastAsia"/>
          <w:color w:val="000000"/>
          <w:kern w:val="0"/>
          <w:sz w:val="32"/>
          <w:szCs w:val="32"/>
          <w:lang w:eastAsia="zh-CN"/>
        </w:rPr>
        <w:t>0</w:t>
      </w:r>
      <w:r>
        <w:rPr>
          <w:rFonts w:hint="eastAsia" w:cs="黑体" w:asciiTheme="minorEastAsia" w:hAnsiTheme="minorEastAsia"/>
          <w:color w:val="000000"/>
          <w:kern w:val="0"/>
          <w:sz w:val="32"/>
          <w:szCs w:val="32"/>
        </w:rPr>
        <w:t>万元</w:t>
      </w:r>
      <w:r>
        <w:rPr>
          <w:rFonts w:hint="eastAsia" w:cs="黑体" w:asciiTheme="minorEastAsia" w:hAnsiTheme="minorEastAsia"/>
          <w:color w:val="000000"/>
          <w:kern w:val="0"/>
          <w:sz w:val="32"/>
          <w:szCs w:val="32"/>
          <w:lang w:eastAsia="zh-CN"/>
        </w:rPr>
        <w:t>。</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（四）国有资产占用情况</w:t>
      </w:r>
      <w:bookmarkStart w:id="0" w:name="_GoBack"/>
      <w:bookmarkEnd w:id="0"/>
    </w:p>
    <w:p>
      <w:pPr>
        <w:widowControl/>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截至2019年12月31日，本单位共有车辆0辆，其中：特种专业技术用车0辆。单位价值50万元以上通用设备0台（套）；单位价值100万元以上专用设备0台（套）。</w:t>
      </w:r>
    </w:p>
    <w:p>
      <w:pPr>
        <w:ind w:firstLine="640" w:firstLineChars="200"/>
        <w:rPr>
          <w:rFonts w:cs="黑体" w:asciiTheme="minorEastAsia" w:hAnsiTheme="minorEastAsia"/>
          <w:color w:val="000000"/>
          <w:kern w:val="0"/>
          <w:sz w:val="32"/>
          <w:szCs w:val="3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一、财政拨款收入：指财政当年拨付的资金。</w:t>
      </w:r>
    </w:p>
    <w:p>
      <w:pPr>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二、年初结转和结余：指以前年度尚未完成、结转到本年按有关规定继续使用的资金。</w:t>
      </w:r>
    </w:p>
    <w:p>
      <w:pPr>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三、年末结转和结余：指本年度或以前年度预算安排、因客观条件发生变化无法按计划实施，需要延迟到以后年度按有关规定继续使用的资金。</w:t>
      </w:r>
    </w:p>
    <w:p>
      <w:pPr>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四、基本支出：指为保障机构正常运转、完成日常工作任务而发生的人员支出和公用支出。</w:t>
      </w:r>
    </w:p>
    <w:p>
      <w:pPr>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五、项目支出：指在基本支出之外为完成特定行政任务和事业发展目标所发生的支出。</w:t>
      </w:r>
    </w:p>
    <w:p>
      <w:pPr>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六、“三公”经费：指财政拨款安排的因公出国（境）、公务用车购置及运行费和公务接待费。</w:t>
      </w:r>
    </w:p>
    <w:p>
      <w:pPr>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七、机关运行经费：为保障行政单位运行用于购买货物和服务的各项资金，包括办公费、印刷费、邮电费、差旅费、会议费、福利费、日常维修费、专用材料及一般设备购置费、办公用房水电费、办公用房取暖费、办公用房物业管理费、公务用车购置运行费以及其他费用。</w:t>
      </w:r>
    </w:p>
    <w:p>
      <w:pPr>
        <w:widowControl/>
        <w:jc w:val="left"/>
        <w:rPr>
          <w:rFonts w:asciiTheme="minorEastAsia" w:hAnsiTheme="minorEastAsia"/>
          <w:i/>
          <w:color w:val="FF0000"/>
          <w:sz w:val="32"/>
          <w:szCs w:val="32"/>
        </w:rPr>
      </w:pPr>
      <w:r>
        <w:rPr>
          <w:rFonts w:asciiTheme="minorEastAsia" w:hAnsiTheme="minorEastAsia"/>
          <w:i/>
          <w:color w:val="FF0000"/>
          <w:sz w:val="32"/>
          <w:szCs w:val="32"/>
        </w:rPr>
        <w:br w:type="page"/>
      </w: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2019年度部门整体支出绩效评价报告</w:t>
      </w:r>
    </w:p>
    <w:p>
      <w:pPr>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一、国省干线公路项目建设完成情况。S336线咸塘段大修工程2019年10月开工，预计1月中旬能全面通车。G322线宝盖段、茶市段、鸡笼段大修工程已完成项目审批及招投标工作，下步即将进入项目工程实施阶段。</w:t>
      </w:r>
    </w:p>
    <w:p>
      <w:pPr>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二、其它业务工作完成情况。一是公路建养工作稳步推进。完成窄路加宽92公里，创建农村示范公路养护里程60余公里，实现年末路况优良率国道93%、省道91%、县道90%，圆满完成了上级下达的养护路况指标任务。二是加快推进危桥改造工程项目。完成危桥改造项目5座，基本完成8座危桥改造项目的前期工作；2019年省厅下达我县农村公路危桥改造项目2个，目前冠市镇石鹿桥危桥改造已完成勘察、设计、财评等前期工作，正在抓紧进行公开招投标工作。泉溪大桥改造已完成省、市水利部门防洪评估、航道部门通航论证及批复、交通部门初步设计批复等前期工作。三是抓好安全生产管理和道路安全隐患治理工作。全面落实“安全第一，预防为主，综合治理”安全生产工作方针，坚持安全生产常抓不懈，做到了领导到位、经费到位、检查到位、整改到位。一年来没有发生安全生产责任事故，确保安全生产形势持续稳定。积极开展“铁路沿线安全隐患排查”、“国庆特护期安全生产”、“道路交通安全三项行动”、“交通安全顽瘴痼疾整治”等专项治理行动，完成G107、G322、S213等线路处治安全隐患工程62.472公里，完善管养线路标志标牌标线150余处。</w:t>
      </w:r>
    </w:p>
    <w:p>
      <w:pPr>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三、亮点工作。一是办妥了机构改革这件大事。全县机构改革启动以来，中心党委以高度负责的精神，统一思想，提前谋划，形成合力，认真做好机构“三定”、职能交接、人员转隶等工作，有理、有利、有节维护单位和职工的根本利益。2019年4月，我中心被县委明确为正科级公益一类事业单位；8月，县委对中心党委班子调整后，中心党委及时对中层干部进行调整，将群众公认、作风过硬、年富力强的同志提拔到中层干部岗位，结束了县公路部门近十年来中层干部配备不齐的尴尬局面，极大调动了广大干部职工干事创业的激情。二是办好了脱贫攻坚自然村通水泥（沥青）路项目建设这件急事。2019年衡南县自然村通水泥（沥青）路项目省考核统建任务258公里，是全市任务最重的县市区之一。自去年8月23日中心被明确为全县自然村通水泥（沥青）路项目建设业主单位以来，中心克服了起步晚、基础资料不全、时间节点紧、资金缺口大等不利因素，采取非常措施，充分调动了乡镇和施工队积极性，全力奋战100天，后发赶超，实现了县政府布置的2019年完成300公里建设任务的要求，超出省统建任务考核目标42公里，得到市、县领导的充分肯定和高度赞扬，在全市排名第三。</w:t>
      </w:r>
    </w:p>
    <w:p>
      <w:pPr>
        <w:ind w:firstLine="640" w:firstLineChars="200"/>
        <w:jc w:val="left"/>
        <w:rPr>
          <w:rFonts w:cs="黑体" w:asciiTheme="minorEastAsia" w:hAnsiTheme="minorEastAsia"/>
          <w:color w:val="000000"/>
          <w:kern w:val="0"/>
          <w:sz w:val="32"/>
          <w:szCs w:val="32"/>
        </w:rPr>
      </w:pPr>
    </w:p>
    <w:sectPr>
      <w:pgSz w:w="11906" w:h="16838"/>
      <w:pgMar w:top="720" w:right="1306" w:bottom="720" w:left="156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6FF7CF"/>
    <w:multiLevelType w:val="singleLevel"/>
    <w:tmpl w:val="146FF7CF"/>
    <w:lvl w:ilvl="0" w:tentative="0">
      <w:start w:val="2"/>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15B7"/>
    <w:rsid w:val="000658A3"/>
    <w:rsid w:val="00074155"/>
    <w:rsid w:val="000A3F69"/>
    <w:rsid w:val="00152C6D"/>
    <w:rsid w:val="00162D39"/>
    <w:rsid w:val="001A67DB"/>
    <w:rsid w:val="001D51E5"/>
    <w:rsid w:val="001F0C3B"/>
    <w:rsid w:val="00214427"/>
    <w:rsid w:val="00265724"/>
    <w:rsid w:val="0027426B"/>
    <w:rsid w:val="003479BD"/>
    <w:rsid w:val="003768D5"/>
    <w:rsid w:val="004506F9"/>
    <w:rsid w:val="004717A2"/>
    <w:rsid w:val="00491741"/>
    <w:rsid w:val="00500E5F"/>
    <w:rsid w:val="005122EF"/>
    <w:rsid w:val="00517C33"/>
    <w:rsid w:val="00523644"/>
    <w:rsid w:val="0054069E"/>
    <w:rsid w:val="005767CC"/>
    <w:rsid w:val="00590D9F"/>
    <w:rsid w:val="00595D26"/>
    <w:rsid w:val="005A74E6"/>
    <w:rsid w:val="005D4D55"/>
    <w:rsid w:val="005E2CFB"/>
    <w:rsid w:val="0062378F"/>
    <w:rsid w:val="00651EEC"/>
    <w:rsid w:val="006A351B"/>
    <w:rsid w:val="006B0422"/>
    <w:rsid w:val="006C1B53"/>
    <w:rsid w:val="006D7730"/>
    <w:rsid w:val="006E5284"/>
    <w:rsid w:val="006F3EB5"/>
    <w:rsid w:val="00702E34"/>
    <w:rsid w:val="00704395"/>
    <w:rsid w:val="00720FF1"/>
    <w:rsid w:val="00812ED5"/>
    <w:rsid w:val="008277D9"/>
    <w:rsid w:val="008A3E8D"/>
    <w:rsid w:val="009237C4"/>
    <w:rsid w:val="00950252"/>
    <w:rsid w:val="00967F5D"/>
    <w:rsid w:val="009A0F95"/>
    <w:rsid w:val="009B3ADF"/>
    <w:rsid w:val="009C3B52"/>
    <w:rsid w:val="00A42218"/>
    <w:rsid w:val="00A70249"/>
    <w:rsid w:val="00B33BEA"/>
    <w:rsid w:val="00B57C9F"/>
    <w:rsid w:val="00B845B3"/>
    <w:rsid w:val="00B85D8B"/>
    <w:rsid w:val="00BE3674"/>
    <w:rsid w:val="00C3049A"/>
    <w:rsid w:val="00C31B1E"/>
    <w:rsid w:val="00C77645"/>
    <w:rsid w:val="00CE04C3"/>
    <w:rsid w:val="00CE76A0"/>
    <w:rsid w:val="00D148C6"/>
    <w:rsid w:val="00DD06FF"/>
    <w:rsid w:val="00DD5FE9"/>
    <w:rsid w:val="00E00C7A"/>
    <w:rsid w:val="00E55B68"/>
    <w:rsid w:val="00F74360"/>
    <w:rsid w:val="00FB462F"/>
    <w:rsid w:val="00FE16FA"/>
    <w:rsid w:val="00FE328A"/>
    <w:rsid w:val="02AF4A23"/>
    <w:rsid w:val="09A56C0E"/>
    <w:rsid w:val="0A5C238F"/>
    <w:rsid w:val="0A733E75"/>
    <w:rsid w:val="0D377F57"/>
    <w:rsid w:val="126F56CA"/>
    <w:rsid w:val="1C925213"/>
    <w:rsid w:val="1CDF3051"/>
    <w:rsid w:val="209D1A74"/>
    <w:rsid w:val="21A01207"/>
    <w:rsid w:val="230370B7"/>
    <w:rsid w:val="2525404D"/>
    <w:rsid w:val="2A2C24F5"/>
    <w:rsid w:val="2CD014C6"/>
    <w:rsid w:val="2DBC7A1C"/>
    <w:rsid w:val="302F6894"/>
    <w:rsid w:val="380D500E"/>
    <w:rsid w:val="39A94264"/>
    <w:rsid w:val="3A204DD9"/>
    <w:rsid w:val="3E1C4425"/>
    <w:rsid w:val="41405A74"/>
    <w:rsid w:val="441918CE"/>
    <w:rsid w:val="458C7606"/>
    <w:rsid w:val="4AB32E9E"/>
    <w:rsid w:val="4D7D6CBF"/>
    <w:rsid w:val="4FA9500A"/>
    <w:rsid w:val="4FE14F4C"/>
    <w:rsid w:val="50EC3D94"/>
    <w:rsid w:val="522324EA"/>
    <w:rsid w:val="5CBD2564"/>
    <w:rsid w:val="62BB0990"/>
    <w:rsid w:val="660E3974"/>
    <w:rsid w:val="682A7A47"/>
    <w:rsid w:val="684044C0"/>
    <w:rsid w:val="69296F86"/>
    <w:rsid w:val="6D07395F"/>
    <w:rsid w:val="6EDE25DA"/>
    <w:rsid w:val="70F67E45"/>
    <w:rsid w:val="73E771F1"/>
    <w:rsid w:val="745E5FDE"/>
    <w:rsid w:val="76062BC9"/>
    <w:rsid w:val="7D712C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CA967F-99A7-44AE-8CB3-A0222E97AF6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1258</Words>
  <Characters>7176</Characters>
  <Lines>59</Lines>
  <Paragraphs>16</Paragraphs>
  <TotalTime>4</TotalTime>
  <ScaleCrop>false</ScaleCrop>
  <LinksUpToDate>false</LinksUpToDate>
  <CharactersWithSpaces>8418</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冰之剑</cp:lastModifiedBy>
  <cp:lastPrinted>2020-07-15T07:25:00Z</cp:lastPrinted>
  <dcterms:modified xsi:type="dcterms:W3CDTF">2021-06-23T13:41:24Z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B64E0D8A87FF487AA1AF4E5FD0C87FD4</vt:lpwstr>
  </property>
</Properties>
</file>