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hint="eastAsia"/>
          <w:sz w:val="56"/>
          <w:szCs w:val="56"/>
        </w:rPr>
      </w:pPr>
    </w:p>
    <w:p>
      <w:pPr>
        <w:pStyle w:val="5"/>
        <w:jc w:val="center"/>
        <w:rPr>
          <w:rFonts w:hint="eastAsia"/>
          <w:sz w:val="56"/>
          <w:szCs w:val="56"/>
        </w:rPr>
      </w:pPr>
    </w:p>
    <w:p>
      <w:pPr>
        <w:pStyle w:val="5"/>
        <w:jc w:val="center"/>
        <w:rPr>
          <w:rFonts w:hint="eastAsia"/>
          <w:sz w:val="84"/>
          <w:szCs w:val="84"/>
        </w:rPr>
      </w:pPr>
    </w:p>
    <w:p>
      <w:pPr>
        <w:pStyle w:val="5"/>
        <w:jc w:val="center"/>
        <w:rPr>
          <w:rFonts w:hint="eastAsia"/>
          <w:sz w:val="84"/>
          <w:szCs w:val="84"/>
        </w:rPr>
      </w:pPr>
    </w:p>
    <w:p>
      <w:pPr>
        <w:pStyle w:val="5"/>
        <w:jc w:val="center"/>
        <w:rPr>
          <w:rFonts w:hint="eastAsia"/>
          <w:sz w:val="84"/>
          <w:szCs w:val="84"/>
        </w:rPr>
      </w:pPr>
      <w:r>
        <w:rPr>
          <w:rFonts w:hint="eastAsia"/>
          <w:sz w:val="84"/>
          <w:szCs w:val="84"/>
        </w:rPr>
        <w:t>2019年度</w:t>
      </w:r>
    </w:p>
    <w:p>
      <w:pPr>
        <w:pStyle w:val="5"/>
        <w:jc w:val="center"/>
        <w:rPr>
          <w:rFonts w:hint="eastAsia"/>
          <w:sz w:val="84"/>
          <w:szCs w:val="84"/>
        </w:rPr>
      </w:pPr>
      <w:r>
        <w:rPr>
          <w:rFonts w:hint="eastAsia"/>
          <w:sz w:val="84"/>
          <w:szCs w:val="84"/>
        </w:rPr>
        <w:t>衡南县文化市场综合执法局部门决算</w:t>
      </w:r>
    </w:p>
    <w:p>
      <w:pPr>
        <w:pStyle w:val="5"/>
        <w:jc w:val="center"/>
        <w:rPr>
          <w:rFonts w:hint="eastAsia"/>
          <w:sz w:val="56"/>
          <w:szCs w:val="56"/>
        </w:rPr>
      </w:pPr>
    </w:p>
    <w:p>
      <w:pPr>
        <w:pStyle w:val="5"/>
        <w:jc w:val="center"/>
        <w:rPr>
          <w:rFonts w:hint="eastAsia"/>
          <w:sz w:val="56"/>
          <w:szCs w:val="56"/>
        </w:rPr>
      </w:pPr>
    </w:p>
    <w:p>
      <w:pPr>
        <w:pStyle w:val="5"/>
        <w:jc w:val="center"/>
        <w:rPr>
          <w:rFonts w:hint="eastAsia"/>
          <w:sz w:val="56"/>
          <w:szCs w:val="56"/>
        </w:rPr>
      </w:pPr>
    </w:p>
    <w:p>
      <w:pPr>
        <w:pStyle w:val="5"/>
        <w:jc w:val="center"/>
        <w:rPr>
          <w:rFonts w:hint="eastAsia"/>
          <w:sz w:val="56"/>
          <w:szCs w:val="56"/>
        </w:rPr>
      </w:pPr>
    </w:p>
    <w:p>
      <w:pPr>
        <w:pStyle w:val="5"/>
        <w:jc w:val="center"/>
        <w:rPr>
          <w:rFonts w:hint="eastAsia"/>
          <w:sz w:val="56"/>
          <w:szCs w:val="56"/>
        </w:rPr>
      </w:pPr>
    </w:p>
    <w:p>
      <w:pPr>
        <w:pStyle w:val="5"/>
        <w:jc w:val="center"/>
        <w:rPr>
          <w:rFonts w:hint="eastAsia"/>
          <w:sz w:val="56"/>
          <w:szCs w:val="56"/>
        </w:rPr>
      </w:pPr>
    </w:p>
    <w:p>
      <w:pPr>
        <w:pStyle w:val="5"/>
        <w:spacing w:line="520" w:lineRule="exact"/>
        <w:jc w:val="center"/>
        <w:rPr>
          <w:rFonts w:hint="eastAsia"/>
          <w:sz w:val="56"/>
          <w:szCs w:val="56"/>
        </w:rPr>
      </w:pPr>
      <w:r>
        <w:rPr>
          <w:rFonts w:hint="eastAsia"/>
          <w:sz w:val="56"/>
          <w:szCs w:val="56"/>
        </w:rPr>
        <w:t>目录</w:t>
      </w:r>
    </w:p>
    <w:p>
      <w:pPr>
        <w:pStyle w:val="5"/>
        <w:spacing w:line="520" w:lineRule="exact"/>
        <w:rPr>
          <w:rFonts w:ascii="仿宋_GB2312" w:hAnsi="仿宋_GB2312" w:cs="仿宋_GB2312"/>
          <w:b/>
          <w:sz w:val="28"/>
          <w:szCs w:val="28"/>
        </w:rPr>
      </w:pPr>
      <w:r>
        <w:rPr>
          <w:rFonts w:hint="eastAsia"/>
          <w:b/>
          <w:sz w:val="28"/>
          <w:szCs w:val="28"/>
        </w:rPr>
        <w:t>第一部分单位概况</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一、部门职责</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二、机构设置</w:t>
      </w:r>
    </w:p>
    <w:p>
      <w:pPr>
        <w:pStyle w:val="5"/>
        <w:spacing w:line="520" w:lineRule="exact"/>
        <w:ind w:firstLine="700" w:firstLineChars="250"/>
        <w:rPr>
          <w:rFonts w:ascii="宋体" w:hAnsi="宋体" w:eastAsia="宋体" w:cs="仿宋_GB2312"/>
          <w:sz w:val="28"/>
          <w:szCs w:val="28"/>
        </w:rPr>
      </w:pPr>
    </w:p>
    <w:p>
      <w:pPr>
        <w:pStyle w:val="5"/>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一、收入支出决算总表</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二、收入决算表</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三、支出决算表</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四、财政拨款收入支出决算总表</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五、一般公共预算财政拨款支出决算表</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六、一般公共预算财政拨款基本支出决算表</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七、一般公共预算财政拨款“三公”经费支出决算表</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八、政府性基金预算财政拨款收入支出决算表</w:t>
      </w:r>
    </w:p>
    <w:p>
      <w:pPr>
        <w:pStyle w:val="5"/>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5"/>
        <w:spacing w:line="520" w:lineRule="exact"/>
        <w:ind w:firstLine="700" w:firstLineChars="250"/>
        <w:rPr>
          <w:rFonts w:ascii="宋体" w:hAnsi="宋体" w:eastAsia="宋体" w:cs="仿宋_GB2312"/>
          <w:sz w:val="28"/>
          <w:szCs w:val="28"/>
        </w:rPr>
      </w:pPr>
      <w:r>
        <w:rPr>
          <w:rFonts w:ascii="宋体" w:hAnsi="宋体" w:eastAsia="宋体" w:cs="仿宋_GB2312"/>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第五部分附件</w:t>
      </w:r>
    </w:p>
    <w:p>
      <w:pPr>
        <w:spacing w:line="520" w:lineRule="exact"/>
        <w:jc w:val="left"/>
        <w:rPr>
          <w:rFonts w:ascii="黑体" w:hAnsi="黑体" w:eastAsia="黑体" w:cs="黑体"/>
          <w:b/>
          <w:color w:val="000000"/>
          <w:kern w:val="0"/>
          <w:sz w:val="28"/>
          <w:szCs w:val="28"/>
        </w:rPr>
      </w:pPr>
    </w:p>
    <w:p>
      <w:pPr>
        <w:pStyle w:val="5"/>
        <w:jc w:val="center"/>
        <w:rPr>
          <w:rFonts w:hint="eastAsia"/>
          <w:sz w:val="84"/>
          <w:szCs w:val="84"/>
        </w:rPr>
      </w:pPr>
    </w:p>
    <w:p>
      <w:pPr>
        <w:pStyle w:val="5"/>
        <w:jc w:val="center"/>
        <w:rPr>
          <w:rFonts w:hint="eastAsia"/>
          <w:sz w:val="84"/>
          <w:szCs w:val="84"/>
        </w:rPr>
      </w:pPr>
      <w:r>
        <w:rPr>
          <w:rFonts w:hint="eastAsia"/>
          <w:sz w:val="84"/>
          <w:szCs w:val="84"/>
        </w:rPr>
        <w:t>第一部分</w:t>
      </w:r>
    </w:p>
    <w:p>
      <w:pPr>
        <w:pStyle w:val="5"/>
        <w:jc w:val="center"/>
        <w:rPr>
          <w:rFonts w:hint="eastAsia"/>
          <w:sz w:val="84"/>
          <w:szCs w:val="84"/>
        </w:rPr>
      </w:pPr>
    </w:p>
    <w:p>
      <w:pPr>
        <w:pStyle w:val="5"/>
        <w:jc w:val="center"/>
        <w:rPr>
          <w:rFonts w:hint="eastAsia"/>
          <w:sz w:val="84"/>
          <w:szCs w:val="84"/>
        </w:rPr>
      </w:pPr>
      <w:r>
        <w:rPr>
          <w:rFonts w:hint="eastAsia"/>
          <w:sz w:val="84"/>
          <w:szCs w:val="84"/>
        </w:rPr>
        <w:t>衡南县文化市场综合执法局</w:t>
      </w:r>
    </w:p>
    <w:p>
      <w:pPr>
        <w:pStyle w:val="5"/>
        <w:jc w:val="center"/>
        <w:rPr>
          <w:rFonts w:hint="eastAsia"/>
          <w:sz w:val="84"/>
          <w:szCs w:val="84"/>
        </w:rPr>
      </w:pPr>
      <w:r>
        <w:rPr>
          <w:rFonts w:hint="eastAsia"/>
          <w:sz w:val="84"/>
          <w:szCs w:val="84"/>
        </w:rPr>
        <w:t>概况</w:t>
      </w:r>
    </w:p>
    <w:p>
      <w:pPr>
        <w:pStyle w:val="5"/>
        <w:jc w:val="center"/>
        <w:rPr>
          <w:rFonts w:hint="eastAsia"/>
          <w:sz w:val="84"/>
          <w:szCs w:val="84"/>
        </w:rPr>
      </w:pPr>
    </w:p>
    <w:p>
      <w:pPr>
        <w:pStyle w:val="5"/>
        <w:jc w:val="center"/>
        <w:rPr>
          <w:rFonts w:hint="eastAsia"/>
          <w:sz w:val="84"/>
          <w:szCs w:val="84"/>
        </w:rPr>
      </w:pPr>
    </w:p>
    <w:p>
      <w:pPr>
        <w:pStyle w:val="5"/>
        <w:jc w:val="center"/>
        <w:rPr>
          <w:rFonts w:hint="eastAsia"/>
          <w:sz w:val="84"/>
          <w:szCs w:val="84"/>
        </w:rPr>
      </w:pPr>
    </w:p>
    <w:p>
      <w:pPr>
        <w:pStyle w:val="5"/>
        <w:jc w:val="center"/>
        <w:rPr>
          <w:rFonts w:hint="eastAsia"/>
          <w:sz w:val="84"/>
          <w:szCs w:val="84"/>
        </w:rPr>
      </w:pPr>
    </w:p>
    <w:p>
      <w:pPr>
        <w:pStyle w:val="5"/>
        <w:jc w:val="center"/>
        <w:rPr>
          <w:rFonts w:hint="eastAsia"/>
          <w:sz w:val="84"/>
          <w:szCs w:val="84"/>
        </w:rPr>
      </w:pPr>
    </w:p>
    <w:p>
      <w:pPr>
        <w:pStyle w:val="5"/>
        <w:jc w:val="center"/>
        <w:rPr>
          <w:rFonts w:hAnsi="黑体"/>
          <w:color w:val="auto"/>
          <w:sz w:val="28"/>
          <w:szCs w:val="28"/>
        </w:rPr>
      </w:pPr>
      <w:r>
        <w:rPr>
          <w:rFonts w:hint="eastAsia" w:ascii="宋体" w:hAnsi="宋体" w:cs="宋体"/>
          <w:color w:val="auto"/>
          <w:sz w:val="28"/>
          <w:szCs w:val="28"/>
        </w:rPr>
        <w:t>　</w:t>
      </w:r>
      <w:r>
        <w:rPr>
          <w:rFonts w:hint="eastAsia" w:hAnsi="黑体"/>
          <w:color w:val="auto"/>
          <w:sz w:val="28"/>
          <w:szCs w:val="28"/>
        </w:rPr>
        <w:t>　</w:t>
      </w:r>
    </w:p>
    <w:p>
      <w:pPr>
        <w:autoSpaceDE w:val="0"/>
        <w:autoSpaceDN w:val="0"/>
        <w:adjustRightInd w:val="0"/>
        <w:spacing w:line="520" w:lineRule="exact"/>
        <w:ind w:firstLine="700" w:firstLineChars="250"/>
        <w:jc w:val="left"/>
        <w:rPr>
          <w:rFonts w:ascii="黑体" w:hAnsi="黑体" w:eastAsia="黑体" w:cs="黑体"/>
          <w:kern w:val="0"/>
          <w:sz w:val="28"/>
          <w:szCs w:val="28"/>
        </w:rPr>
      </w:pPr>
    </w:p>
    <w:p>
      <w:pPr>
        <w:widowControl/>
        <w:spacing w:line="600" w:lineRule="exact"/>
        <w:ind w:firstLine="480"/>
        <w:jc w:val="left"/>
        <w:rPr>
          <w:rFonts w:ascii="仿宋_GB2312" w:hAnsi="宋体" w:eastAsia="仿宋_GB2312" w:cs="宋体"/>
          <w:kern w:val="0"/>
          <w:sz w:val="32"/>
          <w:szCs w:val="32"/>
        </w:rPr>
      </w:pPr>
      <w:r>
        <w:rPr>
          <w:rFonts w:hint="eastAsia" w:ascii="黑体" w:hAnsi="黑体" w:eastAsia="黑体" w:cs="黑体"/>
          <w:kern w:val="0"/>
          <w:sz w:val="32"/>
          <w:szCs w:val="32"/>
        </w:rPr>
        <w:t>一、部门基本概况</w:t>
      </w:r>
      <w:r>
        <w:rPr>
          <w:rFonts w:hint="eastAsia" w:ascii="黑体" w:hAnsi="黑体" w:eastAsia="黑体" w:cs="黑体"/>
          <w:kern w:val="0"/>
          <w:sz w:val="32"/>
          <w:szCs w:val="32"/>
        </w:rPr>
        <w:br w:type="textWrapping"/>
      </w:r>
      <w:r>
        <w:rPr>
          <w:rFonts w:hint="eastAsia" w:ascii="宋体" w:hAnsi="宋体" w:cs="宋体"/>
          <w:kern w:val="0"/>
          <w:sz w:val="28"/>
          <w:szCs w:val="28"/>
        </w:rPr>
        <w:t>　</w:t>
      </w:r>
      <w:r>
        <w:rPr>
          <w:rFonts w:hint="eastAsia" w:ascii="仿宋" w:hAnsi="仿宋" w:eastAsia="仿宋" w:cs="仿宋"/>
          <w:kern w:val="0"/>
          <w:sz w:val="28"/>
          <w:szCs w:val="28"/>
        </w:rPr>
        <w:t>　</w:t>
      </w:r>
      <w:r>
        <w:rPr>
          <w:rFonts w:hint="eastAsia" w:ascii="仿宋" w:hAnsi="仿宋" w:eastAsia="仿宋" w:cs="仿宋"/>
          <w:b/>
          <w:bCs/>
          <w:kern w:val="0"/>
          <w:sz w:val="28"/>
          <w:szCs w:val="28"/>
        </w:rPr>
        <w:t>（一）职能职责</w:t>
      </w:r>
      <w:r>
        <w:rPr>
          <w:rFonts w:hint="eastAsia" w:ascii="仿宋" w:hAnsi="仿宋" w:eastAsia="仿宋" w:cs="仿宋"/>
          <w:b/>
          <w:bCs/>
          <w:kern w:val="0"/>
          <w:sz w:val="28"/>
          <w:szCs w:val="28"/>
        </w:rPr>
        <w:br w:type="textWrapping"/>
      </w:r>
      <w:r>
        <w:rPr>
          <w:rFonts w:hint="eastAsia" w:ascii="宋体" w:hAnsi="宋体" w:cs="宋体"/>
          <w:kern w:val="0"/>
          <w:sz w:val="28"/>
          <w:szCs w:val="28"/>
        </w:rPr>
        <w:t>　</w:t>
      </w:r>
      <w:r>
        <w:rPr>
          <w:rFonts w:hint="eastAsia" w:ascii="仿宋_GB2312" w:hAnsi="宋体" w:eastAsia="仿宋_GB2312" w:cs="宋体"/>
          <w:kern w:val="0"/>
          <w:sz w:val="32"/>
          <w:szCs w:val="32"/>
        </w:rPr>
        <w:t>1、贯彻执行党和国家有关文化、广播影视、新闻出版、版权管理的方针、政策和法律、法规；拟订全县文化市场行政执法工作的规范性文件、总体规划和年度计划，并组织实施。</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2、受县文体广电新闻出版局委托，负责对全县文化市场实施监督检查，依法行使行政处罚权，以及与行政处罚权相关的行政强制权和行政检查权。</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3、组织开展有关文化、广播电影电视、新闻出版市场管理的法律、法规宣传教育活动。</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4、负责查处违禁出版物和图书、报纸、期刊、音像制品、电子出版物、计算机软件的出版、印刷、复制、发行等活动中的违法行为；负责查处信息网络传播中的违法行为。</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5、负责查处非法设立广播电视机构、非法安装和使用卫星电视广播地面接收设施、非法接收和传送境外卫星电视节目；负责查处广播电影电视制作、播出和经营中的违法行为。</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6、负责查处互联网上网服务营业场所的违法经营行为。</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7、受理出版物鉴定、著作权纠纷的相关工作，查处侵权盗版行为。</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8、负责组织全县性文化市场治理专项行动，查处重大案件。</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9、负责受理并查处对文化市场违法行为的投诉、举报；</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10、承办县委县政府及县文体广电新闻出版局交办的其他事项。</w:t>
      </w:r>
    </w:p>
    <w:p>
      <w:pPr>
        <w:widowControl/>
        <w:spacing w:line="600" w:lineRule="exact"/>
        <w:rPr>
          <w:rFonts w:hint="eastAsia" w:ascii="仿宋_GB2312" w:hAnsi="宋体" w:eastAsia="仿宋_GB2312" w:cs="宋体"/>
          <w:kern w:val="0"/>
          <w:sz w:val="32"/>
          <w:szCs w:val="32"/>
        </w:rPr>
      </w:pPr>
      <w:r>
        <w:rPr>
          <w:rFonts w:hint="eastAsia" w:ascii="仿宋" w:hAnsi="仿宋" w:eastAsia="仿宋" w:cs="仿宋"/>
          <w:b/>
          <w:bCs/>
          <w:kern w:val="0"/>
          <w:sz w:val="28"/>
          <w:szCs w:val="28"/>
        </w:rPr>
        <w:t>（二）机构设置</w:t>
      </w:r>
      <w:r>
        <w:rPr>
          <w:rFonts w:hint="eastAsia" w:ascii="仿宋" w:hAnsi="仿宋" w:eastAsia="仿宋" w:cs="仿宋"/>
          <w:b/>
          <w:bCs/>
          <w:kern w:val="0"/>
          <w:sz w:val="28"/>
          <w:szCs w:val="28"/>
        </w:rPr>
        <w:br w:type="textWrapping"/>
      </w:r>
      <w:r>
        <w:rPr>
          <w:rFonts w:hint="eastAsia" w:ascii="仿宋" w:hAnsi="仿宋" w:eastAsia="仿宋" w:cs="仿宋"/>
          <w:kern w:val="0"/>
          <w:sz w:val="32"/>
          <w:szCs w:val="32"/>
        </w:rPr>
        <w:t>　　</w:t>
      </w:r>
      <w:r>
        <w:rPr>
          <w:rFonts w:hint="eastAsia" w:ascii="仿宋" w:hAnsi="仿宋" w:eastAsia="仿宋" w:cs="仿宋"/>
          <w:kern w:val="0"/>
          <w:sz w:val="32"/>
          <w:szCs w:val="32"/>
          <w:lang w:val="en-US" w:eastAsia="zh-CN"/>
        </w:rPr>
        <w:t>(一)基本情况：</w:t>
      </w:r>
      <w:r>
        <w:rPr>
          <w:rFonts w:hint="eastAsia" w:ascii="仿宋_GB2312" w:hAnsi="宋体" w:eastAsia="仿宋_GB2312" w:cs="宋体"/>
          <w:kern w:val="0"/>
          <w:sz w:val="32"/>
          <w:szCs w:val="32"/>
        </w:rPr>
        <w:t>县文化市场综合执法局（大队）为独立财务核算单位和财政预算拨款单位，机关编制22名。内设办公室、文化娱乐执法股、广播电影电视执法股、新闻出版版权网络执法股、法制股（加挂12318举报中心）5个股室。</w:t>
      </w:r>
    </w:p>
    <w:p>
      <w:pPr>
        <w:widowControl/>
        <w:spacing w:line="600" w:lineRule="exac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（二）决算单位构成</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县文化市场综合执法局2019年部门决算汇总公开单位构成包括：</w:t>
      </w:r>
      <w:r>
        <w:rPr>
          <w:rFonts w:hint="eastAsia" w:ascii="仿宋_GB2312" w:hAnsi="宋体" w:eastAsia="仿宋_GB2312" w:cs="宋体"/>
          <w:kern w:val="0"/>
          <w:sz w:val="32"/>
          <w:szCs w:val="32"/>
        </w:rPr>
        <w:t>县文化市场综合执法局本级，没有其他二级预算单位。</w:t>
      </w:r>
    </w:p>
    <w:p>
      <w:pPr>
        <w:widowControl/>
        <w:spacing w:line="600" w:lineRule="exact"/>
        <w:ind w:firstLine="480"/>
        <w:jc w:val="left"/>
        <w:rPr>
          <w:rFonts w:hint="eastAsia" w:ascii="仿宋_GB2312" w:hAnsi="宋体" w:eastAsia="仿宋_GB2312" w:cs="宋体"/>
          <w:kern w:val="0"/>
          <w:sz w:val="32"/>
          <w:szCs w:val="32"/>
        </w:rPr>
      </w:pPr>
    </w:p>
    <w:p>
      <w:pPr>
        <w:autoSpaceDE w:val="0"/>
        <w:autoSpaceDN w:val="0"/>
        <w:adjustRightInd w:val="0"/>
        <w:spacing w:line="520" w:lineRule="exact"/>
        <w:ind w:firstLine="1800" w:firstLineChars="250"/>
        <w:jc w:val="left"/>
        <w:rPr>
          <w:rFonts w:hint="eastAsia"/>
          <w:sz w:val="72"/>
          <w:szCs w:val="72"/>
        </w:rPr>
      </w:pPr>
    </w:p>
    <w:p>
      <w:pPr>
        <w:jc w:val="center"/>
        <w:rPr>
          <w:rFonts w:hint="eastAsia"/>
          <w:sz w:val="72"/>
          <w:szCs w:val="72"/>
        </w:rPr>
      </w:pPr>
    </w:p>
    <w:p>
      <w:pPr>
        <w:jc w:val="center"/>
        <w:rPr>
          <w:rFonts w:hint="eastAsia"/>
          <w:sz w:val="72"/>
          <w:szCs w:val="72"/>
        </w:rPr>
      </w:pPr>
    </w:p>
    <w:p>
      <w:pPr>
        <w:widowControl/>
        <w:spacing w:line="600" w:lineRule="exact"/>
        <w:rPr>
          <w:rFonts w:ascii="宋体" w:hAnsi="宋体"/>
          <w:bCs/>
          <w:kern w:val="0"/>
          <w:sz w:val="32"/>
          <w:szCs w:val="32"/>
        </w:rPr>
      </w:pPr>
    </w:p>
    <w:p>
      <w:pPr>
        <w:jc w:val="left"/>
        <w:rPr>
          <w:rFonts w:ascii="仿宋_GB2312" w:hAnsi="宋体" w:eastAsia="仿宋_GB2312"/>
          <w:sz w:val="28"/>
          <w:szCs w:val="32"/>
        </w:rPr>
      </w:pPr>
    </w:p>
    <w:p>
      <w:pPr>
        <w:jc w:val="center"/>
        <w:rPr>
          <w:rFonts w:ascii="黑体" w:hAnsi="黑体" w:eastAsia="黑体"/>
          <w:sz w:val="28"/>
          <w:szCs w:val="28"/>
        </w:rPr>
      </w:pPr>
    </w:p>
    <w:p>
      <w:pPr>
        <w:rPr>
          <w:rFonts w:hint="eastAsia"/>
          <w:sz w:val="72"/>
          <w:szCs w:val="72"/>
        </w:rPr>
      </w:pPr>
    </w:p>
    <w:p>
      <w:pPr>
        <w:jc w:val="center"/>
        <w:rPr>
          <w:rFonts w:hint="eastAsia"/>
          <w:sz w:val="72"/>
          <w:szCs w:val="72"/>
        </w:rPr>
      </w:pPr>
    </w:p>
    <w:p>
      <w:pPr>
        <w:jc w:val="center"/>
        <w:rPr>
          <w:rFonts w:hint="eastAsia" w:ascii="黑体" w:eastAsia="黑体" w:cs="黑体"/>
          <w:color w:val="000000"/>
          <w:kern w:val="0"/>
          <w:sz w:val="84"/>
          <w:szCs w:val="84"/>
        </w:rPr>
      </w:pPr>
    </w:p>
    <w:p>
      <w:pPr>
        <w:jc w:val="center"/>
        <w:rPr>
          <w:rFonts w:hint="eastAsia" w:ascii="黑体" w:eastAsia="黑体" w:cs="黑体"/>
          <w:color w:val="000000"/>
          <w:kern w:val="0"/>
          <w:sz w:val="84"/>
          <w:szCs w:val="84"/>
        </w:rPr>
      </w:pPr>
      <w:r>
        <w:rPr>
          <w:rFonts w:hint="eastAsia" w:ascii="黑体" w:eastAsia="黑体" w:cs="黑体"/>
          <w:color w:val="000000"/>
          <w:kern w:val="0"/>
          <w:sz w:val="84"/>
          <w:szCs w:val="84"/>
        </w:rPr>
        <w:t>第二部分</w:t>
      </w:r>
    </w:p>
    <w:p>
      <w:pPr>
        <w:jc w:val="center"/>
        <w:rPr>
          <w:rFonts w:hint="eastAsia" w:ascii="黑体" w:eastAsia="黑体" w:cs="黑体"/>
          <w:color w:val="000000"/>
          <w:kern w:val="0"/>
          <w:sz w:val="84"/>
          <w:szCs w:val="84"/>
        </w:rPr>
      </w:pPr>
    </w:p>
    <w:p>
      <w:pPr>
        <w:jc w:val="center"/>
        <w:rPr>
          <w:rFonts w:hint="eastAsia" w:ascii="黑体" w:eastAsia="黑体" w:cs="黑体"/>
          <w:color w:val="000000"/>
          <w:kern w:val="0"/>
          <w:sz w:val="84"/>
          <w:szCs w:val="84"/>
        </w:rPr>
      </w:pPr>
      <w:r>
        <w:rPr>
          <w:rFonts w:hint="eastAsia" w:ascii="黑体" w:eastAsia="黑体" w:cs="黑体"/>
          <w:color w:val="000000"/>
          <w:kern w:val="0"/>
          <w:sz w:val="84"/>
          <w:szCs w:val="84"/>
        </w:rPr>
        <w:t>部门决算表</w:t>
      </w:r>
    </w:p>
    <w:p>
      <w:pPr>
        <w:jc w:val="center"/>
        <w:rPr>
          <w:rFonts w:hint="eastAsia"/>
          <w:sz w:val="72"/>
          <w:szCs w:val="72"/>
        </w:rPr>
      </w:pPr>
    </w:p>
    <w:p>
      <w:pPr>
        <w:jc w:val="center"/>
        <w:rPr>
          <w:rFonts w:hint="eastAsia"/>
          <w:sz w:val="72"/>
          <w:szCs w:val="72"/>
        </w:rPr>
      </w:pPr>
      <w:r>
        <w:rPr>
          <w:rFonts w:hint="eastAsia"/>
          <w:sz w:val="72"/>
          <w:szCs w:val="72"/>
        </w:rPr>
        <w:t>(部门决算公示表附后)</w:t>
      </w: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left"/>
        <w:rPr>
          <w:rFonts w:ascii="宋体" w:hAnsi="宋体"/>
          <w:sz w:val="32"/>
          <w:szCs w:val="32"/>
        </w:rPr>
        <w:sectPr>
          <w:pgSz w:w="11906" w:h="16838"/>
          <w:pgMar w:top="1440" w:right="1800" w:bottom="1318" w:left="1800" w:header="851" w:footer="992" w:gutter="0"/>
          <w:cols w:space="720" w:num="1"/>
          <w:docGrid w:type="lines" w:linePitch="312" w:charSpace="0"/>
        </w:sectPr>
      </w:pPr>
    </w:p>
    <w:p>
      <w:pPr>
        <w:pStyle w:val="5"/>
        <w:jc w:val="center"/>
        <w:rPr>
          <w:rFonts w:hint="eastAsia"/>
          <w:sz w:val="72"/>
          <w:szCs w:val="72"/>
        </w:rPr>
      </w:pPr>
    </w:p>
    <w:p>
      <w:pPr>
        <w:pStyle w:val="5"/>
        <w:jc w:val="center"/>
        <w:rPr>
          <w:rFonts w:hint="eastAsia"/>
          <w:sz w:val="72"/>
          <w:szCs w:val="72"/>
        </w:rPr>
      </w:pPr>
    </w:p>
    <w:p>
      <w:pPr>
        <w:pStyle w:val="5"/>
        <w:jc w:val="center"/>
        <w:rPr>
          <w:rFonts w:hint="eastAsia"/>
          <w:sz w:val="72"/>
          <w:szCs w:val="72"/>
        </w:rPr>
      </w:pPr>
    </w:p>
    <w:p>
      <w:pPr>
        <w:pStyle w:val="5"/>
        <w:jc w:val="center"/>
        <w:rPr>
          <w:rFonts w:hint="eastAsia"/>
          <w:sz w:val="72"/>
          <w:szCs w:val="72"/>
        </w:rPr>
      </w:pPr>
      <w:r>
        <w:rPr>
          <w:rFonts w:hint="eastAsia"/>
          <w:sz w:val="72"/>
          <w:szCs w:val="72"/>
        </w:rPr>
        <w:t>第三部分</w:t>
      </w:r>
    </w:p>
    <w:p>
      <w:pPr>
        <w:pStyle w:val="5"/>
        <w:jc w:val="center"/>
        <w:rPr>
          <w:rFonts w:hint="eastAsia"/>
          <w:sz w:val="70"/>
          <w:szCs w:val="70"/>
        </w:rPr>
      </w:pPr>
    </w:p>
    <w:p>
      <w:pPr>
        <w:pStyle w:val="5"/>
        <w:jc w:val="center"/>
        <w:rPr>
          <w:rFonts w:hint="eastAsia"/>
          <w:sz w:val="70"/>
          <w:szCs w:val="70"/>
        </w:rPr>
      </w:pPr>
      <w:r>
        <w:rPr>
          <w:sz w:val="70"/>
          <w:szCs w:val="70"/>
        </w:rPr>
        <w:t>2019</w:t>
      </w:r>
      <w:r>
        <w:rPr>
          <w:rFonts w:hint="eastAsia"/>
          <w:sz w:val="70"/>
          <w:szCs w:val="70"/>
        </w:rPr>
        <w:t>年度部门决算情况说明</w:t>
      </w:r>
    </w:p>
    <w:p>
      <w:pPr>
        <w:pStyle w:val="5"/>
        <w:jc w:val="center"/>
        <w:rPr>
          <w:rFonts w:hint="eastAsia"/>
          <w:sz w:val="70"/>
          <w:szCs w:val="70"/>
        </w:rPr>
      </w:pPr>
    </w:p>
    <w:p>
      <w:pPr>
        <w:pStyle w:val="5"/>
        <w:jc w:val="center"/>
        <w:rPr>
          <w:rFonts w:hint="eastAsia"/>
          <w:sz w:val="70"/>
          <w:szCs w:val="70"/>
        </w:rPr>
      </w:pPr>
    </w:p>
    <w:p>
      <w:pPr>
        <w:pStyle w:val="5"/>
        <w:jc w:val="center"/>
        <w:rPr>
          <w:rFonts w:hint="eastAsia"/>
          <w:sz w:val="70"/>
          <w:szCs w:val="70"/>
        </w:rPr>
      </w:pPr>
    </w:p>
    <w:p>
      <w:pPr>
        <w:pStyle w:val="5"/>
        <w:jc w:val="center"/>
        <w:rPr>
          <w:rFonts w:hint="eastAsia"/>
          <w:sz w:val="70"/>
          <w:szCs w:val="70"/>
        </w:rPr>
      </w:pPr>
    </w:p>
    <w:p>
      <w:pPr>
        <w:pStyle w:val="5"/>
        <w:jc w:val="center"/>
        <w:rPr>
          <w:rFonts w:hint="eastAsia"/>
          <w:sz w:val="70"/>
          <w:szCs w:val="70"/>
        </w:rPr>
      </w:pPr>
    </w:p>
    <w:p>
      <w:pPr>
        <w:pStyle w:val="5"/>
        <w:jc w:val="center"/>
        <w:rPr>
          <w:rFonts w:hint="eastAsia"/>
          <w:sz w:val="70"/>
          <w:szCs w:val="70"/>
        </w:rPr>
      </w:pPr>
    </w:p>
    <w:p>
      <w:pPr>
        <w:pStyle w:val="5"/>
        <w:jc w:val="center"/>
        <w:rPr>
          <w:rFonts w:hint="eastAsia"/>
          <w:sz w:val="70"/>
          <w:szCs w:val="70"/>
        </w:rPr>
      </w:pPr>
    </w:p>
    <w:p>
      <w:pPr>
        <w:spacing w:line="580" w:lineRule="exact"/>
        <w:ind w:firstLine="643" w:firstLineChars="200"/>
        <w:rPr>
          <w:rFonts w:ascii="华文楷体" w:hAnsi="华文楷体" w:eastAsia="华文楷体" w:cs="华文楷体"/>
          <w:b/>
          <w:bCs/>
          <w:sz w:val="32"/>
          <w:szCs w:val="32"/>
        </w:rPr>
      </w:pPr>
    </w:p>
    <w:p>
      <w:pPr>
        <w:spacing w:line="580" w:lineRule="exact"/>
        <w:ind w:firstLine="643"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一、收入支出决算总体情况说明 </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2019年度收入总收入277.16万元，均为财政补助收入，其中上年结转15.48万元。支出总计277.16万元，基本支出230.68万元，项目支出31 万元。2018年度财政指标结余15.48万元。</w:t>
      </w:r>
    </w:p>
    <w:p>
      <w:pPr>
        <w:spacing w:line="580" w:lineRule="exact"/>
        <w:ind w:firstLine="643"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二、收入决算情况说明 </w:t>
      </w:r>
    </w:p>
    <w:p>
      <w:pPr>
        <w:spacing w:line="580" w:lineRule="exact"/>
        <w:ind w:firstLine="640" w:firstLineChars="200"/>
        <w:rPr>
          <w:rFonts w:ascii="仿宋" w:hAnsi="仿宋" w:eastAsia="仿宋" w:cs="仿宋"/>
          <w:sz w:val="32"/>
          <w:szCs w:val="32"/>
        </w:rPr>
      </w:pPr>
      <w:r>
        <w:rPr>
          <w:rFonts w:hint="eastAsia" w:ascii="仿宋" w:hAnsi="仿宋" w:eastAsia="仿宋" w:cs="仿宋"/>
          <w:kern w:val="0"/>
          <w:sz w:val="32"/>
          <w:szCs w:val="32"/>
        </w:rPr>
        <w:t>2019年收入总计</w:t>
      </w:r>
      <w:r>
        <w:rPr>
          <w:rFonts w:hint="eastAsia" w:ascii="仿宋_GB2312" w:hAnsi="宋体" w:eastAsia="仿宋_GB2312" w:cs="宋体"/>
          <w:kern w:val="0"/>
          <w:sz w:val="32"/>
          <w:szCs w:val="32"/>
        </w:rPr>
        <w:t>277.3</w:t>
      </w:r>
      <w:r>
        <w:rPr>
          <w:rFonts w:hint="eastAsia" w:ascii="仿宋" w:hAnsi="仿宋" w:eastAsia="仿宋" w:cs="仿宋"/>
          <w:kern w:val="0"/>
          <w:sz w:val="32"/>
          <w:szCs w:val="32"/>
        </w:rPr>
        <w:t>万元,其中：一般公共预算拨款</w:t>
      </w:r>
      <w:r>
        <w:rPr>
          <w:rFonts w:hint="eastAsia" w:ascii="仿宋_GB2312" w:hAnsi="宋体" w:eastAsia="仿宋_GB2312" w:cs="宋体"/>
          <w:kern w:val="0"/>
          <w:sz w:val="32"/>
          <w:szCs w:val="32"/>
        </w:rPr>
        <w:t>277.16</w:t>
      </w:r>
      <w:r>
        <w:rPr>
          <w:rFonts w:hint="eastAsia" w:ascii="仿宋" w:hAnsi="仿宋" w:eastAsia="仿宋" w:cs="仿宋"/>
          <w:kern w:val="0"/>
          <w:sz w:val="32"/>
          <w:szCs w:val="32"/>
        </w:rPr>
        <w:t>万元，年初结转结余0.13万元。</w:t>
      </w:r>
    </w:p>
    <w:p>
      <w:pPr>
        <w:spacing w:line="580" w:lineRule="exact"/>
        <w:ind w:firstLine="643"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三、支出决算情况说明</w:t>
      </w:r>
    </w:p>
    <w:p>
      <w:pPr>
        <w:spacing w:line="580" w:lineRule="exact"/>
        <w:ind w:firstLine="640" w:firstLineChars="200"/>
        <w:rPr>
          <w:rFonts w:ascii="仿宋" w:hAnsi="仿宋" w:eastAsia="仿宋" w:cs="仿宋"/>
          <w:sz w:val="32"/>
          <w:szCs w:val="32"/>
        </w:rPr>
      </w:pPr>
      <w:r>
        <w:rPr>
          <w:rFonts w:hint="eastAsia" w:ascii="仿宋" w:hAnsi="仿宋" w:eastAsia="仿宋" w:cs="仿宋"/>
          <w:kern w:val="0"/>
          <w:sz w:val="32"/>
          <w:szCs w:val="32"/>
        </w:rPr>
        <w:t> 2019年年末决算支出总计</w:t>
      </w:r>
      <w:r>
        <w:rPr>
          <w:rFonts w:hint="eastAsia" w:ascii="仿宋_GB2312" w:hAnsi="宋体" w:eastAsia="仿宋_GB2312" w:cs="宋体"/>
          <w:kern w:val="0"/>
          <w:sz w:val="32"/>
          <w:szCs w:val="32"/>
        </w:rPr>
        <w:t>277.3</w:t>
      </w:r>
      <w:r>
        <w:rPr>
          <w:rFonts w:hint="eastAsia" w:ascii="仿宋" w:hAnsi="仿宋" w:eastAsia="仿宋" w:cs="仿宋"/>
          <w:kern w:val="0"/>
          <w:sz w:val="32"/>
          <w:szCs w:val="32"/>
        </w:rPr>
        <w:t>万元。其中：一般公共服务</w:t>
      </w:r>
      <w:r>
        <w:rPr>
          <w:rFonts w:hint="eastAsia" w:ascii="仿宋_GB2312" w:hAnsi="宋体" w:eastAsia="仿宋_GB2312" w:cs="宋体"/>
          <w:kern w:val="0"/>
          <w:sz w:val="32"/>
          <w:szCs w:val="32"/>
        </w:rPr>
        <w:t>277.16</w:t>
      </w:r>
      <w:r>
        <w:rPr>
          <w:rFonts w:hint="eastAsia" w:ascii="仿宋" w:hAnsi="仿宋" w:eastAsia="仿宋" w:cs="仿宋"/>
          <w:kern w:val="0"/>
          <w:sz w:val="32"/>
          <w:szCs w:val="32"/>
        </w:rPr>
        <w:t>万元，占比85.65%；社会保障和就业支出</w:t>
      </w:r>
      <w:r>
        <w:rPr>
          <w:rFonts w:ascii="仿宋" w:hAnsi="仿宋" w:eastAsia="仿宋" w:cs="仿宋"/>
          <w:kern w:val="0"/>
          <w:sz w:val="32"/>
          <w:szCs w:val="32"/>
        </w:rPr>
        <w:t>23</w:t>
      </w:r>
      <w:r>
        <w:rPr>
          <w:rFonts w:hint="eastAsia" w:ascii="仿宋" w:hAnsi="仿宋" w:eastAsia="仿宋" w:cs="仿宋"/>
          <w:kern w:val="0"/>
          <w:sz w:val="32"/>
          <w:szCs w:val="32"/>
        </w:rPr>
        <w:t>.</w:t>
      </w:r>
      <w:r>
        <w:rPr>
          <w:rFonts w:ascii="仿宋" w:hAnsi="仿宋" w:eastAsia="仿宋" w:cs="仿宋"/>
          <w:kern w:val="0"/>
          <w:sz w:val="32"/>
          <w:szCs w:val="32"/>
        </w:rPr>
        <w:t>76</w:t>
      </w:r>
      <w:r>
        <w:rPr>
          <w:rFonts w:hint="eastAsia" w:ascii="仿宋" w:hAnsi="仿宋" w:eastAsia="仿宋" w:cs="仿宋"/>
          <w:kern w:val="0"/>
          <w:sz w:val="32"/>
          <w:szCs w:val="32"/>
        </w:rPr>
        <w:t>万元，占比8.57%。卫生健康支出8.6</w:t>
      </w:r>
      <w:r>
        <w:rPr>
          <w:rFonts w:hint="eastAsia" w:ascii="仿宋" w:hAnsi="仿宋" w:eastAsia="仿宋" w:cs="仿宋"/>
          <w:sz w:val="30"/>
          <w:szCs w:val="30"/>
        </w:rPr>
        <w:t>万元</w:t>
      </w:r>
      <w:r>
        <w:rPr>
          <w:rFonts w:hint="eastAsia" w:ascii="仿宋" w:hAnsi="仿宋" w:eastAsia="仿宋" w:cs="仿宋"/>
          <w:kern w:val="0"/>
          <w:sz w:val="32"/>
          <w:szCs w:val="32"/>
        </w:rPr>
        <w:t>，占比3.1 % 。</w:t>
      </w:r>
      <w:r>
        <w:rPr>
          <w:rFonts w:hint="eastAsia" w:ascii="仿宋" w:hAnsi="仿宋" w:eastAsia="仿宋" w:cs="仿宋"/>
          <w:sz w:val="30"/>
          <w:szCs w:val="30"/>
        </w:rPr>
        <w:t>住房保障支出7.42万元，</w:t>
      </w:r>
      <w:r>
        <w:rPr>
          <w:rFonts w:hint="eastAsia" w:ascii="仿宋" w:hAnsi="仿宋" w:eastAsia="仿宋" w:cs="仿宋"/>
          <w:kern w:val="0"/>
          <w:sz w:val="32"/>
          <w:szCs w:val="32"/>
        </w:rPr>
        <w:t>占比2.68 %，年末结余0.13万元</w:t>
      </w:r>
      <w:r>
        <w:rPr>
          <w:rFonts w:hint="eastAsia" w:ascii="仿宋" w:hAnsi="仿宋" w:eastAsia="仿宋" w:cs="仿宋"/>
          <w:sz w:val="32"/>
          <w:szCs w:val="32"/>
        </w:rPr>
        <w:t>。</w:t>
      </w:r>
    </w:p>
    <w:p>
      <w:pPr>
        <w:pStyle w:val="2"/>
        <w:shd w:val="clear" w:color="auto" w:fill="FFFFFF"/>
        <w:spacing w:before="0" w:beforeAutospacing="0" w:after="0" w:afterAutospacing="0" w:line="580" w:lineRule="exact"/>
        <w:ind w:firstLine="643"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 xml:space="preserve">四、财政拨款收入支出决算总体情况说明   </w:t>
      </w:r>
    </w:p>
    <w:p>
      <w:pPr>
        <w:spacing w:line="5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2019年收入总计</w:t>
      </w:r>
      <w:r>
        <w:rPr>
          <w:rFonts w:hint="eastAsia" w:ascii="仿宋_GB2312" w:hAnsi="宋体" w:eastAsia="仿宋_GB2312" w:cs="宋体"/>
          <w:kern w:val="0"/>
          <w:sz w:val="32"/>
          <w:szCs w:val="32"/>
        </w:rPr>
        <w:t>277.16</w:t>
      </w:r>
      <w:r>
        <w:rPr>
          <w:rFonts w:hint="eastAsia" w:ascii="仿宋" w:hAnsi="仿宋" w:eastAsia="仿宋" w:cs="仿宋"/>
          <w:kern w:val="0"/>
          <w:sz w:val="32"/>
          <w:szCs w:val="32"/>
        </w:rPr>
        <w:t>万元，较2018年总收入决算231.51万元增加了45.37万元，主要是上级一般公共预算财政拨款收入增加。</w:t>
      </w:r>
    </w:p>
    <w:p>
      <w:pPr>
        <w:spacing w:line="5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2019年年末决算支出总计</w:t>
      </w:r>
      <w:r>
        <w:rPr>
          <w:rFonts w:hint="eastAsia" w:ascii="仿宋_GB2312" w:hAnsi="宋体" w:eastAsia="仿宋_GB2312" w:cs="宋体"/>
          <w:kern w:val="0"/>
          <w:sz w:val="32"/>
          <w:szCs w:val="32"/>
        </w:rPr>
        <w:t>277.16</w:t>
      </w:r>
      <w:r>
        <w:rPr>
          <w:rFonts w:hint="eastAsia" w:ascii="仿宋" w:hAnsi="仿宋" w:eastAsia="仿宋" w:cs="仿宋"/>
          <w:kern w:val="0"/>
          <w:sz w:val="32"/>
          <w:szCs w:val="32"/>
        </w:rPr>
        <w:t>万元，较2018年总支出年终决算数231.51万元增加了45.37万元，主要是上级部门对国、省、市保单位专项经费增加。</w:t>
      </w:r>
    </w:p>
    <w:p>
      <w:pPr>
        <w:spacing w:line="580" w:lineRule="exact"/>
        <w:ind w:firstLine="643"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五、一般公共预算财政拨款支出决算情况说明 </w:t>
      </w:r>
    </w:p>
    <w:p>
      <w:pPr>
        <w:spacing w:line="58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（一）财政拨款支出决算总体情况。</w:t>
      </w:r>
    </w:p>
    <w:p>
      <w:pPr>
        <w:spacing w:line="5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2019年年末决算支出总计</w:t>
      </w:r>
      <w:r>
        <w:rPr>
          <w:rFonts w:hint="eastAsia" w:ascii="仿宋_GB2312" w:hAnsi="宋体" w:eastAsia="仿宋_GB2312" w:cs="宋体"/>
          <w:kern w:val="0"/>
          <w:sz w:val="32"/>
          <w:szCs w:val="32"/>
        </w:rPr>
        <w:t>277.16</w:t>
      </w:r>
      <w:r>
        <w:rPr>
          <w:rFonts w:hint="eastAsia" w:ascii="仿宋" w:hAnsi="仿宋" w:eastAsia="仿宋" w:cs="仿宋"/>
          <w:kern w:val="0"/>
          <w:sz w:val="32"/>
          <w:szCs w:val="32"/>
        </w:rPr>
        <w:t>万元，较2018年总支出年终决算数231.51万元增加了45.37万元，主要是上级部门对国、省、市保单位专项经费增加了。</w:t>
      </w:r>
    </w:p>
    <w:p>
      <w:pPr>
        <w:spacing w:line="580" w:lineRule="exact"/>
        <w:ind w:firstLine="562" w:firstLineChars="200"/>
        <w:rPr>
          <w:rFonts w:ascii="仿宋" w:hAnsi="仿宋" w:eastAsia="仿宋" w:cs="仿宋"/>
          <w:b/>
          <w:bCs/>
          <w:kern w:val="0"/>
          <w:sz w:val="28"/>
          <w:szCs w:val="28"/>
        </w:rPr>
      </w:pPr>
      <w:r>
        <w:rPr>
          <w:rFonts w:hint="eastAsia" w:ascii="仿宋" w:hAnsi="仿宋" w:eastAsia="仿宋" w:cs="仿宋"/>
          <w:b/>
          <w:bCs/>
          <w:kern w:val="0"/>
          <w:sz w:val="28"/>
          <w:szCs w:val="28"/>
        </w:rPr>
        <w:t>（二）财政拨款支出决算结构情况。</w:t>
      </w:r>
    </w:p>
    <w:p>
      <w:pPr>
        <w:spacing w:line="5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全年财政拨款支出</w:t>
      </w:r>
      <w:r>
        <w:rPr>
          <w:rFonts w:hint="eastAsia" w:ascii="仿宋_GB2312" w:hAnsi="宋体" w:eastAsia="仿宋_GB2312" w:cs="宋体"/>
          <w:kern w:val="0"/>
          <w:sz w:val="32"/>
          <w:szCs w:val="32"/>
        </w:rPr>
        <w:t>277.16</w:t>
      </w:r>
      <w:r>
        <w:rPr>
          <w:rFonts w:hint="eastAsia" w:ascii="仿宋" w:hAnsi="仿宋" w:eastAsia="仿宋" w:cs="仿宋"/>
          <w:kern w:val="0"/>
          <w:sz w:val="32"/>
          <w:szCs w:val="32"/>
        </w:rPr>
        <w:t>万元，按功能分类分：文化体育与传媒支出237.38万元，占比85.64 %，</w:t>
      </w:r>
      <w:r>
        <w:rPr>
          <w:rFonts w:hint="eastAsia" w:ascii="仿宋" w:hAnsi="仿宋" w:eastAsia="仿宋" w:cs="仿宋"/>
          <w:sz w:val="30"/>
          <w:szCs w:val="30"/>
        </w:rPr>
        <w:t>与上年度增加了</w:t>
      </w:r>
      <w:r>
        <w:rPr>
          <w:rFonts w:hint="eastAsia" w:ascii="仿宋" w:hAnsi="仿宋" w:eastAsia="仿宋" w:cs="仿宋"/>
          <w:kern w:val="0"/>
          <w:sz w:val="32"/>
          <w:szCs w:val="32"/>
        </w:rPr>
        <w:t>35.11</w:t>
      </w:r>
      <w:r>
        <w:rPr>
          <w:rFonts w:hint="eastAsia" w:ascii="仿宋" w:hAnsi="仿宋" w:eastAsia="仿宋" w:cs="仿宋"/>
          <w:sz w:val="30"/>
          <w:szCs w:val="30"/>
        </w:rPr>
        <w:t>万元</w:t>
      </w:r>
      <w:r>
        <w:rPr>
          <w:rFonts w:hint="eastAsia" w:ascii="仿宋" w:hAnsi="仿宋" w:eastAsia="仿宋" w:cs="仿宋"/>
          <w:kern w:val="0"/>
          <w:sz w:val="32"/>
          <w:szCs w:val="32"/>
        </w:rPr>
        <w:t>；社会保障和就业支出23.76万元，占比8.57 %，</w:t>
      </w:r>
      <w:r>
        <w:rPr>
          <w:rFonts w:hint="eastAsia" w:ascii="仿宋" w:hAnsi="仿宋" w:eastAsia="仿宋" w:cs="仿宋"/>
          <w:sz w:val="30"/>
          <w:szCs w:val="30"/>
        </w:rPr>
        <w:t>与上年度增加了</w:t>
      </w:r>
      <w:r>
        <w:rPr>
          <w:rFonts w:hint="eastAsia" w:ascii="仿宋" w:hAnsi="仿宋" w:eastAsia="仿宋" w:cs="仿宋"/>
          <w:kern w:val="0"/>
          <w:sz w:val="32"/>
          <w:szCs w:val="32"/>
        </w:rPr>
        <w:t>4.69</w:t>
      </w:r>
      <w:r>
        <w:rPr>
          <w:rFonts w:hint="eastAsia" w:ascii="仿宋" w:hAnsi="仿宋" w:eastAsia="仿宋" w:cs="仿宋"/>
          <w:sz w:val="30"/>
          <w:szCs w:val="30"/>
        </w:rPr>
        <w:t>万元</w:t>
      </w:r>
      <w:r>
        <w:rPr>
          <w:rFonts w:hint="eastAsia" w:ascii="仿宋" w:hAnsi="仿宋" w:eastAsia="仿宋" w:cs="仿宋"/>
          <w:kern w:val="0"/>
          <w:sz w:val="32"/>
          <w:szCs w:val="32"/>
        </w:rPr>
        <w:t>；医疗卫生与计划生育支出4.65万元，占比3.1%，</w:t>
      </w:r>
      <w:r>
        <w:rPr>
          <w:rFonts w:hint="eastAsia" w:ascii="仿宋" w:hAnsi="仿宋" w:eastAsia="仿宋" w:cs="仿宋"/>
          <w:sz w:val="30"/>
          <w:szCs w:val="30"/>
        </w:rPr>
        <w:t>与上年度增加了3.38万元</w:t>
      </w:r>
      <w:r>
        <w:rPr>
          <w:rFonts w:hint="eastAsia" w:ascii="仿宋" w:hAnsi="仿宋" w:eastAsia="仿宋" w:cs="仿宋"/>
          <w:kern w:val="0"/>
          <w:sz w:val="32"/>
          <w:szCs w:val="32"/>
        </w:rPr>
        <w:t>。</w:t>
      </w:r>
      <w:r>
        <w:rPr>
          <w:rFonts w:hint="eastAsia" w:ascii="仿宋" w:hAnsi="仿宋" w:eastAsia="仿宋" w:cs="仿宋"/>
          <w:sz w:val="30"/>
          <w:szCs w:val="30"/>
        </w:rPr>
        <w:t>住房保障支出8.6万元，</w:t>
      </w:r>
      <w:r>
        <w:rPr>
          <w:rFonts w:hint="eastAsia" w:ascii="仿宋" w:hAnsi="仿宋" w:eastAsia="仿宋" w:cs="仿宋"/>
          <w:kern w:val="0"/>
          <w:sz w:val="32"/>
          <w:szCs w:val="32"/>
        </w:rPr>
        <w:t>占比2.67%，</w:t>
      </w:r>
      <w:r>
        <w:rPr>
          <w:rFonts w:hint="eastAsia" w:ascii="仿宋" w:hAnsi="仿宋" w:eastAsia="仿宋" w:cs="仿宋"/>
          <w:sz w:val="30"/>
          <w:szCs w:val="30"/>
        </w:rPr>
        <w:t>与上年度增加了2.46万元</w:t>
      </w:r>
      <w:r>
        <w:rPr>
          <w:rFonts w:hint="eastAsia" w:ascii="仿宋" w:hAnsi="仿宋" w:eastAsia="仿宋" w:cs="仿宋"/>
          <w:kern w:val="0"/>
          <w:sz w:val="32"/>
          <w:szCs w:val="32"/>
        </w:rPr>
        <w:t>。</w:t>
      </w:r>
    </w:p>
    <w:p>
      <w:pPr>
        <w:spacing w:line="580" w:lineRule="exact"/>
        <w:ind w:firstLine="643"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六、一般公共预算财政拨款基本支出决算情况说明</w:t>
      </w:r>
    </w:p>
    <w:p>
      <w:pPr>
        <w:spacing w:line="58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2019年一般公共预算财政拨款基本支出决算</w:t>
      </w:r>
      <w:r>
        <w:rPr>
          <w:rFonts w:hint="eastAsia" w:ascii="仿宋_GB2312" w:hAnsi="宋体" w:eastAsia="仿宋_GB2312" w:cs="宋体"/>
          <w:kern w:val="0"/>
          <w:sz w:val="32"/>
          <w:szCs w:val="32"/>
        </w:rPr>
        <w:t>277.16</w:t>
      </w:r>
      <w:r>
        <w:rPr>
          <w:rFonts w:hint="eastAsia" w:ascii="仿宋" w:hAnsi="仿宋" w:eastAsia="仿宋" w:cs="仿宋"/>
          <w:kern w:val="0"/>
          <w:sz w:val="32"/>
          <w:szCs w:val="32"/>
        </w:rPr>
        <w:t>万元，占全年财政拨款支出比为100%。其中：工资福利支出227.59万元，占比82.11 %；商品和服务支出49.57万元，占比17.89%。基本支出是指为保障单位正常运转，完成日常工作任务而发生的各项支出，包括用于基本工资、津贴补贴等人员经费以及办公费、印刷费、物管费、水电费、公务接待费、会议费、职工培训费、办公设备购置、国、省保单位维修等日常公用经费。</w:t>
      </w:r>
    </w:p>
    <w:p>
      <w:pPr>
        <w:spacing w:line="580" w:lineRule="exact"/>
        <w:ind w:firstLine="643"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七、一般公共预算财政拨款“三公”经费支出情况决算情况说明 </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2019年“三公”经费支出合计0.089万元，与2018年决算数持平</w:t>
      </w:r>
      <w:r>
        <w:rPr>
          <w:rFonts w:hint="eastAsia" w:ascii="仿宋" w:hAnsi="仿宋" w:eastAsia="仿宋" w:cs="仿宋"/>
          <w:kern w:val="0"/>
          <w:sz w:val="32"/>
          <w:szCs w:val="32"/>
        </w:rPr>
        <w:t>。</w:t>
      </w:r>
      <w:r>
        <w:rPr>
          <w:rFonts w:hint="eastAsia" w:ascii="仿宋" w:hAnsi="仿宋" w:eastAsia="仿宋" w:cs="仿宋"/>
          <w:sz w:val="32"/>
          <w:szCs w:val="32"/>
        </w:rPr>
        <w:t>其中：公务用车运行及维护费0万元，公务接待费0.089万元，无因公出国出境开支，因取消公务用车我局公务用车购置及运行维护支出2018和2019年都为0万元。</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国内公务接待批次</w:t>
      </w:r>
      <w:r>
        <w:rPr>
          <w:rFonts w:hint="eastAsia" w:ascii="仿宋" w:hAnsi="仿宋" w:eastAsia="仿宋" w:cs="仿宋"/>
          <w:sz w:val="32"/>
          <w:szCs w:val="32"/>
          <w:lang w:val="en-US" w:eastAsia="zh-CN"/>
        </w:rPr>
        <w:t>2</w:t>
      </w:r>
      <w:r>
        <w:rPr>
          <w:rFonts w:hint="eastAsia" w:ascii="仿宋" w:hAnsi="仿宋" w:eastAsia="仿宋" w:cs="仿宋"/>
          <w:sz w:val="32"/>
          <w:szCs w:val="32"/>
        </w:rPr>
        <w:t>（个） 统计数</w:t>
      </w:r>
      <w:r>
        <w:rPr>
          <w:rFonts w:hint="eastAsia" w:ascii="仿宋" w:hAnsi="仿宋" w:eastAsia="仿宋" w:cs="仿宋"/>
          <w:sz w:val="32"/>
          <w:szCs w:val="32"/>
          <w:lang w:val="en-US" w:eastAsia="zh-CN"/>
        </w:rPr>
        <w:t>2</w:t>
      </w:r>
      <w:r>
        <w:rPr>
          <w:rFonts w:hint="eastAsia" w:ascii="仿宋" w:hAnsi="仿宋" w:eastAsia="仿宋" w:cs="仿宋"/>
          <w:sz w:val="32"/>
          <w:szCs w:val="32"/>
        </w:rPr>
        <w:t>批，国内公务接待人次</w:t>
      </w:r>
      <w:r>
        <w:rPr>
          <w:rFonts w:hint="eastAsia" w:ascii="仿宋" w:hAnsi="仿宋" w:eastAsia="仿宋" w:cs="仿宋"/>
          <w:sz w:val="32"/>
          <w:szCs w:val="32"/>
          <w:lang w:val="en-US" w:eastAsia="zh-CN"/>
        </w:rPr>
        <w:t>15</w:t>
      </w:r>
      <w:r>
        <w:rPr>
          <w:rFonts w:hint="eastAsia" w:ascii="仿宋" w:hAnsi="仿宋" w:eastAsia="仿宋" w:cs="仿宋"/>
          <w:sz w:val="32"/>
          <w:szCs w:val="32"/>
        </w:rPr>
        <w:t>（人） 统计数</w:t>
      </w:r>
      <w:r>
        <w:rPr>
          <w:rFonts w:hint="eastAsia" w:ascii="仿宋" w:hAnsi="仿宋" w:eastAsia="仿宋" w:cs="仿宋"/>
          <w:sz w:val="32"/>
          <w:szCs w:val="32"/>
          <w:lang w:val="en-US" w:eastAsia="zh-CN"/>
        </w:rPr>
        <w:t>15</w:t>
      </w:r>
      <w:r>
        <w:rPr>
          <w:rFonts w:hint="eastAsia" w:ascii="仿宋" w:hAnsi="仿宋" w:eastAsia="仿宋" w:cs="仿宋"/>
          <w:sz w:val="32"/>
          <w:szCs w:val="32"/>
        </w:rPr>
        <w:t xml:space="preserve"> 人。</w:t>
      </w:r>
      <w:bookmarkStart w:id="0" w:name="_GoBack"/>
      <w:bookmarkEnd w:id="0"/>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本年度公务用车没有发生额。2019年12月31日，本单位公务用车保有量为0辆，当年新增公务用车为0辆。</w:t>
      </w:r>
    </w:p>
    <w:p>
      <w:pPr>
        <w:spacing w:line="580" w:lineRule="exact"/>
        <w:ind w:firstLine="643"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八、预算绩效情况说明 </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根据《会计法》、《预算法》、《行政单位会计制度》等法律和财政部及省财政厅有关财务规章的规定，遵照县委、县政府两办印发的一系列管理办法，我局先后制定了一系列制度，制度明确了经费审批权限及程序，制度规定基本得到执行。严格预算绩效管理，加强单位内部控制建设，建立内控长效机制，严格财务管理，加强财务监督。进一步落实了厉行节约的各项规定，确保了“三公经费”管理使用合理合规。</w:t>
      </w:r>
    </w:p>
    <w:p>
      <w:pPr>
        <w:pStyle w:val="2"/>
        <w:numPr>
          <w:ilvl w:val="0"/>
          <w:numId w:val="1"/>
        </w:numPr>
        <w:shd w:val="clear" w:color="auto" w:fill="FFFFFF"/>
        <w:spacing w:before="0" w:beforeAutospacing="0" w:after="0" w:afterAutospacing="0" w:line="580" w:lineRule="exact"/>
        <w:rPr>
          <w:rFonts w:ascii="华文楷体" w:hAnsi="华文楷体" w:eastAsia="华文楷体" w:cs="华文楷体"/>
          <w:b/>
          <w:bCs/>
          <w:sz w:val="32"/>
          <w:szCs w:val="32"/>
        </w:rPr>
      </w:pPr>
      <w:r>
        <w:rPr>
          <w:rFonts w:hint="eastAsia" w:ascii="华文楷体" w:hAnsi="华文楷体" w:eastAsia="华文楷体" w:cs="华文楷体"/>
          <w:b/>
          <w:bCs/>
          <w:sz w:val="32"/>
          <w:szCs w:val="32"/>
        </w:rPr>
        <w:t xml:space="preserve">其他重要事项的情况说明   </w:t>
      </w:r>
    </w:p>
    <w:p>
      <w:pPr>
        <w:spacing w:line="580" w:lineRule="exact"/>
        <w:ind w:firstLine="643" w:firstLineChars="200"/>
        <w:rPr>
          <w:rFonts w:ascii="仿宋" w:hAnsi="仿宋" w:eastAsia="仿宋" w:cs="仿宋"/>
          <w:sz w:val="32"/>
          <w:szCs w:val="32"/>
        </w:rPr>
      </w:pPr>
      <w:r>
        <w:rPr>
          <w:rFonts w:hint="eastAsia" w:ascii="仿宋" w:hAnsi="仿宋" w:eastAsia="仿宋" w:cs="仿宋"/>
          <w:b/>
          <w:sz w:val="32"/>
          <w:szCs w:val="32"/>
        </w:rPr>
        <w:t>（一）机关运行经费：</w:t>
      </w:r>
      <w:r>
        <w:rPr>
          <w:rFonts w:hint="eastAsia" w:ascii="仿宋" w:hAnsi="仿宋" w:eastAsia="仿宋" w:cs="仿宋"/>
          <w:sz w:val="32"/>
          <w:szCs w:val="32"/>
        </w:rPr>
        <w:t>2019年衡南县文化市场综合执法局的机关运行经费当年一般公共预算拨款277.16万元，比2018年预算</w:t>
      </w:r>
      <w:r>
        <w:rPr>
          <w:rFonts w:hint="eastAsia" w:ascii="仿宋" w:hAnsi="仿宋" w:eastAsia="仿宋" w:cs="仿宋"/>
          <w:kern w:val="0"/>
          <w:sz w:val="32"/>
          <w:szCs w:val="32"/>
        </w:rPr>
        <w:t>231.51万元增加了45.37万元</w:t>
      </w:r>
      <w:r>
        <w:rPr>
          <w:rFonts w:hint="eastAsia" w:ascii="仿宋" w:hAnsi="仿宋" w:eastAsia="仿宋" w:cs="仿宋"/>
          <w:sz w:val="32"/>
          <w:szCs w:val="32"/>
        </w:rPr>
        <w:t>，</w:t>
      </w:r>
      <w:r>
        <w:rPr>
          <w:rFonts w:hint="eastAsia" w:ascii="仿宋" w:hAnsi="仿宋" w:eastAsia="仿宋" w:cs="仿宋"/>
          <w:kern w:val="0"/>
          <w:sz w:val="32"/>
          <w:szCs w:val="32"/>
        </w:rPr>
        <w:t>主要是因为上级部门对国、省、市保单位运转经费增加。</w:t>
      </w:r>
    </w:p>
    <w:p>
      <w:pPr>
        <w:ind w:firstLine="643" w:firstLineChars="200"/>
        <w:rPr>
          <w:rFonts w:hint="eastAsia" w:ascii="仿宋" w:hAnsi="仿宋" w:eastAsia="宋体" w:cs="仿宋"/>
          <w:b/>
          <w:sz w:val="32"/>
          <w:szCs w:val="32"/>
          <w:lang w:eastAsia="zh-CN"/>
        </w:rPr>
      </w:pPr>
      <w:r>
        <w:rPr>
          <w:rFonts w:hint="eastAsia" w:ascii="仿宋" w:hAnsi="仿宋" w:eastAsia="仿宋" w:cs="仿宋"/>
          <w:b/>
          <w:sz w:val="32"/>
          <w:szCs w:val="32"/>
        </w:rPr>
        <w:t>（二）</w:t>
      </w:r>
      <w:r>
        <w:rPr>
          <w:rFonts w:hint="eastAsia" w:cs="黑体" w:asciiTheme="minorEastAsia" w:hAnsiTheme="minorEastAsia"/>
          <w:b/>
          <w:color w:val="000000"/>
          <w:kern w:val="0"/>
          <w:sz w:val="32"/>
          <w:szCs w:val="32"/>
        </w:rPr>
        <w:t>一般性支出情况</w:t>
      </w:r>
      <w:r>
        <w:rPr>
          <w:rFonts w:hint="eastAsia" w:cs="黑体" w:asciiTheme="minorEastAsia" w:hAnsiTheme="minorEastAsia"/>
          <w:b/>
          <w:color w:val="000000"/>
          <w:kern w:val="0"/>
          <w:sz w:val="32"/>
          <w:szCs w:val="32"/>
          <w:lang w:eastAsia="zh-CN"/>
        </w:rPr>
        <w:t>：</w:t>
      </w:r>
      <w:r>
        <w:rPr>
          <w:rFonts w:hint="eastAsia" w:cs="黑体" w:asciiTheme="minorEastAsia" w:hAnsiTheme="minorEastAsia"/>
          <w:color w:val="000000"/>
          <w:kern w:val="0"/>
          <w:sz w:val="32"/>
          <w:szCs w:val="32"/>
        </w:rPr>
        <w:t>2019年本部门开支手续费10</w:t>
      </w:r>
      <w:r>
        <w:rPr>
          <w:rFonts w:hint="eastAsia" w:cs="黑体" w:asciiTheme="minorEastAsia" w:hAnsiTheme="minorEastAsia"/>
          <w:color w:val="000000"/>
          <w:kern w:val="0"/>
          <w:sz w:val="32"/>
          <w:szCs w:val="32"/>
          <w:lang w:val="en-US" w:eastAsia="zh-CN"/>
        </w:rPr>
        <w:t>.</w:t>
      </w:r>
      <w:r>
        <w:rPr>
          <w:rFonts w:hint="eastAsia" w:cs="黑体" w:asciiTheme="minorEastAsia" w:hAnsiTheme="minorEastAsia"/>
          <w:color w:val="000000"/>
          <w:kern w:val="0"/>
          <w:sz w:val="32"/>
          <w:szCs w:val="32"/>
        </w:rPr>
        <w:t>5</w:t>
      </w:r>
      <w:r>
        <w:rPr>
          <w:rFonts w:hint="eastAsia" w:cs="黑体" w:asciiTheme="minorEastAsia" w:hAnsiTheme="minorEastAsia"/>
          <w:color w:val="000000"/>
          <w:kern w:val="0"/>
          <w:sz w:val="32"/>
          <w:szCs w:val="32"/>
          <w:lang w:val="en-US" w:eastAsia="zh-CN"/>
        </w:rPr>
        <w:t>2</w:t>
      </w:r>
      <w:r>
        <w:rPr>
          <w:rFonts w:hint="eastAsia" w:cs="黑体" w:asciiTheme="minorEastAsia" w:hAnsiTheme="minorEastAsia"/>
          <w:color w:val="000000"/>
          <w:kern w:val="0"/>
          <w:sz w:val="32"/>
          <w:szCs w:val="32"/>
        </w:rPr>
        <w:t>万元，用于</w:t>
      </w:r>
      <w:r>
        <w:rPr>
          <w:rFonts w:hint="eastAsia" w:cs="黑体" w:asciiTheme="minorEastAsia" w:hAnsiTheme="minorEastAsia"/>
          <w:color w:val="000000"/>
          <w:kern w:val="0"/>
          <w:sz w:val="32"/>
          <w:szCs w:val="32"/>
          <w:lang w:eastAsia="zh-CN"/>
        </w:rPr>
        <w:t>业务活动支出。</w:t>
      </w:r>
    </w:p>
    <w:p>
      <w:pPr>
        <w:spacing w:line="580" w:lineRule="exact"/>
        <w:ind w:firstLine="643" w:firstLineChars="200"/>
        <w:rPr>
          <w:rFonts w:ascii="仿宋" w:hAnsi="仿宋" w:eastAsia="仿宋" w:cs="仿宋"/>
          <w:sz w:val="32"/>
          <w:szCs w:val="32"/>
        </w:rPr>
      </w:pPr>
      <w:r>
        <w:rPr>
          <w:rFonts w:hint="eastAsia" w:ascii="仿宋" w:hAnsi="仿宋" w:eastAsia="仿宋" w:cs="仿宋"/>
          <w:b/>
          <w:sz w:val="32"/>
          <w:szCs w:val="32"/>
        </w:rPr>
        <w:t>（三）政府采购情况：</w:t>
      </w:r>
      <w:r>
        <w:rPr>
          <w:rFonts w:hint="eastAsia" w:ascii="仿宋" w:hAnsi="仿宋" w:eastAsia="仿宋" w:cs="仿宋"/>
          <w:sz w:val="32"/>
          <w:szCs w:val="32"/>
        </w:rPr>
        <w:t>2019年度政府采购支出无安排。</w:t>
      </w:r>
    </w:p>
    <w:p>
      <w:pPr>
        <w:widowControl/>
        <w:shd w:val="clear" w:color="auto" w:fill="FFFFFF"/>
        <w:spacing w:line="580" w:lineRule="exact"/>
        <w:ind w:firstLine="643" w:firstLineChars="200"/>
        <w:jc w:val="left"/>
        <w:rPr>
          <w:rFonts w:ascii="仿宋" w:hAnsi="仿宋" w:eastAsia="仿宋" w:cs="仿宋"/>
          <w:kern w:val="0"/>
          <w:sz w:val="32"/>
          <w:szCs w:val="32"/>
        </w:rPr>
      </w:pPr>
      <w:r>
        <w:rPr>
          <w:rFonts w:hint="eastAsia" w:ascii="仿宋" w:hAnsi="仿宋" w:eastAsia="仿宋" w:cs="仿宋"/>
          <w:b/>
          <w:sz w:val="32"/>
          <w:szCs w:val="32"/>
        </w:rPr>
        <w:t>（</w:t>
      </w:r>
      <w:r>
        <w:rPr>
          <w:rFonts w:hint="eastAsia" w:ascii="仿宋" w:hAnsi="仿宋" w:eastAsia="仿宋" w:cs="仿宋"/>
          <w:b/>
          <w:sz w:val="32"/>
          <w:szCs w:val="32"/>
          <w:lang w:eastAsia="zh-CN"/>
        </w:rPr>
        <w:t>四</w:t>
      </w:r>
      <w:r>
        <w:rPr>
          <w:rFonts w:hint="eastAsia" w:ascii="仿宋" w:hAnsi="仿宋" w:eastAsia="仿宋" w:cs="仿宋"/>
          <w:b/>
          <w:sz w:val="32"/>
          <w:szCs w:val="32"/>
        </w:rPr>
        <w:t>）国有资产占用使用情况说明：</w:t>
      </w:r>
      <w:r>
        <w:rPr>
          <w:rFonts w:hint="eastAsia" w:ascii="仿宋" w:hAnsi="仿宋" w:eastAsia="仿宋" w:cs="仿宋"/>
          <w:kern w:val="0"/>
          <w:sz w:val="32"/>
          <w:szCs w:val="32"/>
        </w:rPr>
        <w:t>截至2019年12月３1日，本单位占用固定资产7.65万元，主要资产为办公电脑、打印机等通用设备和办公桌椅、会议桌椅。截至2019年12月31日，本单位共有车辆0辆，其中：特种专业技术用车0辆。单位价值50万元以上通用设备0台（套）；单位价值100万元以上专用设备0台（套）。</w:t>
      </w:r>
    </w:p>
    <w:p>
      <w:pPr>
        <w:pStyle w:val="2"/>
        <w:shd w:val="clear" w:color="auto" w:fill="FFFFFF"/>
        <w:spacing w:before="0" w:beforeAutospacing="0" w:after="0" w:afterAutospacing="0" w:line="580" w:lineRule="exact"/>
        <w:rPr>
          <w:b/>
          <w:bCs/>
          <w:sz w:val="32"/>
          <w:szCs w:val="32"/>
        </w:rPr>
      </w:pPr>
    </w:p>
    <w:p>
      <w:pPr>
        <w:pStyle w:val="2"/>
        <w:shd w:val="clear" w:color="auto" w:fill="FFFFFF"/>
        <w:spacing w:before="0" w:beforeAutospacing="0" w:after="0" w:afterAutospacing="0" w:line="580" w:lineRule="exact"/>
        <w:rPr>
          <w:b/>
          <w:bCs/>
          <w:sz w:val="32"/>
          <w:szCs w:val="32"/>
        </w:rPr>
      </w:pPr>
    </w:p>
    <w:p>
      <w:pPr>
        <w:pStyle w:val="2"/>
        <w:shd w:val="clear" w:color="auto" w:fill="FFFFFF"/>
        <w:spacing w:before="0" w:beforeAutospacing="0" w:after="0" w:afterAutospacing="0" w:line="580" w:lineRule="exact"/>
        <w:rPr>
          <w:b/>
          <w:bCs/>
          <w:sz w:val="32"/>
          <w:szCs w:val="32"/>
        </w:rPr>
      </w:pPr>
    </w:p>
    <w:p>
      <w:pPr>
        <w:pStyle w:val="5"/>
        <w:jc w:val="center"/>
        <w:rPr>
          <w:rFonts w:hint="eastAsia"/>
          <w:sz w:val="72"/>
          <w:szCs w:val="72"/>
        </w:rPr>
      </w:pPr>
    </w:p>
    <w:p>
      <w:pPr>
        <w:pStyle w:val="5"/>
        <w:jc w:val="center"/>
        <w:rPr>
          <w:rFonts w:hint="eastAsia"/>
          <w:sz w:val="72"/>
          <w:szCs w:val="72"/>
        </w:rPr>
      </w:pPr>
    </w:p>
    <w:p>
      <w:pPr>
        <w:pStyle w:val="5"/>
        <w:jc w:val="center"/>
        <w:rPr>
          <w:rFonts w:hint="eastAsia"/>
          <w:sz w:val="72"/>
          <w:szCs w:val="72"/>
        </w:rPr>
      </w:pPr>
    </w:p>
    <w:p>
      <w:pPr>
        <w:pStyle w:val="5"/>
        <w:jc w:val="center"/>
        <w:rPr>
          <w:rFonts w:hint="eastAsia"/>
          <w:sz w:val="72"/>
          <w:szCs w:val="72"/>
        </w:rPr>
      </w:pPr>
    </w:p>
    <w:p>
      <w:pPr>
        <w:pStyle w:val="5"/>
        <w:jc w:val="center"/>
        <w:rPr>
          <w:rFonts w:hint="eastAsia"/>
          <w:sz w:val="72"/>
          <w:szCs w:val="72"/>
        </w:rPr>
      </w:pPr>
      <w:r>
        <w:rPr>
          <w:rFonts w:hint="eastAsia"/>
          <w:sz w:val="72"/>
          <w:szCs w:val="72"/>
        </w:rPr>
        <w:t>第四部分</w:t>
      </w: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hint="eastAsia" w:ascii="黑体" w:eastAsia="黑体" w:cs="黑体"/>
          <w:color w:val="000000"/>
          <w:kern w:val="0"/>
          <w:sz w:val="70"/>
          <w:szCs w:val="70"/>
        </w:rPr>
      </w:pPr>
      <w:r>
        <w:rPr>
          <w:rFonts w:ascii="黑体" w:eastAsia="黑体" w:cs="黑体"/>
          <w:color w:val="000000"/>
          <w:kern w:val="0"/>
          <w:sz w:val="70"/>
          <w:szCs w:val="70"/>
        </w:rPr>
        <w:br w:type="page"/>
      </w:r>
    </w:p>
    <w:p>
      <w:pPr>
        <w:pStyle w:val="2"/>
        <w:shd w:val="clear" w:color="auto" w:fill="FFFFFF"/>
        <w:spacing w:before="0" w:beforeAutospacing="0" w:after="0" w:afterAutospacing="0" w:line="580" w:lineRule="exact"/>
        <w:ind w:firstLine="643" w:firstLineChars="200"/>
        <w:rPr>
          <w:rFonts w:ascii="仿宋" w:hAnsi="仿宋" w:eastAsia="仿宋" w:cs="仿宋"/>
          <w:spacing w:val="-17"/>
          <w:sz w:val="32"/>
          <w:szCs w:val="32"/>
        </w:rPr>
      </w:pPr>
      <w:r>
        <w:rPr>
          <w:rFonts w:hint="eastAsia" w:ascii="仿宋" w:hAnsi="仿宋" w:eastAsia="仿宋" w:cs="仿宋"/>
          <w:b/>
          <w:bCs/>
          <w:sz w:val="32"/>
          <w:szCs w:val="32"/>
        </w:rPr>
        <w:t>一、财政拨款收入：</w:t>
      </w:r>
      <w:r>
        <w:rPr>
          <w:rFonts w:hint="eastAsia" w:ascii="仿宋" w:hAnsi="仿宋" w:eastAsia="仿宋" w:cs="仿宋"/>
          <w:spacing w:val="-17"/>
          <w:sz w:val="32"/>
          <w:szCs w:val="32"/>
        </w:rPr>
        <w:t>指财政部门核拨给单位的财政预算资金。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二、事业收入：</w:t>
      </w:r>
      <w:r>
        <w:rPr>
          <w:rFonts w:hint="eastAsia" w:ascii="仿宋" w:hAnsi="仿宋" w:eastAsia="仿宋" w:cs="仿宋"/>
          <w:sz w:val="32"/>
          <w:szCs w:val="32"/>
        </w:rPr>
        <w:t>指事业单位开展专业业务活动及辅助活动所取得的收入。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三、附属单位上缴收入：</w:t>
      </w:r>
      <w:r>
        <w:rPr>
          <w:rFonts w:hint="eastAsia" w:ascii="仿宋" w:hAnsi="仿宋" w:eastAsia="仿宋" w:cs="仿宋"/>
          <w:sz w:val="32"/>
          <w:szCs w:val="32"/>
        </w:rPr>
        <w:t>指事业单位附属独立核算单位按有关规定上缴的收入。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四、其他收入：</w:t>
      </w:r>
      <w:r>
        <w:rPr>
          <w:rFonts w:hint="eastAsia" w:ascii="仿宋" w:hAnsi="仿宋" w:eastAsia="仿宋" w:cs="仿宋"/>
          <w:sz w:val="32"/>
          <w:szCs w:val="32"/>
        </w:rPr>
        <w:t>指单位取得的除上述“财政拨款收入”、“事业收入”、“附属单位上缴收入”等以外的收入。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五、年初结转和结余：</w:t>
      </w:r>
      <w:r>
        <w:rPr>
          <w:rFonts w:hint="eastAsia" w:ascii="仿宋" w:hAnsi="仿宋" w:eastAsia="仿宋" w:cs="仿宋"/>
          <w:sz w:val="32"/>
          <w:szCs w:val="32"/>
        </w:rPr>
        <w:t>指以前年度尚未完成、结转到本年仍按有关规定继续使用的资金。 </w:t>
      </w:r>
    </w:p>
    <w:p>
      <w:pPr>
        <w:pStyle w:val="2"/>
        <w:shd w:val="clear" w:color="auto" w:fill="FFFFFF"/>
        <w:spacing w:before="0" w:beforeAutospacing="0" w:after="0" w:afterAutospacing="0" w:line="580" w:lineRule="exact"/>
        <w:rPr>
          <w:rFonts w:ascii="仿宋" w:hAnsi="仿宋" w:eastAsia="仿宋" w:cs="仿宋"/>
        </w:rPr>
      </w:pPr>
      <w:r>
        <w:rPr>
          <w:rFonts w:hint="eastAsia" w:ascii="仿宋" w:hAnsi="仿宋" w:eastAsia="仿宋" w:cs="仿宋"/>
          <w:sz w:val="32"/>
          <w:szCs w:val="32"/>
        </w:rPr>
        <w:t>　　</w:t>
      </w:r>
      <w:r>
        <w:rPr>
          <w:rFonts w:hint="eastAsia" w:ascii="仿宋" w:hAnsi="仿宋" w:eastAsia="仿宋" w:cs="仿宋"/>
          <w:b/>
          <w:bCs/>
          <w:sz w:val="32"/>
          <w:szCs w:val="32"/>
        </w:rPr>
        <w:t>六、用事业基金弥补收支差额：</w:t>
      </w:r>
      <w:r>
        <w:rPr>
          <w:rFonts w:hint="eastAsia" w:ascii="仿宋" w:hAnsi="仿宋" w:eastAsia="仿宋" w:cs="仿宋"/>
          <w:spacing w:val="6"/>
          <w:sz w:val="32"/>
          <w:szCs w:val="32"/>
        </w:rPr>
        <w:t>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r>
        <w:rPr>
          <w:rFonts w:hint="eastAsia" w:ascii="仿宋" w:hAnsi="仿宋" w:eastAsia="仿宋" w:cs="仿宋"/>
          <w:sz w:val="32"/>
          <w:szCs w:val="32"/>
        </w:rPr>
        <w:t>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七、结余分配：</w:t>
      </w:r>
      <w:r>
        <w:rPr>
          <w:rFonts w:hint="eastAsia" w:ascii="仿宋" w:hAnsi="仿宋" w:eastAsia="仿宋" w:cs="仿宋"/>
          <w:sz w:val="32"/>
          <w:szCs w:val="32"/>
        </w:rPr>
        <w:t>指事业单位按规定提取的职工福利基金、事业基金和缴纳的所得税，以及建设单位按规定应交回的基本建设竣工项目结余资金。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八、年末结转和结余：</w:t>
      </w:r>
      <w:r>
        <w:rPr>
          <w:rFonts w:hint="eastAsia" w:ascii="仿宋" w:hAnsi="仿宋" w:eastAsia="仿宋" w:cs="仿宋"/>
          <w:sz w:val="32"/>
          <w:szCs w:val="32"/>
        </w:rPr>
        <w:t>指本年度或以前年度预算安排、因客观条件发生变化无法按原计划实施，需延迟到以后年度按有关规定继续使用的资金。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九、基本支出：</w:t>
      </w:r>
      <w:r>
        <w:rPr>
          <w:rFonts w:hint="eastAsia" w:ascii="仿宋" w:hAnsi="仿宋" w:eastAsia="仿宋" w:cs="仿宋"/>
          <w:sz w:val="32"/>
          <w:szCs w:val="32"/>
        </w:rPr>
        <w:t>指为保障机构正常运转、完成日常工作任务而发生的人员支出和公用支出。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十、项目支出：</w:t>
      </w:r>
      <w:r>
        <w:rPr>
          <w:rFonts w:hint="eastAsia" w:ascii="仿宋" w:hAnsi="仿宋" w:eastAsia="仿宋" w:cs="仿宋"/>
          <w:sz w:val="32"/>
          <w:szCs w:val="32"/>
        </w:rPr>
        <w:t>指在基本支出之外，为完成特定行政任务和事业发展目标所发生的支出。 </w:t>
      </w:r>
    </w:p>
    <w:p>
      <w:pPr>
        <w:pStyle w:val="2"/>
        <w:shd w:val="clear" w:color="auto" w:fill="FFFFFF"/>
        <w:spacing w:before="0" w:beforeAutospacing="0" w:after="0" w:afterAutospacing="0" w:line="580" w:lineRule="exact"/>
        <w:rPr>
          <w:rFonts w:ascii="仿宋" w:hAnsi="仿宋" w:eastAsia="仿宋" w:cs="仿宋"/>
          <w:sz w:val="32"/>
          <w:szCs w:val="32"/>
        </w:rPr>
      </w:pPr>
      <w:r>
        <w:rPr>
          <w:rFonts w:hint="eastAsia" w:ascii="仿宋" w:hAnsi="仿宋" w:eastAsia="仿宋" w:cs="仿宋"/>
          <w:b/>
          <w:bCs/>
          <w:sz w:val="32"/>
          <w:szCs w:val="32"/>
        </w:rPr>
        <w:t>　　十一、“三公”经费：</w:t>
      </w:r>
      <w:r>
        <w:rPr>
          <w:rFonts w:hint="eastAsia" w:ascii="仿宋" w:hAnsi="仿宋" w:eastAsia="仿宋" w:cs="仿宋"/>
          <w:sz w:val="32"/>
          <w:szCs w:val="32"/>
        </w:rPr>
        <w:t>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pStyle w:val="2"/>
        <w:shd w:val="clear" w:color="auto" w:fill="FFFFFF"/>
        <w:spacing w:before="0" w:beforeAutospacing="0" w:after="0" w:afterAutospacing="0" w:line="580" w:lineRule="exact"/>
        <w:ind w:firstLine="640"/>
        <w:rPr>
          <w:rFonts w:ascii="仿宋" w:hAnsi="仿宋" w:eastAsia="仿宋" w:cs="仿宋"/>
          <w:b/>
          <w:bCs/>
          <w:sz w:val="32"/>
          <w:szCs w:val="32"/>
        </w:rPr>
      </w:pPr>
      <w:r>
        <w:rPr>
          <w:rFonts w:hint="eastAsia" w:ascii="仿宋" w:hAnsi="仿宋" w:eastAsia="仿宋" w:cs="仿宋"/>
          <w:b/>
          <w:bCs/>
          <w:sz w:val="32"/>
          <w:szCs w:val="32"/>
        </w:rPr>
        <w:t>十二、机关运行经费：</w:t>
      </w:r>
      <w:r>
        <w:rPr>
          <w:rFonts w:hint="eastAsia" w:ascii="仿宋" w:hAnsi="仿宋" w:eastAsia="仿宋" w:cs="仿宋"/>
          <w:sz w:val="32"/>
          <w:szCs w:val="32"/>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80" w:lineRule="exact"/>
        <w:rPr>
          <w:rFonts w:ascii="方正大标宋简体" w:hAnsi="方正大标宋简体" w:eastAsia="方正大标宋简体" w:cs="方正大标宋简体"/>
          <w:sz w:val="32"/>
          <w:szCs w:val="32"/>
        </w:rPr>
      </w:pPr>
    </w:p>
    <w:p>
      <w:pPr>
        <w:widowControl/>
        <w:spacing w:line="580" w:lineRule="exact"/>
        <w:rPr>
          <w:rFonts w:ascii="方正大标宋简体" w:hAnsi="方正大标宋简体" w:eastAsia="方正大标宋简体" w:cs="方正大标宋简体"/>
          <w:sz w:val="32"/>
          <w:szCs w:val="32"/>
        </w:rPr>
      </w:pPr>
    </w:p>
    <w:p>
      <w:pPr>
        <w:widowControl/>
        <w:spacing w:line="580" w:lineRule="exact"/>
        <w:rPr>
          <w:rFonts w:ascii="方正大标宋简体" w:hAnsi="方正大标宋简体" w:eastAsia="方正大标宋简体" w:cs="方正大标宋简体"/>
          <w:sz w:val="32"/>
          <w:szCs w:val="32"/>
        </w:rPr>
      </w:pPr>
    </w:p>
    <w:p>
      <w:pPr>
        <w:widowControl/>
        <w:spacing w:line="580" w:lineRule="exact"/>
        <w:rPr>
          <w:rFonts w:ascii="方正大标宋简体" w:hAnsi="方正大标宋简体" w:eastAsia="方正大标宋简体" w:cs="方正大标宋简体"/>
          <w:sz w:val="32"/>
          <w:szCs w:val="32"/>
        </w:rPr>
      </w:pPr>
    </w:p>
    <w:p>
      <w:pPr>
        <w:widowControl/>
        <w:spacing w:line="580" w:lineRule="exact"/>
        <w:rPr>
          <w:rFonts w:ascii="方正大标宋简体" w:hAnsi="方正大标宋简体" w:eastAsia="方正大标宋简体" w:cs="方正大标宋简体"/>
          <w:sz w:val="32"/>
          <w:szCs w:val="32"/>
        </w:rPr>
      </w:pPr>
    </w:p>
    <w:p>
      <w:pPr>
        <w:widowControl/>
        <w:spacing w:line="580" w:lineRule="exact"/>
        <w:rPr>
          <w:rFonts w:ascii="方正大标宋简体" w:hAnsi="方正大标宋简体" w:eastAsia="方正大标宋简体" w:cs="方正大标宋简体"/>
          <w:sz w:val="32"/>
          <w:szCs w:val="32"/>
        </w:rPr>
      </w:pPr>
    </w:p>
    <w:p>
      <w:pPr>
        <w:pStyle w:val="5"/>
        <w:jc w:val="center"/>
        <w:rPr>
          <w:rFonts w:hint="eastAsia"/>
          <w:sz w:val="72"/>
          <w:szCs w:val="72"/>
        </w:rPr>
      </w:pPr>
    </w:p>
    <w:p>
      <w:pPr>
        <w:pStyle w:val="5"/>
        <w:jc w:val="center"/>
        <w:rPr>
          <w:rFonts w:hint="eastAsia"/>
          <w:sz w:val="72"/>
          <w:szCs w:val="72"/>
        </w:rPr>
      </w:pPr>
    </w:p>
    <w:p>
      <w:pPr>
        <w:pStyle w:val="5"/>
        <w:jc w:val="center"/>
        <w:rPr>
          <w:rFonts w:hint="eastAsia"/>
          <w:sz w:val="72"/>
          <w:szCs w:val="72"/>
        </w:rPr>
      </w:pPr>
    </w:p>
    <w:p>
      <w:pPr>
        <w:pStyle w:val="5"/>
        <w:jc w:val="center"/>
        <w:rPr>
          <w:rFonts w:hint="eastAsia"/>
          <w:sz w:val="72"/>
          <w:szCs w:val="72"/>
        </w:rPr>
      </w:pPr>
    </w:p>
    <w:p>
      <w:pPr>
        <w:pStyle w:val="5"/>
        <w:jc w:val="center"/>
        <w:rPr>
          <w:rFonts w:hint="eastAsia"/>
          <w:sz w:val="72"/>
          <w:szCs w:val="72"/>
        </w:rPr>
      </w:pPr>
      <w:r>
        <w:rPr>
          <w:rFonts w:hint="eastAsia"/>
          <w:sz w:val="72"/>
          <w:szCs w:val="72"/>
        </w:rPr>
        <w:t>第五部分</w:t>
      </w: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r>
        <w:rPr>
          <w:rFonts w:hint="eastAsia" w:ascii="黑体" w:eastAsia="黑体" w:cs="黑体"/>
          <w:color w:val="000000"/>
          <w:kern w:val="0"/>
          <w:sz w:val="70"/>
          <w:szCs w:val="70"/>
        </w:rPr>
        <w:t>附件</w:t>
      </w:r>
    </w:p>
    <w:p>
      <w:pPr>
        <w:jc w:val="center"/>
        <w:rPr>
          <w:rFonts w:hint="eastAsia" w:ascii="黑体" w:eastAsia="黑体" w:cs="黑体"/>
          <w:color w:val="000000"/>
          <w:kern w:val="0"/>
          <w:sz w:val="70"/>
          <w:szCs w:val="70"/>
        </w:rPr>
      </w:pPr>
    </w:p>
    <w:p>
      <w:pPr>
        <w:widowControl/>
        <w:shd w:val="clear" w:color="auto" w:fill="FFFFFF"/>
        <w:spacing w:before="100" w:beforeAutospacing="1" w:after="100" w:afterAutospacing="1" w:line="450" w:lineRule="atLeast"/>
        <w:ind w:firstLine="700" w:firstLineChars="250"/>
        <w:jc w:val="left"/>
        <w:rPr>
          <w:rFonts w:ascii="宋体" w:hAnsi="宋体"/>
          <w:sz w:val="28"/>
          <w:szCs w:val="28"/>
        </w:rPr>
      </w:pPr>
      <w:r>
        <w:rPr>
          <w:rFonts w:hint="eastAsia" w:ascii="宋体" w:hAnsi="宋体"/>
          <w:sz w:val="28"/>
          <w:szCs w:val="28"/>
        </w:rPr>
        <w:t>1、2019年度部门整体支出绩效评价报告</w:t>
      </w:r>
    </w:p>
    <w:p>
      <w:pPr>
        <w:widowControl/>
        <w:shd w:val="clear" w:color="auto" w:fill="FFFFFF"/>
        <w:spacing w:before="100" w:beforeAutospacing="1" w:after="100" w:afterAutospacing="1" w:line="450" w:lineRule="atLeast"/>
        <w:ind w:firstLine="700" w:firstLineChars="250"/>
        <w:jc w:val="left"/>
        <w:rPr>
          <w:rFonts w:ascii="宋体" w:hAnsi="宋体"/>
          <w:sz w:val="28"/>
          <w:szCs w:val="28"/>
        </w:rPr>
      </w:pPr>
    </w:p>
    <w:p>
      <w:pPr>
        <w:widowControl/>
        <w:shd w:val="clear" w:color="auto" w:fill="FFFFFF"/>
        <w:spacing w:before="100" w:beforeAutospacing="1" w:after="100" w:afterAutospacing="1" w:line="450" w:lineRule="atLeast"/>
        <w:ind w:firstLine="700" w:firstLineChars="250"/>
        <w:jc w:val="left"/>
        <w:rPr>
          <w:rFonts w:ascii="宋体" w:hAnsi="宋体"/>
          <w:sz w:val="28"/>
          <w:szCs w:val="28"/>
        </w:rPr>
      </w:pPr>
    </w:p>
    <w:p>
      <w:pPr>
        <w:widowControl/>
        <w:shd w:val="clear" w:color="auto" w:fill="FFFFFF"/>
        <w:spacing w:before="100" w:beforeAutospacing="1" w:after="100" w:afterAutospacing="1" w:line="450" w:lineRule="atLeast"/>
        <w:ind w:firstLine="700" w:firstLineChars="250"/>
        <w:jc w:val="left"/>
        <w:rPr>
          <w:rFonts w:ascii="宋体" w:hAnsi="宋体"/>
          <w:sz w:val="28"/>
          <w:szCs w:val="28"/>
        </w:rPr>
      </w:pPr>
    </w:p>
    <w:p>
      <w:pPr>
        <w:widowControl/>
        <w:shd w:val="clear" w:color="auto" w:fill="FFFFFF"/>
        <w:spacing w:before="100" w:beforeAutospacing="1" w:after="100" w:afterAutospacing="1" w:line="450" w:lineRule="atLeast"/>
        <w:ind w:firstLine="700" w:firstLineChars="250"/>
        <w:jc w:val="left"/>
        <w:rPr>
          <w:rFonts w:ascii="宋体" w:hAnsi="宋体"/>
          <w:sz w:val="28"/>
          <w:szCs w:val="28"/>
        </w:rPr>
      </w:pPr>
    </w:p>
    <w:p>
      <w:pPr>
        <w:widowControl/>
        <w:shd w:val="clear" w:color="auto" w:fill="FFFFFF"/>
        <w:spacing w:before="100" w:beforeAutospacing="1" w:after="100" w:afterAutospacing="1" w:line="450" w:lineRule="atLeast"/>
        <w:ind w:firstLine="700" w:firstLineChars="250"/>
        <w:jc w:val="left"/>
        <w:rPr>
          <w:rFonts w:ascii="宋体" w:hAnsi="宋体"/>
          <w:sz w:val="28"/>
          <w:szCs w:val="28"/>
        </w:rPr>
      </w:pPr>
    </w:p>
    <w:p>
      <w:pPr>
        <w:widowControl/>
        <w:shd w:val="clear" w:color="auto" w:fill="FFFFFF"/>
        <w:spacing w:before="100" w:beforeAutospacing="1" w:after="100" w:afterAutospacing="1" w:line="450" w:lineRule="atLeast"/>
        <w:ind w:firstLine="700" w:firstLineChars="250"/>
        <w:jc w:val="left"/>
        <w:rPr>
          <w:rFonts w:ascii="宋体" w:hAnsi="宋体"/>
          <w:sz w:val="28"/>
          <w:szCs w:val="28"/>
        </w:rPr>
      </w:pPr>
    </w:p>
    <w:p>
      <w:pPr>
        <w:widowControl/>
        <w:shd w:val="clear" w:color="auto" w:fill="FFFFFF"/>
        <w:spacing w:before="100" w:beforeAutospacing="1" w:after="100" w:afterAutospacing="1" w:line="450" w:lineRule="atLeast"/>
        <w:ind w:firstLine="700" w:firstLineChars="250"/>
        <w:jc w:val="left"/>
        <w:rPr>
          <w:rFonts w:ascii="宋体" w:hAnsi="宋体"/>
          <w:sz w:val="28"/>
          <w:szCs w:val="28"/>
        </w:rPr>
      </w:pPr>
    </w:p>
    <w:p>
      <w:pPr>
        <w:widowControl/>
        <w:spacing w:line="600" w:lineRule="exact"/>
        <w:jc w:val="center"/>
        <w:rPr>
          <w:rFonts w:ascii="新宋体" w:hAnsi="新宋体" w:eastAsia="新宋体"/>
          <w:sz w:val="44"/>
          <w:szCs w:val="44"/>
        </w:rPr>
      </w:pPr>
      <w:r>
        <w:rPr>
          <w:rFonts w:hint="eastAsia" w:ascii="新宋体" w:hAnsi="新宋体" w:eastAsia="新宋体"/>
          <w:sz w:val="44"/>
          <w:szCs w:val="44"/>
        </w:rPr>
        <w:t>衡南县</w:t>
      </w:r>
      <w:r>
        <w:rPr>
          <w:rFonts w:ascii="新宋体" w:hAnsi="新宋体" w:eastAsia="新宋体"/>
          <w:sz w:val="44"/>
          <w:szCs w:val="44"/>
        </w:rPr>
        <w:t>文化市场综合执法</w:t>
      </w:r>
      <w:r>
        <w:rPr>
          <w:rFonts w:hint="eastAsia" w:ascii="新宋体" w:hAnsi="新宋体" w:eastAsia="新宋体"/>
          <w:sz w:val="44"/>
          <w:szCs w:val="44"/>
        </w:rPr>
        <w:t>大队</w:t>
      </w:r>
    </w:p>
    <w:p>
      <w:pPr>
        <w:widowControl/>
        <w:spacing w:line="600" w:lineRule="exact"/>
        <w:jc w:val="center"/>
        <w:rPr>
          <w:rFonts w:ascii="新宋体" w:hAnsi="新宋体" w:eastAsia="新宋体" w:cs="宋体"/>
          <w:kern w:val="0"/>
          <w:sz w:val="44"/>
          <w:szCs w:val="44"/>
        </w:rPr>
      </w:pPr>
      <w:r>
        <w:rPr>
          <w:rFonts w:ascii="新宋体" w:hAnsi="新宋体" w:eastAsia="新宋体"/>
          <w:sz w:val="44"/>
          <w:szCs w:val="44"/>
        </w:rPr>
        <w:t>201</w:t>
      </w:r>
      <w:r>
        <w:rPr>
          <w:rFonts w:hint="eastAsia" w:ascii="新宋体" w:hAnsi="新宋体" w:eastAsia="新宋体"/>
          <w:sz w:val="44"/>
          <w:szCs w:val="44"/>
        </w:rPr>
        <w:t>9</w:t>
      </w:r>
      <w:r>
        <w:rPr>
          <w:rFonts w:ascii="新宋体" w:hAnsi="新宋体" w:eastAsia="新宋体"/>
          <w:sz w:val="44"/>
          <w:szCs w:val="44"/>
        </w:rPr>
        <w:t>年度</w:t>
      </w:r>
      <w:r>
        <w:rPr>
          <w:rFonts w:hint="eastAsia" w:ascii="新宋体" w:hAnsi="新宋体" w:eastAsia="新宋体"/>
          <w:sz w:val="44"/>
          <w:szCs w:val="44"/>
        </w:rPr>
        <w:t>部门整体支出绩效评价报告</w:t>
      </w:r>
    </w:p>
    <w:p>
      <w:pPr>
        <w:widowControl/>
        <w:spacing w:line="600" w:lineRule="exact"/>
        <w:ind w:firstLine="480"/>
        <w:jc w:val="left"/>
        <w:rPr>
          <w:rFonts w:ascii="新宋体" w:hAnsi="新宋体" w:eastAsia="新宋体" w:cs="宋体"/>
          <w:kern w:val="0"/>
          <w:sz w:val="32"/>
          <w:szCs w:val="32"/>
        </w:rPr>
      </w:pPr>
    </w:p>
    <w:p>
      <w:pPr>
        <w:widowControl/>
        <w:spacing w:line="600" w:lineRule="exact"/>
        <w:ind w:firstLine="480"/>
        <w:jc w:val="left"/>
        <w:rPr>
          <w:rFonts w:ascii="宋体" w:hAnsi="宋体" w:cs="宋体"/>
          <w:b/>
          <w:kern w:val="0"/>
          <w:sz w:val="32"/>
          <w:szCs w:val="32"/>
        </w:rPr>
      </w:pPr>
      <w:r>
        <w:rPr>
          <w:rFonts w:ascii="宋体" w:hAnsi="宋体" w:cs="宋体"/>
          <w:b/>
          <w:kern w:val="0"/>
          <w:sz w:val="32"/>
          <w:szCs w:val="32"/>
        </w:rPr>
        <w:t>一、部门概况</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机构、人员构成</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县文化市场综合执法大队为独立财务核算单位和财政预算拨款单位，机关编制21名。内设办公室、文化娱乐执法股、广播电影电视执法股、新闻出版版权网络执法股、法制股（加挂12318举报中心）5个股室。</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单位主要职责</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1、贯彻执行党和国家有关文化、广播影视、新闻出版、版权管理的方针、政策和法律、法规；拟订全县文化市场行政执法工作的规范性文件、总体规划和年度计划，并组织实施。</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2、受县文体广电新闻出版局委托，负责对全县文化市场实施监督检查，依法行使行政处罚权，以及与行政处罚权相关的行政强制权和行政检查权。</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3、组织开展有关文化、广播电影电视、新闻出版市场管理的法律、法规宣传教育活动。</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4、负责查处违禁出版物和图书、报纸、期刊、音像制品、电子出版物、计算机软件的出版、印刷、复制、发行等活动中的违法行为；负责查处信息网络传播中的违法行为。</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5、负责查处非法设立广播电视机构、非法安装和使用卫星电视广播地面接收设施、非法接收和传送境外卫星电视节目；负责查处广播电影电视制作、播出和经营中的违法行为。</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6、负责查处互联网上网服务营业场所的违法经营行为。</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7、受理出版物鉴定、著作权纠纷的相关工作，查处侵权盗版行为。</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8、负责组织全县性文化市场治理专项行动，查处重大案件。</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9、负责受理并查处对文化市场违法行为的投诉、举报；</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10、承办县委县政府及县文体广电新闻出版局交办的其他事项。</w:t>
      </w:r>
    </w:p>
    <w:p>
      <w:pPr>
        <w:widowControl/>
        <w:spacing w:line="600" w:lineRule="exact"/>
        <w:ind w:firstLine="480"/>
        <w:jc w:val="left"/>
        <w:rPr>
          <w:rFonts w:ascii="宋体" w:hAnsi="宋体" w:cs="宋体"/>
          <w:b/>
          <w:kern w:val="0"/>
          <w:sz w:val="32"/>
          <w:szCs w:val="32"/>
        </w:rPr>
      </w:pPr>
      <w:r>
        <w:rPr>
          <w:rFonts w:ascii="宋体" w:hAnsi="宋体" w:cs="宋体"/>
          <w:kern w:val="0"/>
          <w:sz w:val="32"/>
          <w:szCs w:val="32"/>
        </w:rPr>
        <w:t> </w:t>
      </w:r>
      <w:r>
        <w:rPr>
          <w:rFonts w:ascii="宋体" w:hAnsi="宋体" w:cs="宋体"/>
          <w:b/>
          <w:kern w:val="0"/>
          <w:sz w:val="32"/>
          <w:szCs w:val="32"/>
        </w:rPr>
        <w:t>二、部门财务情况</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2019年度收入总收入277.16万元，均为财政补助收入，其中上年结转15.48万元。支出总计277.16万元，基本支出230.68万元，项目支出31 万元。2018年度财政指标结余15.48万元。</w:t>
      </w:r>
    </w:p>
    <w:p>
      <w:pPr>
        <w:widowControl/>
        <w:spacing w:line="600" w:lineRule="exact"/>
        <w:ind w:firstLine="480" w:firstLineChars="150"/>
        <w:jc w:val="left"/>
        <w:rPr>
          <w:rFonts w:ascii="宋体" w:hAnsi="宋体" w:cs="宋体"/>
          <w:b/>
          <w:kern w:val="0"/>
          <w:sz w:val="32"/>
          <w:szCs w:val="32"/>
        </w:rPr>
      </w:pPr>
      <w:r>
        <w:rPr>
          <w:rFonts w:ascii="宋体" w:hAnsi="宋体" w:cs="宋体"/>
          <w:kern w:val="0"/>
          <w:sz w:val="32"/>
          <w:szCs w:val="32"/>
        </w:rPr>
        <w:t> </w:t>
      </w:r>
      <w:r>
        <w:rPr>
          <w:rFonts w:ascii="宋体" w:hAnsi="宋体" w:cs="宋体"/>
          <w:b/>
          <w:kern w:val="0"/>
          <w:sz w:val="32"/>
          <w:szCs w:val="32"/>
        </w:rPr>
        <w:t>三、部门绩效目标</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（一）部门绩效总目标</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全面加强文化市场监管与执法，打造健康平安文化市场，推动全县文化市场综合执法工作上台阶。</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（二）2019年部门绩效目标</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1、文化市场繁荣、安全、有序。</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2、非法出版物得到有效遏制，守住“三条底线”。</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3、未成年人进入网吧等娱乐场所得到有效控制。</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4、网络歌曲播出安全、内容健康。</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5、严格执行国家财务制度和财经纪律，合理开支、厉行节约，严控“三公经费”和重点费用开支。</w:t>
      </w:r>
    </w:p>
    <w:p>
      <w:pPr>
        <w:widowControl/>
        <w:spacing w:line="600" w:lineRule="exact"/>
        <w:ind w:firstLine="480"/>
        <w:jc w:val="left"/>
        <w:rPr>
          <w:rFonts w:ascii="宋体" w:hAnsi="宋体" w:cs="宋体"/>
          <w:kern w:val="0"/>
          <w:sz w:val="32"/>
          <w:szCs w:val="32"/>
        </w:rPr>
      </w:pPr>
      <w:r>
        <w:rPr>
          <w:rFonts w:ascii="宋体" w:hAnsi="宋体" w:cs="宋体"/>
          <w:kern w:val="0"/>
          <w:sz w:val="32"/>
          <w:szCs w:val="32"/>
        </w:rPr>
        <w:t> </w:t>
      </w:r>
      <w:r>
        <w:rPr>
          <w:rFonts w:ascii="宋体" w:hAnsi="宋体" w:cs="宋体"/>
          <w:b/>
          <w:kern w:val="0"/>
          <w:sz w:val="32"/>
          <w:szCs w:val="32"/>
        </w:rPr>
        <w:t>四、部门绩效评价自评结果</w:t>
      </w:r>
    </w:p>
    <w:p>
      <w:pPr>
        <w:spacing w:line="560" w:lineRule="exact"/>
        <w:ind w:firstLine="537" w:firstLineChars="168"/>
        <w:rPr>
          <w:rFonts w:hint="eastAsia" w:ascii="仿宋_GB2312" w:eastAsia="仿宋_GB2312"/>
          <w:sz w:val="32"/>
          <w:szCs w:val="32"/>
        </w:rPr>
      </w:pPr>
      <w:r>
        <w:rPr>
          <w:rFonts w:hint="eastAsia" w:ascii="仿宋_GB2312" w:eastAsia="仿宋_GB2312"/>
          <w:sz w:val="32"/>
          <w:szCs w:val="32"/>
        </w:rPr>
        <w:t>部门整体支出绩效为“良好”。总体来说，市文化市场综合执法大队的各项工作推进良好，市场监管还有待加强。</w:t>
      </w:r>
    </w:p>
    <w:p>
      <w:pPr>
        <w:spacing w:line="560" w:lineRule="exact"/>
        <w:ind w:firstLine="537" w:firstLineChars="168"/>
        <w:rPr>
          <w:rFonts w:hint="eastAsia" w:ascii="仿宋_GB2312" w:eastAsia="仿宋_GB2312"/>
          <w:sz w:val="32"/>
          <w:szCs w:val="32"/>
        </w:rPr>
      </w:pPr>
      <w:r>
        <w:rPr>
          <w:rFonts w:hint="eastAsia" w:ascii="仿宋_GB2312" w:eastAsia="仿宋_GB2312"/>
          <w:sz w:val="32"/>
          <w:szCs w:val="32"/>
        </w:rPr>
        <w:t> </w:t>
      </w:r>
      <w:r>
        <w:rPr>
          <w:rFonts w:ascii="宋体" w:hAnsi="宋体" w:cs="宋体"/>
          <w:b/>
          <w:kern w:val="0"/>
          <w:sz w:val="32"/>
          <w:szCs w:val="32"/>
        </w:rPr>
        <w:t>五、部门主要绩效</w:t>
      </w:r>
    </w:p>
    <w:p>
      <w:pPr>
        <w:spacing w:line="560" w:lineRule="exact"/>
        <w:ind w:firstLine="537" w:firstLineChars="168"/>
        <w:rPr>
          <w:rFonts w:hint="eastAsia" w:ascii="仿宋_GB2312" w:eastAsia="仿宋_GB2312"/>
          <w:sz w:val="32"/>
          <w:szCs w:val="32"/>
        </w:rPr>
      </w:pPr>
      <w:r>
        <w:rPr>
          <w:rFonts w:hint="eastAsia" w:ascii="仿宋_GB2312" w:eastAsia="仿宋_GB2312"/>
          <w:sz w:val="32"/>
          <w:szCs w:val="32"/>
        </w:rPr>
        <w:t>为管好市场，我队多措并举，切实加强市场监管，以确保市场净化，政治安全，大局稳定。全年实现了“零行政复议、零行政诉讼、零安全事故，零执法违纪”的工作目标，取得了良好的社会效应。</w:t>
      </w:r>
    </w:p>
    <w:p>
      <w:pPr>
        <w:pStyle w:val="2"/>
        <w:snapToGrid w:val="0"/>
        <w:spacing w:before="0" w:beforeAutospacing="0" w:after="0" w:afterAutospacing="0" w:line="560" w:lineRule="exact"/>
        <w:ind w:firstLine="641"/>
        <w:rPr>
          <w:rFonts w:ascii="仿宋_GB2312" w:eastAsia="仿宋_GB2312"/>
          <w:sz w:val="32"/>
          <w:szCs w:val="32"/>
        </w:rPr>
      </w:pPr>
      <w:r>
        <w:rPr>
          <w:rFonts w:hint="eastAsia" w:ascii="楷体_GB2312" w:eastAsia="楷体_GB2312"/>
          <w:b/>
          <w:sz w:val="32"/>
          <w:szCs w:val="32"/>
        </w:rPr>
        <w:t>一、监管多措并举。</w:t>
      </w:r>
      <w:r>
        <w:rPr>
          <w:rFonts w:hint="eastAsia" w:ascii="仿宋_GB2312" w:eastAsia="仿宋_GB2312"/>
          <w:sz w:val="32"/>
          <w:szCs w:val="32"/>
        </w:rPr>
        <w:t>我们采取广宣传、常检查、重整治、严执法等方式方法，多措并举。</w:t>
      </w:r>
      <w:r>
        <w:rPr>
          <w:rFonts w:ascii="仿宋_GB2312" w:eastAsia="仿宋_GB2312"/>
          <w:sz w:val="32"/>
          <w:szCs w:val="32"/>
        </w:rPr>
        <w:t>一是</w:t>
      </w:r>
      <w:r>
        <w:rPr>
          <w:rFonts w:hint="eastAsia" w:ascii="仿宋_GB2312" w:eastAsia="仿宋_GB2312"/>
          <w:sz w:val="32"/>
          <w:szCs w:val="32"/>
        </w:rPr>
        <w:t>加大宣传力度。通过发放法律法规宣传册、“未成年人禁入”警示标志、出动执法宣传车、悬挂张贴宣传横幅标语等加大宣传力度，</w:t>
      </w:r>
      <w:r>
        <w:rPr>
          <w:rFonts w:ascii="仿宋_GB2312" w:eastAsia="仿宋_GB2312"/>
          <w:sz w:val="32"/>
          <w:szCs w:val="32"/>
        </w:rPr>
        <w:t>强化</w:t>
      </w:r>
      <w:r>
        <w:rPr>
          <w:rFonts w:hint="eastAsia" w:ascii="仿宋_GB2312" w:eastAsia="仿宋_GB2312"/>
          <w:sz w:val="32"/>
          <w:szCs w:val="32"/>
        </w:rPr>
        <w:t>经营业主</w:t>
      </w:r>
      <w:r>
        <w:rPr>
          <w:rFonts w:ascii="仿宋_GB2312" w:eastAsia="仿宋_GB2312"/>
          <w:sz w:val="32"/>
          <w:szCs w:val="32"/>
        </w:rPr>
        <w:t>遵纪守法</w:t>
      </w:r>
      <w:r>
        <w:rPr>
          <w:rFonts w:hint="eastAsia" w:ascii="仿宋_GB2312" w:eastAsia="仿宋_GB2312"/>
          <w:sz w:val="32"/>
          <w:szCs w:val="32"/>
        </w:rPr>
        <w:t>和行业自律</w:t>
      </w:r>
      <w:r>
        <w:rPr>
          <w:rFonts w:ascii="仿宋_GB2312" w:eastAsia="仿宋_GB2312"/>
          <w:sz w:val="32"/>
          <w:szCs w:val="32"/>
        </w:rPr>
        <w:t>意识</w:t>
      </w:r>
      <w:r>
        <w:rPr>
          <w:rFonts w:hint="eastAsia" w:ascii="仿宋_GB2312" w:eastAsia="仿宋_GB2312"/>
          <w:sz w:val="32"/>
          <w:szCs w:val="32"/>
        </w:rPr>
        <w:t>，促使业主守法经营，安全经营，讲社会公德，对社会负责，此外，还充分通过电视媒体、报纸、政府门户网站、衡南手机报等广泛宣传单位的职能、工作动态，营造了良好氛围，不断提高文化执法的影响力；二是</w:t>
      </w:r>
      <w:r>
        <w:rPr>
          <w:rFonts w:hint="eastAsia" w:ascii="仿宋_GB2312" w:eastAsia="仿宋_GB2312" w:cs="Times New Roman"/>
          <w:sz w:val="32"/>
          <w:szCs w:val="32"/>
        </w:rPr>
        <w:t>狠抓专项整治。以专项整治</w:t>
      </w:r>
      <w:r>
        <w:rPr>
          <w:rFonts w:hint="eastAsia" w:ascii="仿宋_GB2312" w:eastAsia="仿宋_GB2312" w:cs="仿宋_GB2312"/>
          <w:sz w:val="32"/>
          <w:szCs w:val="32"/>
        </w:rPr>
        <w:t>行动为抓手，深入开展专项行动，全年共开展“护蕾”“百日”“清源”、“净网”、“秋风”“利剑”及安全生产等专项行动7次。通过密集的检查和查办案件，严厉打击违法犯罪行为，震慑不法分子，不断规范经营行为，扩大文化综合执法影响。</w:t>
      </w:r>
      <w:r>
        <w:rPr>
          <w:rFonts w:hint="eastAsia" w:ascii="仿宋_GB2312" w:eastAsia="仿宋_GB2312"/>
          <w:sz w:val="32"/>
          <w:szCs w:val="32"/>
        </w:rPr>
        <w:t>三是强化日常监管。定期或不定期经常性开展对市场的日常巡查、错时检查、突击抽查、技术监控、零点行动、典型案件曝光等措施切实加强监管。在学校中午、下午、晚上放学及节假日等重点时段不间断反复查，做到发现一起，从严查处一起，让违规经营行为无处遁形。四</w:t>
      </w:r>
      <w:r>
        <w:rPr>
          <w:rFonts w:ascii="仿宋_GB2312" w:eastAsia="仿宋_GB2312"/>
          <w:sz w:val="32"/>
          <w:szCs w:val="32"/>
        </w:rPr>
        <w:t>是加大打击</w:t>
      </w:r>
      <w:r>
        <w:rPr>
          <w:rFonts w:hint="eastAsia" w:ascii="仿宋_GB2312" w:eastAsia="仿宋_GB2312"/>
          <w:sz w:val="32"/>
          <w:szCs w:val="32"/>
        </w:rPr>
        <w:t>处罚</w:t>
      </w:r>
      <w:r>
        <w:rPr>
          <w:rFonts w:ascii="仿宋_GB2312" w:eastAsia="仿宋_GB2312"/>
          <w:sz w:val="32"/>
          <w:szCs w:val="32"/>
        </w:rPr>
        <w:t>力度</w:t>
      </w:r>
      <w:r>
        <w:rPr>
          <w:rFonts w:hint="eastAsia" w:ascii="仿宋_GB2312" w:eastAsia="仿宋_GB2312"/>
          <w:sz w:val="32"/>
          <w:szCs w:val="32"/>
        </w:rPr>
        <w:t>。按照上级“取缔一批、停业一批、吊销一批”的严格执法要求，</w:t>
      </w:r>
      <w:r>
        <w:rPr>
          <w:rFonts w:ascii="仿宋_GB2312" w:eastAsia="仿宋_GB2312"/>
          <w:sz w:val="32"/>
          <w:szCs w:val="32"/>
        </w:rPr>
        <w:t>对那些</w:t>
      </w:r>
      <w:r>
        <w:rPr>
          <w:rFonts w:hint="eastAsia" w:ascii="仿宋_GB2312" w:eastAsia="仿宋_GB2312"/>
          <w:sz w:val="32"/>
          <w:szCs w:val="32"/>
        </w:rPr>
        <w:t>屡教不改</w:t>
      </w:r>
      <w:r>
        <w:rPr>
          <w:rFonts w:ascii="仿宋_GB2312" w:eastAsia="仿宋_GB2312"/>
          <w:sz w:val="32"/>
          <w:szCs w:val="32"/>
        </w:rPr>
        <w:t>胆大妄为，无视国家法律法规依然接纳未成年人</w:t>
      </w:r>
      <w:r>
        <w:rPr>
          <w:rFonts w:hint="eastAsia" w:ascii="仿宋_GB2312" w:eastAsia="仿宋_GB2312"/>
          <w:sz w:val="32"/>
          <w:szCs w:val="32"/>
        </w:rPr>
        <w:t>的</w:t>
      </w:r>
      <w:r>
        <w:rPr>
          <w:rFonts w:ascii="仿宋_GB2312" w:eastAsia="仿宋_GB2312"/>
          <w:sz w:val="32"/>
          <w:szCs w:val="32"/>
        </w:rPr>
        <w:t>网吧或留宿的业主，</w:t>
      </w:r>
      <w:r>
        <w:rPr>
          <w:rFonts w:hint="eastAsia" w:ascii="仿宋_GB2312" w:eastAsia="仿宋_GB2312"/>
          <w:sz w:val="32"/>
          <w:szCs w:val="32"/>
        </w:rPr>
        <w:t>依法依规</w:t>
      </w:r>
      <w:r>
        <w:rPr>
          <w:rFonts w:ascii="仿宋_GB2312" w:eastAsia="仿宋_GB2312"/>
          <w:sz w:val="32"/>
          <w:szCs w:val="32"/>
        </w:rPr>
        <w:t>严</w:t>
      </w:r>
      <w:r>
        <w:rPr>
          <w:rFonts w:hint="eastAsia" w:ascii="仿宋_GB2312" w:eastAsia="仿宋_GB2312"/>
          <w:sz w:val="32"/>
          <w:szCs w:val="32"/>
        </w:rPr>
        <w:t>历</w:t>
      </w:r>
      <w:r>
        <w:rPr>
          <w:rFonts w:ascii="仿宋_GB2312" w:eastAsia="仿宋_GB2312"/>
          <w:sz w:val="32"/>
          <w:szCs w:val="32"/>
        </w:rPr>
        <w:t>打</w:t>
      </w:r>
      <w:r>
        <w:rPr>
          <w:rFonts w:hint="eastAsia" w:ascii="仿宋_GB2312" w:eastAsia="仿宋_GB2312"/>
          <w:sz w:val="32"/>
          <w:szCs w:val="32"/>
        </w:rPr>
        <w:t>击，绝不心慈手软。</w:t>
      </w:r>
    </w:p>
    <w:p>
      <w:pPr>
        <w:pStyle w:val="2"/>
        <w:snapToGrid w:val="0"/>
        <w:spacing w:before="0" w:beforeAutospacing="0" w:after="0" w:afterAutospacing="0" w:line="560" w:lineRule="exact"/>
        <w:ind w:firstLine="641"/>
        <w:rPr>
          <w:rFonts w:ascii="仿宋_GB2312" w:eastAsia="仿宋_GB2312"/>
          <w:sz w:val="32"/>
          <w:szCs w:val="32"/>
        </w:rPr>
      </w:pPr>
      <w:r>
        <w:rPr>
          <w:rFonts w:hint="eastAsia" w:ascii="楷体_GB2312" w:eastAsia="楷体_GB2312"/>
          <w:b/>
          <w:sz w:val="32"/>
          <w:szCs w:val="32"/>
        </w:rPr>
        <w:t>二、市场平安有序。</w:t>
      </w:r>
      <w:r>
        <w:rPr>
          <w:rFonts w:hint="eastAsia" w:ascii="仿宋_GB2312" w:eastAsia="仿宋_GB2312" w:cs="仿宋_GB2312"/>
          <w:color w:val="000000"/>
          <w:sz w:val="32"/>
          <w:szCs w:val="32"/>
        </w:rPr>
        <w:t>通过</w:t>
      </w:r>
      <w:r>
        <w:rPr>
          <w:rFonts w:hint="eastAsia" w:ascii="仿宋_GB2312" w:eastAsia="仿宋_GB2312"/>
          <w:sz w:val="32"/>
          <w:szCs w:val="32"/>
        </w:rPr>
        <w:t>畅通12318举报电话</w:t>
      </w:r>
      <w:r>
        <w:rPr>
          <w:rFonts w:hint="eastAsia" w:ascii="仿宋_GB2312" w:eastAsia="仿宋_GB2312" w:cs="仿宋_GB2312"/>
          <w:color w:val="000000"/>
          <w:sz w:val="32"/>
          <w:szCs w:val="32"/>
        </w:rPr>
        <w:t>，有效对接12345政府热线等措施切实加强监管。特别是校园周边文化市场，我们在学校中午、下午、晚上放学及节假日等重点时段，以及重点乡镇、重点领域、重点地段不间断反复查，地趟式检查，做到发现一起，从严查处一起，让违规经营行为无处遁形。全年</w:t>
      </w:r>
      <w:r>
        <w:rPr>
          <w:rFonts w:hint="eastAsia" w:ascii="仿宋_GB2312" w:eastAsia="仿宋_GB2312"/>
          <w:sz w:val="32"/>
          <w:szCs w:val="32"/>
        </w:rPr>
        <w:t>出动执法检查车辆435台次，执法人员1250余人次，检查经营场所390家次，查处违法经营行为135起，责令整改85家次，立案107起，结案107起，停业整顿5家（次），办理群众举报案件20起，12345政府热线举报案件26起。收缴非法出版物15000余册（份），收缴违规电路板6块，收缴非法卫星电视接收设施20余套。</w:t>
      </w:r>
    </w:p>
    <w:p>
      <w:pPr>
        <w:widowControl/>
        <w:spacing w:line="560" w:lineRule="exact"/>
        <w:ind w:firstLine="643" w:firstLineChars="200"/>
        <w:rPr>
          <w:rFonts w:ascii="仿宋_GB2312" w:hAnsi="宋体" w:eastAsia="仿宋_GB2312" w:cs="宋体"/>
          <w:kern w:val="0"/>
          <w:sz w:val="32"/>
          <w:szCs w:val="32"/>
        </w:rPr>
      </w:pPr>
      <w:r>
        <w:rPr>
          <w:rFonts w:hint="eastAsia" w:ascii="楷体_GB2312" w:eastAsia="楷体_GB2312" w:cs="仿宋_GB2312"/>
          <w:b/>
          <w:sz w:val="32"/>
          <w:szCs w:val="32"/>
        </w:rPr>
        <w:t>三、社会反响良好。</w:t>
      </w:r>
      <w:r>
        <w:rPr>
          <w:rFonts w:hint="eastAsia" w:ascii="仿宋_GB2312" w:hAnsi="宋体" w:eastAsia="仿宋_GB2312" w:cs="宋体"/>
          <w:kern w:val="0"/>
          <w:sz w:val="32"/>
          <w:szCs w:val="32"/>
        </w:rPr>
        <w:t>由于我们执法人员经常巡查市场执法，下基层多，接触群众机会多，常与举报人见面，虚心听取他们对我们工作的意见建议，他们对我们的举报畅通，举报查处及时，反映迅速，有举报必查处，有举报必回复的工作作风赞赏有加。未成年人上网虽时有反弹，但通过我们扎实的工作，</w:t>
      </w:r>
      <w:r>
        <w:rPr>
          <w:rFonts w:hint="eastAsia" w:ascii="仿宋_GB2312" w:hAnsi="宋体" w:eastAsia="仿宋_GB2312" w:cs="宋体"/>
          <w:color w:val="000000"/>
          <w:kern w:val="0"/>
          <w:sz w:val="32"/>
          <w:szCs w:val="32"/>
        </w:rPr>
        <w:t>网吧专项整治取得了阶段性成果，在全社会形成了齐抓共管的有效态势和良好舆论氛围，</w:t>
      </w:r>
      <w:r>
        <w:rPr>
          <w:rFonts w:hint="eastAsia" w:ascii="仿宋_GB2312" w:hAnsi="宋体" w:eastAsia="仿宋_GB2312" w:cs="宋体"/>
          <w:kern w:val="0"/>
          <w:sz w:val="32"/>
          <w:szCs w:val="32"/>
        </w:rPr>
        <w:t>未成年人上网现象相比以前得到有效遏制。</w:t>
      </w:r>
    </w:p>
    <w:p>
      <w:pPr>
        <w:widowControl/>
        <w:spacing w:line="600" w:lineRule="exact"/>
        <w:ind w:firstLine="480"/>
        <w:jc w:val="left"/>
        <w:rPr>
          <w:rFonts w:ascii="宋体" w:hAnsi="宋体" w:cs="宋体"/>
          <w:b/>
          <w:kern w:val="0"/>
          <w:sz w:val="32"/>
          <w:szCs w:val="32"/>
        </w:rPr>
      </w:pPr>
      <w:r>
        <w:rPr>
          <w:rFonts w:ascii="宋体" w:hAnsi="宋体" w:cs="宋体"/>
          <w:b/>
          <w:kern w:val="0"/>
          <w:sz w:val="32"/>
          <w:szCs w:val="32"/>
        </w:rPr>
        <w:t>六、存在的问题</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单位内部绩效评价机制有待进一步完善。现阶段单位内部财政支出绩效评价工作处于起步阶段，在评价管理方法中缺乏一定的操作性，在一定程度上制约了单位财政支出绩效评估成效的发挥。</w:t>
      </w:r>
    </w:p>
    <w:p>
      <w:pPr>
        <w:widowControl/>
        <w:spacing w:line="600" w:lineRule="exact"/>
        <w:ind w:firstLine="480"/>
        <w:jc w:val="left"/>
        <w:rPr>
          <w:rFonts w:ascii="宋体" w:hAnsi="宋体" w:cs="宋体"/>
          <w:b/>
          <w:kern w:val="0"/>
          <w:sz w:val="32"/>
          <w:szCs w:val="32"/>
        </w:rPr>
      </w:pPr>
      <w:r>
        <w:rPr>
          <w:rFonts w:ascii="宋体" w:hAnsi="宋体" w:cs="宋体"/>
          <w:b/>
          <w:kern w:val="0"/>
          <w:sz w:val="32"/>
          <w:szCs w:val="32"/>
        </w:rPr>
        <w:t>七、整改措施</w:t>
      </w:r>
    </w:p>
    <w:p>
      <w:pPr>
        <w:widowControl/>
        <w:spacing w:line="600" w:lineRule="exac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1、完善单位内部绩效评价机制，提高预算可行性。合理安排资金，实现资源公平配置，顺利履行文化市场监管职能。组织财务人员学习会计及预算法律，提高财务人员的服务质量，提高整体业务素质。</w:t>
      </w:r>
    </w:p>
    <w:p>
      <w:pPr>
        <w:widowControl/>
        <w:spacing w:line="600" w:lineRule="exact"/>
        <w:ind w:firstLine="480"/>
        <w:jc w:val="left"/>
        <w:rPr>
          <w:rFonts w:ascii="宋体" w:hAnsi="宋体"/>
          <w:sz w:val="32"/>
          <w:szCs w:val="32"/>
        </w:rPr>
      </w:pPr>
      <w:r>
        <w:rPr>
          <w:rFonts w:hint="eastAsia" w:ascii="仿宋_GB2312" w:hAnsi="宋体" w:eastAsia="仿宋_GB2312" w:cs="宋体"/>
          <w:kern w:val="0"/>
          <w:sz w:val="32"/>
          <w:szCs w:val="32"/>
        </w:rPr>
        <w:t>2、加强预算执行管理，提高财政资金使用效益。按计划执行批复的预算，防止超标准执行，严禁更改专项资金的使用金额和途径。进一步控制“三公”经费和重点费用开支，规范财政支出规模。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altName w:val="宋体"/>
    <w:panose1 w:val="00000000000000000000"/>
    <w:charset w:val="86"/>
    <w:family w:val="auto"/>
    <w:pitch w:val="default"/>
    <w:sig w:usb0="00000000" w:usb1="00000000" w:usb2="00000000" w:usb3="00000000" w:csb0="0004009F" w:csb1="DFD70000"/>
  </w:font>
  <w:font w:name="方正大标宋简体">
    <w:altName w:val="方正粗黑宋简体"/>
    <w:panose1 w:val="00000000000000000000"/>
    <w:charset w:val="86"/>
    <w:family w:val="auto"/>
    <w:pitch w:val="default"/>
    <w:sig w:usb0="00000000" w:usb1="0000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D5C80D"/>
    <w:multiLevelType w:val="singleLevel"/>
    <w:tmpl w:val="93D5C80D"/>
    <w:lvl w:ilvl="0" w:tentative="0">
      <w:start w:val="9"/>
      <w:numFmt w:val="chineseCounting"/>
      <w:suff w:val="nothing"/>
      <w:lvlText w:val="%1、"/>
      <w:lvlJc w:val="left"/>
      <w:pPr>
        <w:ind w:left="64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506A8"/>
    <w:rsid w:val="000601A6"/>
    <w:rsid w:val="000C3F65"/>
    <w:rsid w:val="00232A9A"/>
    <w:rsid w:val="002517A1"/>
    <w:rsid w:val="002D4CF5"/>
    <w:rsid w:val="00584EB4"/>
    <w:rsid w:val="00667973"/>
    <w:rsid w:val="00834B1F"/>
    <w:rsid w:val="008E5A09"/>
    <w:rsid w:val="008E7237"/>
    <w:rsid w:val="00940044"/>
    <w:rsid w:val="009506A8"/>
    <w:rsid w:val="00BD0952"/>
    <w:rsid w:val="00C321EC"/>
    <w:rsid w:val="00CA0499"/>
    <w:rsid w:val="00F67CA4"/>
    <w:rsid w:val="00FF195D"/>
    <w:rsid w:val="66A30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uiPriority w:val="0"/>
    <w:pPr>
      <w:widowControl/>
      <w:spacing w:before="100" w:beforeAutospacing="1" w:after="100" w:afterAutospacing="1"/>
      <w:jc w:val="left"/>
    </w:pPr>
    <w:rPr>
      <w:rFonts w:ascii="宋体" w:hAnsi="宋体" w:cs="宋体"/>
      <w:kern w:val="0"/>
      <w:sz w:val="24"/>
      <w:szCs w:val="24"/>
    </w:rPr>
  </w:style>
  <w:style w:type="paragraph" w:customStyle="1" w:styleId="5">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913</Words>
  <Characters>5207</Characters>
  <Lines>43</Lines>
  <Paragraphs>12</Paragraphs>
  <TotalTime>2</TotalTime>
  <ScaleCrop>false</ScaleCrop>
  <LinksUpToDate>false</LinksUpToDate>
  <CharactersWithSpaces>6108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2020-10-06T04:23:00Z</dcterms:created>
  <dc:creator>Administrator</dc:creator>
  <cp:lastModifiedBy>冰之剑</cp:lastModifiedBy>
  <cp:lastPrinted>2020-10-09T02:14:00Z</cp:lastPrinted>
  <dcterms:modified xsi:type="dcterms:W3CDTF">2021-06-23T12:36:07Z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677E13605BC541E4ABA3355DFD6FABDA</vt:lpwstr>
  </property>
</Properties>
</file>