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sz w:val="84"/>
          <w:szCs w:val="84"/>
        </w:rPr>
      </w:pPr>
      <w:r>
        <w:rPr>
          <w:rFonts w:hint="eastAsia"/>
          <w:sz w:val="84"/>
          <w:szCs w:val="84"/>
        </w:rPr>
        <w:t>2019年度</w:t>
      </w:r>
    </w:p>
    <w:p>
      <w:pPr>
        <w:pStyle w:val="10"/>
        <w:jc w:val="center"/>
        <w:rPr>
          <w:sz w:val="84"/>
          <w:szCs w:val="84"/>
        </w:rPr>
      </w:pPr>
      <w:r>
        <w:rPr>
          <w:rFonts w:hint="eastAsia"/>
          <w:sz w:val="84"/>
          <w:szCs w:val="84"/>
        </w:rPr>
        <w:t>衡南县花鼓戏剧团部门决算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第一部分XX单位概况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2019</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2019</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、预算绩效情况说明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w:t>
      </w:r>
      <w:r>
        <w:rPr>
          <w:rFonts w:ascii="仿宋_GB2312" w:hAnsi="仿宋_GB2312" w:cs="仿宋_GB2312"/>
          <w:color w:val="000000"/>
          <w:kern w:val="0"/>
          <w:sz w:val="28"/>
          <w:szCs w:val="28"/>
        </w:rPr>
        <w:t>、其他重要事项情况说明</w:t>
      </w:r>
    </w:p>
    <w:p>
      <w:pPr>
        <w:autoSpaceDE w:val="0"/>
        <w:autoSpaceDN w:val="0"/>
        <w:adjustRightInd w:val="0"/>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第四部分名词解释</w:t>
      </w:r>
    </w:p>
    <w:p>
      <w:pPr>
        <w:spacing w:line="520" w:lineRule="exact"/>
        <w:jc w:val="left"/>
        <w:rPr>
          <w:rFonts w:ascii="黑体" w:hAnsi="黑体" w:eastAsia="黑体" w:cs="仿宋_GB2312"/>
          <w:b/>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0"/>
        <w:jc w:val="center"/>
        <w:rPr>
          <w:sz w:val="84"/>
          <w:szCs w:val="84"/>
        </w:rPr>
      </w:pPr>
      <w:r>
        <w:rPr>
          <w:rFonts w:hint="eastAsia"/>
          <w:sz w:val="84"/>
          <w:szCs w:val="84"/>
        </w:rPr>
        <w:t>第一部分</w:t>
      </w:r>
      <w:r>
        <w:rPr>
          <w:sz w:val="84"/>
          <w:szCs w:val="84"/>
        </w:rPr>
        <w:t xml:space="preserve"> </w:t>
      </w:r>
    </w:p>
    <w:p>
      <w:pPr>
        <w:pStyle w:val="10"/>
        <w:jc w:val="center"/>
        <w:rPr>
          <w:sz w:val="84"/>
          <w:szCs w:val="84"/>
        </w:rPr>
      </w:pPr>
    </w:p>
    <w:p>
      <w:pPr>
        <w:pStyle w:val="10"/>
        <w:jc w:val="center"/>
        <w:rPr>
          <w:sz w:val="52"/>
          <w:szCs w:val="52"/>
        </w:rPr>
      </w:pPr>
      <w:r>
        <w:rPr>
          <w:rFonts w:hint="eastAsia"/>
          <w:sz w:val="52"/>
          <w:szCs w:val="52"/>
        </w:rPr>
        <w:t>衡南县花鼓戏剧团概况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spacing w:line="7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(一)部门职能职责</w:t>
      </w:r>
      <w:r>
        <w:rPr>
          <w:rFonts w:hint="eastAsia" w:ascii="黑体" w:eastAsia="黑体"/>
          <w:sz w:val="32"/>
          <w:szCs w:val="32"/>
        </w:rPr>
        <w:t xml:space="preserve">  </w:t>
      </w:r>
    </w:p>
    <w:p>
      <w:pPr>
        <w:spacing w:line="560" w:lineRule="exact"/>
        <w:ind w:firstLine="645"/>
        <w:rPr>
          <w:rFonts w:ascii="仿宋_GB2312" w:eastAsia="仿宋_GB2312"/>
          <w:sz w:val="32"/>
          <w:szCs w:val="32"/>
        </w:rPr>
      </w:pPr>
      <w:r>
        <w:rPr>
          <w:rFonts w:hint="eastAsia" w:ascii="仿宋_GB2312" w:eastAsia="仿宋_GB2312"/>
          <w:sz w:val="32"/>
          <w:szCs w:val="32"/>
        </w:rPr>
        <w:t xml:space="preserve">1、组织贯彻落实国家、省、市有关戏曲保护和传承的法律法规和政策，并研究制订全县戏曲保护事业的发展规划和实施方案。    </w:t>
      </w:r>
    </w:p>
    <w:p>
      <w:pPr>
        <w:spacing w:line="560" w:lineRule="exact"/>
        <w:ind w:firstLine="645"/>
        <w:rPr>
          <w:rFonts w:ascii="仿宋_GB2312" w:eastAsia="仿宋_GB2312"/>
          <w:sz w:val="32"/>
          <w:szCs w:val="32"/>
        </w:rPr>
      </w:pPr>
      <w:r>
        <w:rPr>
          <w:rFonts w:hint="eastAsia" w:ascii="仿宋_GB2312" w:eastAsia="仿宋_GB2312"/>
          <w:sz w:val="32"/>
          <w:szCs w:val="32"/>
        </w:rPr>
        <w:t xml:space="preserve">2、负责全县戏曲保护、管理、传承、发掘、研究、宣传等业务工作。    </w:t>
      </w:r>
    </w:p>
    <w:p>
      <w:pPr>
        <w:spacing w:line="560" w:lineRule="exact"/>
        <w:ind w:firstLine="645"/>
        <w:rPr>
          <w:rFonts w:ascii="仿宋_GB2312" w:eastAsia="仿宋_GB2312"/>
          <w:sz w:val="32"/>
          <w:szCs w:val="32"/>
        </w:rPr>
      </w:pPr>
      <w:r>
        <w:rPr>
          <w:rFonts w:hint="eastAsia" w:ascii="仿宋_GB2312" w:eastAsia="仿宋_GB2312"/>
          <w:sz w:val="32"/>
          <w:szCs w:val="32"/>
        </w:rPr>
        <w:t xml:space="preserve">3、负责申报、配合国家、省、市戏曲部门的戏曲钻探、保护传承等工作。    </w:t>
      </w:r>
    </w:p>
    <w:p>
      <w:pPr>
        <w:widowControl/>
        <w:shd w:val="clear" w:color="auto" w:fill="FFFFFF"/>
        <w:wordWrap w:val="0"/>
        <w:spacing w:line="420" w:lineRule="atLeast"/>
        <w:ind w:left="210" w:leftChars="100" w:firstLine="450" w:firstLineChars="150"/>
        <w:jc w:val="left"/>
        <w:rPr>
          <w:rFonts w:ascii="仿宋_GB2312" w:eastAsia="仿宋_GB2312"/>
          <w:sz w:val="30"/>
          <w:szCs w:val="30"/>
        </w:rPr>
      </w:pPr>
      <w:r>
        <w:rPr>
          <w:rFonts w:hint="eastAsia" w:ascii="仿宋_GB2312" w:eastAsia="仿宋_GB2312"/>
          <w:sz w:val="30"/>
          <w:szCs w:val="30"/>
        </w:rPr>
        <w:t>4．</w:t>
      </w:r>
      <w:r>
        <w:rPr>
          <w:rFonts w:hint="eastAsia" w:ascii="Tahoma" w:hAnsi="Tahoma" w:cs="Tahoma"/>
          <w:color w:val="333333"/>
          <w:kern w:val="0"/>
          <w:sz w:val="30"/>
          <w:szCs w:val="30"/>
        </w:rPr>
        <w:t>根据《湖南省文化厅关于下达2019年“送戏下乡、演艺惠民”演出场次的通知》结合我团实际情况，特制方案。</w:t>
      </w:r>
      <w:r>
        <w:rPr>
          <w:rFonts w:hint="eastAsia" w:ascii="仿宋_GB2312" w:eastAsia="仿宋_GB2312"/>
          <w:sz w:val="30"/>
          <w:szCs w:val="30"/>
        </w:rPr>
        <w:t>负责全县2019年开展“送戏下乡.惠民演出“工作，为</w:t>
      </w:r>
      <w:r>
        <w:rPr>
          <w:rFonts w:hint="eastAsia" w:ascii="Tahoma" w:hAnsi="Tahoma" w:cs="Tahoma"/>
          <w:color w:val="333333"/>
          <w:kern w:val="0"/>
          <w:sz w:val="30"/>
          <w:szCs w:val="30"/>
        </w:rPr>
        <w:t>全县花鼓戏戏曲送戏演出任务为100场。</w:t>
      </w:r>
      <w:r>
        <w:rPr>
          <w:rFonts w:ascii="Tahoma" w:hAnsi="Tahoma" w:cs="Tahoma"/>
          <w:color w:val="333333"/>
          <w:kern w:val="0"/>
          <w:sz w:val="30"/>
          <w:szCs w:val="30"/>
        </w:rPr>
        <w:t>以改革创新、科学实践为动力，立足本地，面向基层，为宏扬</w:t>
      </w:r>
      <w:r>
        <w:rPr>
          <w:rFonts w:hint="eastAsia" w:ascii="Tahoma" w:hAnsi="Tahoma" w:cs="Tahoma"/>
          <w:color w:val="333333"/>
          <w:kern w:val="0"/>
          <w:sz w:val="30"/>
          <w:szCs w:val="30"/>
        </w:rPr>
        <w:t>花鼓剧目</w:t>
      </w:r>
      <w:r>
        <w:rPr>
          <w:rFonts w:ascii="Tahoma" w:hAnsi="Tahoma" w:cs="Tahoma"/>
          <w:color w:val="333333"/>
          <w:kern w:val="0"/>
          <w:sz w:val="30"/>
          <w:szCs w:val="30"/>
        </w:rPr>
        <w:t>文化，服务</w:t>
      </w:r>
      <w:r>
        <w:rPr>
          <w:rFonts w:hint="eastAsia" w:ascii="Tahoma" w:hAnsi="Tahoma" w:cs="Tahoma"/>
          <w:color w:val="333333"/>
          <w:kern w:val="0"/>
          <w:sz w:val="30"/>
          <w:szCs w:val="30"/>
        </w:rPr>
        <w:t>百姓</w:t>
      </w:r>
      <w:r>
        <w:rPr>
          <w:rFonts w:ascii="Tahoma" w:hAnsi="Tahoma" w:cs="Tahoma"/>
          <w:color w:val="333333"/>
          <w:kern w:val="0"/>
          <w:sz w:val="30"/>
          <w:szCs w:val="30"/>
        </w:rPr>
        <w:t>，</w:t>
      </w:r>
      <w:r>
        <w:rPr>
          <w:rFonts w:hint="eastAsia" w:ascii="Tahoma" w:hAnsi="Tahoma" w:cs="Tahoma"/>
          <w:color w:val="333333"/>
          <w:kern w:val="0"/>
          <w:sz w:val="30"/>
          <w:szCs w:val="30"/>
        </w:rPr>
        <w:t>创作新剧目，</w:t>
      </w:r>
      <w:r>
        <w:rPr>
          <w:rFonts w:ascii="Tahoma" w:hAnsi="Tahoma" w:cs="Tahoma"/>
          <w:color w:val="333333"/>
          <w:kern w:val="0"/>
          <w:sz w:val="30"/>
          <w:szCs w:val="30"/>
        </w:rPr>
        <w:t>取得新成绩，积累新</w:t>
      </w:r>
      <w:r>
        <w:rPr>
          <w:rFonts w:hint="eastAsia" w:ascii="Tahoma" w:hAnsi="Tahoma" w:cs="Tahoma"/>
          <w:color w:val="333333"/>
          <w:kern w:val="0"/>
          <w:sz w:val="30"/>
          <w:szCs w:val="30"/>
        </w:rPr>
        <w:t>工作</w:t>
      </w:r>
      <w:r>
        <w:rPr>
          <w:rFonts w:hint="eastAsia" w:ascii="仿宋_GB2312" w:eastAsia="仿宋_GB2312"/>
          <w:sz w:val="30"/>
          <w:szCs w:val="30"/>
        </w:rPr>
        <w:t xml:space="preserve"> 。</w:t>
      </w:r>
    </w:p>
    <w:p>
      <w:pPr>
        <w:widowControl/>
        <w:shd w:val="clear" w:color="auto" w:fill="FFFFFF"/>
        <w:spacing w:line="700" w:lineRule="exact"/>
        <w:ind w:firstLine="555"/>
        <w:jc w:val="left"/>
        <w:rPr>
          <w:rFonts w:ascii="仿宋" w:hAnsi="仿宋" w:eastAsia="仿宋" w:cs="仿宋"/>
          <w:kern w:val="0"/>
          <w:sz w:val="32"/>
          <w:szCs w:val="32"/>
        </w:rPr>
      </w:pPr>
      <w:r>
        <w:rPr>
          <w:rFonts w:hint="eastAsia" w:ascii="仿宋" w:hAnsi="仿宋" w:eastAsia="仿宋" w:cs="仿宋"/>
          <w:b/>
          <w:bCs/>
          <w:kern w:val="0"/>
          <w:sz w:val="32"/>
          <w:szCs w:val="32"/>
        </w:rPr>
        <w:t>（二）机构设置</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县花鼓戏剧团为独立财务核算单位和财政预算拨款单位，编制46名。内设办公室、生产安全股、工会、3个</w:t>
      </w:r>
    </w:p>
    <w:p>
      <w:pPr>
        <w:ind w:firstLine="800" w:firstLineChars="250"/>
        <w:jc w:val="left"/>
        <w:rPr>
          <w:rFonts w:asciiTheme="minorEastAsia" w:hAnsiTheme="minorEastAsia"/>
          <w:sz w:val="32"/>
          <w:szCs w:val="32"/>
        </w:rPr>
      </w:pPr>
    </w:p>
    <w:p>
      <w:pPr>
        <w:ind w:firstLine="800" w:firstLineChars="250"/>
        <w:jc w:val="left"/>
        <w:rPr>
          <w:rFonts w:asciiTheme="minorEastAsia" w:hAnsiTheme="minorEastAsia"/>
          <w:sz w:val="32"/>
          <w:szCs w:val="32"/>
        </w:rPr>
      </w:pPr>
    </w:p>
    <w:p>
      <w:pPr>
        <w:jc w:val="left"/>
        <w:rPr>
          <w:rFonts w:ascii="仿宋_GB2312" w:eastAsia="仿宋_GB2312" w:hAnsiTheme="minorEastAsia"/>
          <w:sz w:val="28"/>
          <w:szCs w:val="32"/>
        </w:rPr>
      </w:pP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eastAsiaTheme="minorEastAsia"/>
          <w:bCs/>
          <w:kern w:val="0"/>
          <w:sz w:val="32"/>
          <w:szCs w:val="32"/>
          <w:lang w:val="en-US" w:eastAsia="zh-CN"/>
        </w:rPr>
      </w:pPr>
      <w:r>
        <w:rPr>
          <w:rFonts w:hint="eastAsia" w:asciiTheme="minorEastAsia" w:hAnsiTheme="minorEastAsia"/>
          <w:bCs/>
          <w:kern w:val="0"/>
          <w:sz w:val="32"/>
          <w:szCs w:val="32"/>
        </w:rPr>
        <w:t>决算单位构成:衡南县花鼓戏剧团</w:t>
      </w:r>
      <w:r>
        <w:rPr>
          <w:rFonts w:hint="eastAsia" w:asciiTheme="minorEastAsia" w:hAnsiTheme="minorEastAsia"/>
          <w:bCs/>
          <w:kern w:val="0"/>
          <w:sz w:val="32"/>
          <w:szCs w:val="32"/>
          <w:lang w:eastAsia="zh-CN"/>
        </w:rPr>
        <w:t>本级。</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r>
        <w:rPr>
          <w:rFonts w:hint="eastAsia"/>
          <w:sz w:val="72"/>
          <w:szCs w:val="72"/>
        </w:rPr>
        <w:t>(部门决算公示表附后)</w:t>
      </w:r>
    </w:p>
    <w:p>
      <w:pPr>
        <w:jc w:val="center"/>
        <w:rPr>
          <w:sz w:val="72"/>
          <w:szCs w:val="72"/>
        </w:rPr>
      </w:pPr>
    </w:p>
    <w:p>
      <w:pPr>
        <w:jc w:val="center"/>
        <w:rPr>
          <w:sz w:val="72"/>
          <w:szCs w:val="72"/>
        </w:rPr>
      </w:pPr>
    </w:p>
    <w:p>
      <w:pPr>
        <w:jc w:val="center"/>
        <w:rPr>
          <w:sz w:val="72"/>
          <w:szCs w:val="72"/>
        </w:rPr>
        <w:sectPr>
          <w:pgSz w:w="11906" w:h="16838"/>
          <w:pgMar w:top="1440" w:right="1800" w:bottom="1440" w:left="1800" w:header="851" w:footer="992" w:gutter="0"/>
          <w:cols w:space="425" w:num="1"/>
          <w:docGrid w:type="lines" w:linePitch="312" w:charSpace="0"/>
        </w:sect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2019</w:t>
      </w:r>
      <w:r>
        <w:rPr>
          <w:rFonts w:hint="eastAsia"/>
          <w:sz w:val="70"/>
          <w:szCs w:val="70"/>
        </w:rPr>
        <w:t>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 年度收、支总计171.08万元。与2018年相比，减少36.63万元，减少82%，主要是因为演出收入减少,演出市场萎缩. 演出业务少，演出收入减少。</w:t>
      </w: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本年收入合计171.08万元，其中：财政拨款收入137.24万元，占80%；上级补助收入0万元，占0%；事业收入33.80万元，占19%。</w:t>
      </w:r>
      <w:r>
        <w:rPr>
          <w:rFonts w:hint="eastAsia" w:ascii="仿宋_GB2312" w:hAnsi="仿宋_GB2312" w:eastAsia="仿宋_GB2312"/>
          <w:sz w:val="32"/>
        </w:rPr>
        <w:t>年末结转和结余0.04万元</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本年支出合计171.03万元，其中：基本支出171.03万元，占100%；项目支出0万元，占0%；上缴上级支出0万元，占0%；经营支出0万元，占0%；对附属单位补助支出0万元，占0%。</w:t>
      </w:r>
    </w:p>
    <w:p>
      <w:pPr>
        <w:pStyle w:val="10"/>
        <w:rPr>
          <w:rFonts w:hAnsi="黑体"/>
          <w:b/>
          <w:sz w:val="32"/>
          <w:szCs w:val="32"/>
        </w:rPr>
      </w:pPr>
      <w:r>
        <w:rPr>
          <w:rFonts w:hint="eastAsia" w:hAnsi="黑体"/>
          <w:b/>
          <w:sz w:val="32"/>
          <w:szCs w:val="32"/>
        </w:rPr>
        <w:t>四、财政拨款收入支出决算总体情况说明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2019年度财政拨款收、支总计171.03万元，与2018年相比，财政拨款支出减少36.63万元，减少82%，主要是因为演出市场萎缩，没演出业务，演出收入减少。</w:t>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2019年度财政拨款支出171.03万元，占本年支出合计的80%，与2018年相比，财政拨款支出减少95.7万元，减少64.1%，主要是因为演出市场萎缩，没演出业务，演出收入减少。</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2019年度财政拨款支出137.24万元，主要用于以下方面：一般公共服务（类）支出104.08万元，占财政拨款本年支出合计75.84%；其他商品和服务支出33.16万元，占财政拨款本年支出合计24.16%..</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2019年度财政拨款支出年初预算数为137.71万元，支出决算数为171.08万元，完成年初预算减少占80.49%：2019年度一般公共预算财政拨款支出具体情况如下：</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1、一般公共服务（类）207（款）20701（项）。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年初预算为137.71万元，支出决算为171.08万元，完成年初预算减少80.49%，决算数大于年初预算数的主要原因是：主要是因为演出市场萎缩，没演出业务，演出收入减少。</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2、一般公共服务（类）207款）20701（项）。</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年初预算为137.71万元，支出决算为171.08万元，完成年初预算减少80.49%，决算数大于年初预算数的主要原因是：演出市场萎缩，没演出业务，演出收入减少。</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财政拨款基本支出137.71万元，其中：人员经费34.78万元，占基本支出的25.26%,主要包括基本工资、津贴补贴、奖金、伙食补助费；公用经费36.93万元，占基本支出的26.82%，主要包括办公费、印刷费、咨询费、手续费。专项经费66.00万元，占基本支出的47.92%。主要包括惠民演出和送戏下乡、流动舞台车、非物质文化传承人。</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“三公”经费财政拨款支出预算为4.30万元，支出决算为5.18万元，完成预算的83.01%，其中: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公务接待费支出预算为1.47万元，支出决算为0.88万元，完成预算的60%，决算数小于年初预算数的主要原因本年公务接待活动较上年减少.</w:t>
      </w:r>
      <w:r>
        <w:rPr>
          <w:rFonts w:hint="eastAsia" w:asciiTheme="minorEastAsia" w:hAnsiTheme="minorEastAsia"/>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公务用车购置费及运行维护费支出预算为8万元，支出决算为4.30万元，完成预算的186.04%，决算数小于年初预算数的主要原因是根据实际工作需要,按照车辆演出情况而定。</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2019年度“三公”经费财政拨款支出决算中，公务接待费支出决算0.88万元，占60%</w:t>
      </w:r>
      <w:r>
        <w:rPr>
          <w:rFonts w:hint="eastAsia" w:asciiTheme="minorEastAsia" w:hAnsiTheme="minorEastAsia"/>
          <w:sz w:val="32"/>
          <w:szCs w:val="32"/>
        </w:rPr>
        <w:t>。</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2、公务接待费支出决算为0.88万元，全年共接待来访团组12个、来宾88人次，主要是用于洽谈演出业务 、剧本创作及培训用餐发生的接待支出。</w:t>
      </w:r>
    </w:p>
    <w:p>
      <w:pPr>
        <w:ind w:firstLine="800" w:firstLineChars="250"/>
        <w:rPr>
          <w:rFonts w:hint="eastAsia" w:asciiTheme="minorEastAsia" w:hAnsiTheme="minorEastAsia"/>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3.42</w:t>
      </w:r>
      <w:r>
        <w:rPr>
          <w:rFonts w:hint="eastAsia" w:asciiTheme="minorEastAsia" w:hAnsiTheme="minorEastAsia"/>
          <w:sz w:val="32"/>
          <w:szCs w:val="32"/>
        </w:rPr>
        <w:t>万元，其中：公务用车运行维护费</w:t>
      </w:r>
      <w:r>
        <w:rPr>
          <w:rFonts w:hint="eastAsia" w:asciiTheme="minorEastAsia" w:hAnsiTheme="minorEastAsia"/>
          <w:sz w:val="32"/>
          <w:szCs w:val="32"/>
          <w:lang w:val="en-US" w:eastAsia="zh-CN"/>
        </w:rPr>
        <w:t>3.42</w:t>
      </w:r>
      <w:r>
        <w:rPr>
          <w:rFonts w:hint="eastAsia" w:asciiTheme="minorEastAsia" w:hAnsiTheme="minorEastAsia"/>
          <w:sz w:val="32"/>
          <w:szCs w:val="32"/>
        </w:rPr>
        <w:t>万元，主要是按照规定保留的演出用车的燃料费、维修费 、过桥过路费保险费支出，截止2019年12月31日，我单位开支财政拨款的公务用车保有量为3辆，当年新增公务用车为0辆。</w:t>
      </w:r>
    </w:p>
    <w:p>
      <w:pPr>
        <w:ind w:firstLine="800" w:firstLineChars="250"/>
        <w:rPr>
          <w:rFonts w:cs="黑体" w:asciiTheme="minorEastAsia" w:hAnsiTheme="minorEastAsia"/>
          <w:color w:val="000000"/>
          <w:kern w:val="0"/>
          <w:sz w:val="32"/>
          <w:szCs w:val="32"/>
        </w:rPr>
      </w:pPr>
    </w:p>
    <w:p>
      <w:pPr>
        <w:pStyle w:val="10"/>
        <w:rPr>
          <w:rFonts w:hAnsi="黑体"/>
          <w:b/>
          <w:sz w:val="32"/>
          <w:szCs w:val="32"/>
        </w:rPr>
      </w:pPr>
    </w:p>
    <w:p>
      <w:pPr>
        <w:pStyle w:val="10"/>
        <w:numPr>
          <w:ilvl w:val="0"/>
          <w:numId w:val="2"/>
        </w:numPr>
        <w:rPr>
          <w:rFonts w:hint="eastAsia" w:hAnsi="黑体"/>
          <w:b/>
          <w:sz w:val="32"/>
          <w:szCs w:val="32"/>
        </w:rPr>
      </w:pPr>
      <w:r>
        <w:rPr>
          <w:rFonts w:hint="eastAsia" w:hAnsi="黑体"/>
          <w:b/>
          <w:sz w:val="32"/>
          <w:szCs w:val="32"/>
        </w:rPr>
        <w:t>关于2019年度预算绩效情况说明</w:t>
      </w:r>
    </w:p>
    <w:p>
      <w:pPr>
        <w:ind w:firstLine="800" w:firstLineChars="250"/>
        <w:rPr>
          <w:rFonts w:hint="eastAsia" w:asciiTheme="minorEastAsia" w:hAnsiTheme="minorEastAsia"/>
          <w:sz w:val="32"/>
          <w:szCs w:val="32"/>
        </w:rPr>
      </w:pPr>
      <w:r>
        <w:rPr>
          <w:rFonts w:ascii="华文仿宋" w:hAnsi="华文仿宋" w:eastAsia="华文仿宋" w:cs="Times New Roman"/>
          <w:position w:val="2"/>
          <w:sz w:val="32"/>
          <w:szCs w:val="32"/>
        </w:rPr>
        <w:t>根</w:t>
      </w:r>
      <w:r>
        <w:rPr>
          <w:rFonts w:hint="eastAsia" w:asciiTheme="minorEastAsia" w:hAnsiTheme="minorEastAsia"/>
          <w:sz w:val="32"/>
          <w:szCs w:val="32"/>
        </w:rPr>
        <w:t>据预算绩效管理的要求，我局组织对2019年度一般公共预算部门整体支出和专项资金使用情况开展了绩效自评，全面按照县财政预算进行成本控制，合理使用资金。所有支出按财政部门下达的计划实施，没有截留、没有挪用、没有超支等现象。完善民生保障机制，强化预算收支管理，较好地完成了全年各项工作任务。</w:t>
      </w:r>
    </w:p>
    <w:p>
      <w:pPr>
        <w:pStyle w:val="10"/>
        <w:rPr>
          <w:rFonts w:hAnsi="黑体"/>
          <w:b/>
          <w:sz w:val="32"/>
          <w:szCs w:val="32"/>
        </w:rPr>
      </w:pPr>
      <w:r>
        <w:rPr>
          <w:rFonts w:hint="eastAsia" w:hAnsi="黑体"/>
          <w:b/>
          <w:sz w:val="32"/>
          <w:szCs w:val="32"/>
        </w:rPr>
        <w:t>九、其他重要事项情况说明</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（一）机关运行经费支出情况</w:t>
      </w:r>
    </w:p>
    <w:p>
      <w:pPr>
        <w:ind w:firstLine="640" w:firstLineChars="200"/>
        <w:rPr>
          <w:rFonts w:hint="eastAsia" w:cs="黑体" w:asciiTheme="minorEastAsia" w:hAnsiTheme="minorEastAsia" w:eastAsiaTheme="minorEastAsia"/>
          <w:color w:val="000000"/>
          <w:kern w:val="0"/>
          <w:sz w:val="32"/>
          <w:szCs w:val="32"/>
          <w:lang w:val="en-US" w:eastAsia="zh-CN"/>
        </w:rPr>
      </w:pPr>
      <w:r>
        <w:rPr>
          <w:rFonts w:hint="eastAsia" w:cs="黑体" w:asciiTheme="minorEastAsia" w:hAnsiTheme="minorEastAsia"/>
          <w:color w:val="000000"/>
          <w:kern w:val="0"/>
          <w:sz w:val="32"/>
          <w:szCs w:val="32"/>
        </w:rPr>
        <w:t>本部门2019 年度机关运行经费支出137.24万元</w:t>
      </w:r>
      <w:r>
        <w:rPr>
          <w:rFonts w:hint="eastAsia" w:cs="黑体" w:asciiTheme="minorEastAsia" w:hAnsiTheme="minorEastAsia"/>
          <w:color w:val="000000"/>
          <w:kern w:val="0"/>
          <w:sz w:val="32"/>
          <w:szCs w:val="32"/>
          <w:lang w:val="en-US" w:eastAsia="zh-CN"/>
        </w:rPr>
        <w:t>.</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（二）一般性支出情况</w:t>
      </w:r>
    </w:p>
    <w:p>
      <w:pPr>
        <w:ind w:firstLine="640" w:firstLineChars="200"/>
        <w:rPr>
          <w:rFonts w:hint="eastAsia" w:ascii="仿宋_GB2312" w:hAnsi="仿宋_GB2312" w:eastAsia="仿宋_GB2312" w:cs="仿宋_GB2312"/>
          <w:color w:val="000000"/>
          <w:kern w:val="0"/>
          <w:sz w:val="32"/>
          <w:szCs w:val="32"/>
        </w:rPr>
      </w:pPr>
      <w:r>
        <w:rPr>
          <w:rFonts w:hint="eastAsia" w:cs="黑体" w:asciiTheme="minorEastAsia" w:hAnsiTheme="minorEastAsia"/>
          <w:color w:val="000000"/>
          <w:kern w:val="0"/>
          <w:sz w:val="32"/>
          <w:szCs w:val="32"/>
        </w:rPr>
        <w:t>2019年本部门开支会议费2.12万元，用于召开单位参加市戏剧汇演，人数240人</w:t>
      </w:r>
      <w:r>
        <w:rPr>
          <w:rFonts w:hint="eastAsia" w:ascii="仿宋_GB2312" w:hAnsi="仿宋_GB2312" w:eastAsia="仿宋_GB2312" w:cs="仿宋_GB2312"/>
          <w:color w:val="000000"/>
          <w:kern w:val="0"/>
          <w:sz w:val="32"/>
          <w:szCs w:val="32"/>
        </w:rPr>
        <w:t>。</w:t>
      </w:r>
    </w:p>
    <w:p>
      <w:pPr>
        <w:ind w:firstLine="640" w:firstLineChars="20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（三）政府采购支出情况</w:t>
      </w:r>
    </w:p>
    <w:p>
      <w:pPr>
        <w:ind w:firstLine="640" w:firstLineChars="200"/>
        <w:rPr>
          <w:rFonts w:cs="黑体" w:asciiTheme="minorEastAsia" w:hAnsiTheme="minorEastAsia"/>
          <w:i/>
          <w:color w:val="FF0000"/>
          <w:kern w:val="0"/>
          <w:sz w:val="32"/>
          <w:szCs w:val="32"/>
        </w:rPr>
      </w:pPr>
      <w:r>
        <w:rPr>
          <w:rFonts w:hint="eastAsia" w:cs="黑体" w:asciiTheme="minorEastAsia" w:hAnsiTheme="minorEastAsia"/>
          <w:color w:val="000000"/>
          <w:kern w:val="0"/>
          <w:sz w:val="32"/>
          <w:szCs w:val="32"/>
        </w:rPr>
        <w:t>本部门2019年度政府采购支出总额</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万元，其中：政府采购货物支出2.48万元。授予中小企业合同金额</w:t>
      </w:r>
      <w:r>
        <w:rPr>
          <w:rFonts w:hint="eastAsia" w:cs="黑体" w:asciiTheme="minorEastAsia" w:hAnsiTheme="minorEastAsia"/>
          <w:color w:val="000000"/>
          <w:kern w:val="0"/>
          <w:sz w:val="32"/>
          <w:szCs w:val="32"/>
          <w:lang w:val="en-US" w:eastAsia="zh-CN"/>
        </w:rPr>
        <w:t>0</w:t>
      </w:r>
      <w:r>
        <w:rPr>
          <w:rFonts w:hint="eastAsia" w:cs="黑体" w:asciiTheme="minorEastAsia" w:hAnsiTheme="minorEastAsia"/>
          <w:color w:val="000000"/>
          <w:kern w:val="0"/>
          <w:sz w:val="32"/>
          <w:szCs w:val="32"/>
        </w:rPr>
        <w:t>万元，占政府采购支出总额的100%。</w:t>
      </w:r>
    </w:p>
    <w:p>
      <w:pPr>
        <w:ind w:firstLine="480" w:firstLineChars="150"/>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（四）国有资产占用情况</w:t>
      </w:r>
    </w:p>
    <w:p>
      <w:pPr>
        <w:ind w:firstLine="800" w:firstLineChars="250"/>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rPr>
        <w:t>此项目内容2019年度没有发生额。</w:t>
      </w:r>
      <w:r>
        <w:rPr>
          <w:rFonts w:hint="eastAsia" w:asciiTheme="minorEastAsia" w:hAnsiTheme="minorEastAsia"/>
          <w:sz w:val="32"/>
          <w:szCs w:val="32"/>
        </w:rPr>
        <w:t>截至2019年12月31日，本单位共有车辆0辆，其中</w:t>
      </w:r>
      <w:bookmarkStart w:id="0" w:name="_GoBack"/>
      <w:bookmarkEnd w:id="0"/>
      <w:r>
        <w:rPr>
          <w:rFonts w:hint="eastAsia" w:asciiTheme="minorEastAsia" w:hAnsiTheme="minorEastAsia"/>
          <w:sz w:val="32"/>
          <w:szCs w:val="32"/>
        </w:rPr>
        <w:t>：特种专业技术用车0辆。单位价值50万元以上通用设备0台（套）；单位价值100万元以上专用设备0台（套）。</w:t>
      </w:r>
    </w:p>
    <w:p>
      <w:pPr>
        <w:widowControl/>
        <w:jc w:val="left"/>
        <w:rPr>
          <w:rFonts w:cs="黑体" w:asciiTheme="minorEastAsia" w:hAnsiTheme="minorEastAsia"/>
          <w:color w:val="000000"/>
          <w:kern w:val="0"/>
          <w:sz w:val="32"/>
          <w:szCs w:val="32"/>
        </w:rPr>
      </w:pPr>
      <w:r>
        <w:rPr>
          <w:rFonts w:cs="黑体" w:asciiTheme="minorEastAsia" w:hAnsiTheme="min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pStyle w:val="5"/>
        <w:shd w:val="clear" w:color="auto" w:fill="FFFFFF"/>
        <w:spacing w:before="0" w:beforeAutospacing="0" w:after="0" w:afterAutospacing="0"/>
        <w:ind w:firstLine="280" w:firstLineChars="100"/>
        <w:rPr>
          <w:rFonts w:ascii="宋体" w:hAnsi="宋体" w:cs="宋体"/>
          <w:kern w:val="2"/>
          <w:sz w:val="28"/>
          <w:szCs w:val="28"/>
        </w:rPr>
      </w:pPr>
      <w:r>
        <w:rPr>
          <w:rFonts w:hint="eastAsia" w:ascii="宋体" w:hAnsi="宋体" w:cs="宋体"/>
          <w:kern w:val="2"/>
          <w:sz w:val="28"/>
          <w:szCs w:val="28"/>
        </w:rPr>
        <w:t>一、财政拨款收入：指财政部门核拨给单位的财政预算资金。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二、事业收入：指事业单位开展专业业务活动及辅助活动所取得的收入。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三、附属单位上缴收入：指事业单位附属独立核算单位按有关规定上缴的收入。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四、其他收入：指单位取得的除上述“财政拨款收入”、“事业收入”、“附属单位上缴收入”等以外的收入。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五、年初结转和结余：指以前年度尚未完成、结转到本年仍按有关规定继续使用的资金。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六、用事业基金弥补收支差额：指事业单位在当年的“财政拨款收入”、“事业收入”、“经营收入”和“其他收入”不足以安排当年支出的情况下，使用以前年度积累的事业基金（即事业单位以前各年度收支相抵后，按国家规定提取、用于弥补以后年度收支差额的基金）弥补本年收支缺口的资金。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七、结余分配：指事业单位按规定提取的职工福利基金、事业基金和缴纳的所得税，以及建设单位按规定应交回的基本建设竣工项目结余资金。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八、年末结转和结余：指本年度或以前年度预算安排、因客观条件发生变化无法按原计划实施，需延迟到以后年度按有关规定继续使用的资金。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九、基本支出：指为保障机构正常运转、完成日常工作任务而发生的人员支出和公用支出。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十、项目支出：指在基本支出之外，为完成特定行政任务和事业发展目标所发生的支出。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十一、“三公”经费：指省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pStyle w:val="5"/>
        <w:shd w:val="clear" w:color="auto" w:fill="FFFFFF"/>
        <w:spacing w:before="0" w:beforeAutospacing="0" w:after="0" w:afterAutospacing="0"/>
        <w:rPr>
          <w:rFonts w:ascii="宋体" w:hAnsi="宋体" w:cs="宋体"/>
          <w:kern w:val="2"/>
          <w:sz w:val="28"/>
          <w:szCs w:val="28"/>
        </w:rPr>
      </w:pPr>
      <w:r>
        <w:rPr>
          <w:rFonts w:hint="eastAsia" w:ascii="宋体" w:hAnsi="宋体" w:cs="宋体"/>
          <w:kern w:val="2"/>
          <w:sz w:val="28"/>
          <w:szCs w:val="28"/>
        </w:rPr>
        <w:t>　十二、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  </w:t>
      </w:r>
    </w:p>
    <w:p>
      <w:pPr>
        <w:ind w:firstLine="640" w:firstLineChars="200"/>
        <w:jc w:val="left"/>
        <w:rPr>
          <w:rFonts w:cs="黑体" w:asciiTheme="minorEastAsia" w:hAnsiTheme="minorEastAsia"/>
          <w:color w:val="000000"/>
          <w:kern w:val="0"/>
          <w:sz w:val="32"/>
          <w:szCs w:val="32"/>
        </w:rPr>
      </w:pPr>
    </w:p>
    <w:p>
      <w:pPr>
        <w:spacing w:line="480" w:lineRule="exact"/>
        <w:ind w:firstLine="560" w:firstLineChars="200"/>
        <w:rPr>
          <w:rFonts w:ascii="宋体" w:hAnsi="宋体" w:eastAsia="宋体" w:cs="宋体"/>
          <w:color w:val="333333"/>
          <w:kern w:val="0"/>
          <w:sz w:val="28"/>
          <w:szCs w:val="28"/>
        </w:rPr>
      </w:pPr>
    </w:p>
    <w:p>
      <w:pPr>
        <w:widowControl/>
        <w:shd w:val="clear" w:color="auto" w:fill="FFFFFF"/>
        <w:spacing w:before="100" w:beforeAutospacing="1" w:after="100" w:afterAutospacing="1" w:line="390" w:lineRule="atLeast"/>
        <w:jc w:val="left"/>
        <w:rPr>
          <w:rFonts w:ascii="宋体" w:hAnsi="宋体" w:eastAsia="宋体" w:cs="宋体"/>
          <w:color w:val="333333"/>
          <w:kern w:val="0"/>
          <w:sz w:val="28"/>
          <w:szCs w:val="28"/>
        </w:rPr>
      </w:pPr>
      <w:r>
        <w:rPr>
          <w:rFonts w:hint="eastAsia" w:ascii="宋体" w:hAnsi="宋体" w:eastAsia="宋体" w:cs="宋体"/>
          <w:color w:val="333333"/>
          <w:kern w:val="0"/>
          <w:sz w:val="28"/>
          <w:szCs w:val="28"/>
        </w:rPr>
        <w:t>　</w:t>
      </w: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jc w:val="left"/>
        <w:rPr>
          <w:rFonts w:cs="黑体" w:asciiTheme="minorEastAsia" w:hAnsiTheme="minorEastAsia"/>
          <w:color w:val="000000"/>
          <w:kern w:val="0"/>
          <w:sz w:val="32"/>
          <w:szCs w:val="32"/>
        </w:rPr>
      </w:pP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ind w:firstLine="640" w:firstLineChars="200"/>
        <w:jc w:val="center"/>
        <w:rPr>
          <w:rFonts w:cs="黑体" w:asciiTheme="minorEastAsia" w:hAnsiTheme="minorEastAsia"/>
          <w:b/>
          <w:color w:val="000000"/>
          <w:kern w:val="0"/>
          <w:sz w:val="32"/>
          <w:szCs w:val="32"/>
        </w:rPr>
      </w:pPr>
      <w:r>
        <w:rPr>
          <w:rFonts w:hint="eastAsia" w:cs="黑体" w:asciiTheme="minorEastAsia" w:hAnsiTheme="minorEastAsia"/>
          <w:b/>
          <w:color w:val="000000"/>
          <w:kern w:val="0"/>
          <w:sz w:val="32"/>
          <w:szCs w:val="32"/>
        </w:rPr>
        <w:t>2019年度部门整体支出绩效评价报告</w:t>
      </w:r>
    </w:p>
    <w:p>
      <w:pPr>
        <w:spacing w:line="700" w:lineRule="exact"/>
        <w:ind w:firstLine="640" w:firstLineChars="200"/>
        <w:rPr>
          <w:rFonts w:hint="eastAsia" w:hAnsi="黑体"/>
          <w:b/>
          <w:sz w:val="32"/>
          <w:szCs w:val="32"/>
          <w:lang w:val="en-US" w:eastAsia="zh-CN"/>
        </w:rPr>
      </w:pPr>
      <w:r>
        <w:rPr>
          <w:rFonts w:hint="eastAsia" w:hAnsi="黑体"/>
          <w:b/>
          <w:sz w:val="32"/>
          <w:szCs w:val="32"/>
          <w:lang w:val="en-US" w:eastAsia="zh-CN"/>
        </w:rPr>
        <w:t xml:space="preserve"> </w:t>
      </w:r>
    </w:p>
    <w:p>
      <w:pPr>
        <w:spacing w:line="700" w:lineRule="exact"/>
        <w:ind w:firstLine="640" w:firstLineChars="200"/>
        <w:rPr>
          <w:rFonts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一、本部门预算绩效管理开展情况、绩效目标和绩效评价报告:</w:t>
      </w:r>
      <w:r>
        <w:rPr>
          <w:rFonts w:hint="eastAsia" w:asciiTheme="minorEastAsia" w:hAnsiTheme="minorEastAsia"/>
          <w:sz w:val="32"/>
          <w:szCs w:val="32"/>
        </w:rPr>
        <w:t xml:space="preserve">        </w:t>
      </w:r>
      <w:r>
        <w:rPr>
          <w:rFonts w:hint="eastAsia" w:ascii="仿宋_GB2312" w:hAnsi="仿宋_GB2312" w:eastAsia="仿宋_GB2312" w:cs="仿宋_GB2312"/>
          <w:color w:val="000000"/>
          <w:kern w:val="0"/>
          <w:sz w:val="32"/>
          <w:szCs w:val="32"/>
        </w:rPr>
        <w:t>1、收入预算：2019年收入预算137.71万元，经费拨款137.71万元。                                                       2、支出预算:2019年支出预算137.71万元。其中工资福利支出34.78万元、一般商品和服务支出36.93万元、对个人和家庭补助支出0万元、专项商品和服务支出66.00万元。</w:t>
      </w:r>
    </w:p>
    <w:p>
      <w:pPr>
        <w:spacing w:line="700" w:lineRule="exac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3、2019年“三公”经费实际支出5.18万元,其中:无因公出国(境)费,公务接待费0.88万元,运用通勤车</w:t>
      </w:r>
      <w:r>
        <w:rPr>
          <w:rFonts w:hint="eastAsia" w:ascii="仿宋_GB2312" w:hAnsi="Calibri" w:eastAsia="仿宋_GB2312" w:cs="Times New Roman"/>
          <w:sz w:val="32"/>
          <w:szCs w:val="32"/>
        </w:rPr>
        <w:t>、</w:t>
      </w:r>
      <w:r>
        <w:rPr>
          <w:rFonts w:hint="eastAsia" w:ascii="仿宋_GB2312" w:hAnsi="仿宋_GB2312" w:eastAsia="仿宋_GB2312" w:cs="仿宋_GB2312"/>
          <w:color w:val="000000"/>
          <w:kern w:val="0"/>
          <w:sz w:val="32"/>
          <w:szCs w:val="32"/>
        </w:rPr>
        <w:t>舞台车</w:t>
      </w:r>
      <w:r>
        <w:rPr>
          <w:rFonts w:hint="eastAsia" w:ascii="仿宋_GB2312" w:hAnsi="Calibri" w:eastAsia="仿宋_GB2312" w:cs="Times New Roman"/>
          <w:sz w:val="32"/>
          <w:szCs w:val="32"/>
        </w:rPr>
        <w:t>、</w:t>
      </w:r>
      <w:r>
        <w:rPr>
          <w:rFonts w:hint="eastAsia" w:ascii="仿宋_GB2312" w:hAnsi="仿宋_GB2312" w:eastAsia="仿宋_GB2312" w:cs="仿宋_GB2312"/>
          <w:color w:val="000000"/>
          <w:kern w:val="0"/>
          <w:sz w:val="32"/>
          <w:szCs w:val="32"/>
        </w:rPr>
        <w:t>运输车及运行维护费4.3万元，财政没有发放车补。</w:t>
      </w:r>
    </w:p>
    <w:p>
      <w:pPr>
        <w:numPr>
          <w:ilvl w:val="0"/>
          <w:numId w:val="3"/>
        </w:numPr>
        <w:spacing w:line="700" w:lineRule="exac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2019年度预算支出决算合计171.08万元，其中：</w:t>
      </w:r>
    </w:p>
    <w:p>
      <w:pPr>
        <w:spacing w:line="700" w:lineRule="exact"/>
        <w:ind w:left="640" w:hanging="640" w:hanging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人员经费137.92万元，日常公用经费33.16万元。</w:t>
      </w:r>
    </w:p>
    <w:p>
      <w:pPr>
        <w:spacing w:line="70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二、部门专项组织实施情况</w:t>
      </w:r>
    </w:p>
    <w:p>
      <w:pPr>
        <w:spacing w:line="7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我团对财务管理制度进一步进行了完善。在财务公开</w:t>
      </w:r>
      <w:r>
        <w:rPr>
          <w:rFonts w:hint="eastAsia" w:ascii="仿宋_GB2312" w:hAnsi="仿宋_GB2312" w:eastAsia="仿宋_GB2312" w:cs="仿宋_GB2312"/>
          <w:color w:val="000000"/>
          <w:kern w:val="0"/>
          <w:sz w:val="32"/>
          <w:szCs w:val="32"/>
        </w:rPr>
        <w:t>。</w:t>
      </w:r>
    </w:p>
    <w:p>
      <w:pPr>
        <w:spacing w:line="70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三、部门整体支出绩效情况</w:t>
      </w:r>
    </w:p>
    <w:p>
      <w:pPr>
        <w:spacing w:line="7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2019年部门支出基本满足了机关正常运转，确保了各项</w:t>
      </w:r>
    </w:p>
    <w:p>
      <w:pPr>
        <w:spacing w:line="7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计划和任务的完成，较好地履行了职责。</w:t>
      </w:r>
    </w:p>
    <w:p>
      <w:pPr>
        <w:spacing w:line="7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1、全面按照县财政预算进行成本控制，合理使用资金。所有支出按财政部门下达的计划实施，没有截留、没有挪用、没有超支等现象。</w:t>
      </w:r>
    </w:p>
    <w:p>
      <w:pPr>
        <w:spacing w:line="700" w:lineRule="exact"/>
        <w:ind w:firstLine="640" w:firstLineChars="200"/>
        <w:rPr>
          <w:rFonts w:hint="eastAsia" w:ascii="仿宋_GB2312" w:hAnsi="仿宋_GB2312" w:eastAsia="仿宋_GB2312" w:cs="仿宋_GB2312"/>
          <w:color w:val="000000"/>
          <w:kern w:val="0"/>
          <w:sz w:val="32"/>
          <w:szCs w:val="32"/>
          <w:lang w:eastAsia="zh-CN"/>
        </w:rPr>
      </w:pPr>
      <w:r>
        <w:rPr>
          <w:rFonts w:hint="eastAsia" w:ascii="仿宋_GB2312" w:hAnsi="仿宋_GB2312" w:eastAsia="仿宋_GB2312" w:cs="仿宋_GB2312"/>
          <w:color w:val="000000"/>
          <w:kern w:val="0"/>
          <w:sz w:val="32"/>
          <w:szCs w:val="32"/>
        </w:rPr>
        <w:t>2、</w:t>
      </w:r>
      <w:r>
        <w:rPr>
          <w:rFonts w:hint="eastAsia" w:ascii="仿宋_GB2312" w:hAnsi="仿宋_GB2312" w:eastAsia="仿宋_GB2312" w:cs="仿宋_GB2312"/>
          <w:color w:val="000000"/>
          <w:sz w:val="32"/>
          <w:szCs w:val="32"/>
        </w:rPr>
        <w:t>完善民生保障机制，强化预算收支管理，较好地完成了全年各项工作任务</w:t>
      </w:r>
      <w:r>
        <w:rPr>
          <w:rFonts w:hint="eastAsia" w:ascii="仿宋_GB2312" w:hAnsi="仿宋_GB2312" w:eastAsia="仿宋_GB2312" w:cs="仿宋_GB2312"/>
          <w:color w:val="000000"/>
          <w:sz w:val="32"/>
          <w:szCs w:val="32"/>
          <w:lang w:val="en-US" w:eastAsia="zh-CN"/>
        </w:rPr>
        <w:t>.</w:t>
      </w:r>
    </w:p>
    <w:p>
      <w:pPr>
        <w:spacing w:line="70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四、存在的主要问题</w:t>
      </w:r>
    </w:p>
    <w:p>
      <w:pPr>
        <w:spacing w:line="70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由于财政下拨的年初预算只按包干137.71万元安排单位运转经费，远远小于单位正常支出的刚性需求，必须使用财政的其他拨款弥补公用支出。</w:t>
      </w:r>
    </w:p>
    <w:p>
      <w:pPr>
        <w:spacing w:line="700" w:lineRule="exac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五、改进措施和有关建议</w:t>
      </w:r>
    </w:p>
    <w:p>
      <w:pPr>
        <w:ind w:firstLine="640" w:firstLineChars="200"/>
        <w:jc w:val="left"/>
        <w:rPr>
          <w:rFonts w:cs="黑体" w:asciiTheme="minorEastAsia" w:hAnsiTheme="minorEastAsia"/>
          <w:color w:val="000000"/>
          <w:kern w:val="0"/>
          <w:sz w:val="32"/>
          <w:szCs w:val="32"/>
        </w:rPr>
      </w:pPr>
      <w:r>
        <w:rPr>
          <w:rFonts w:hint="eastAsia" w:ascii="仿宋_GB2312" w:hAnsi="仿宋_GB2312" w:eastAsia="仿宋_GB2312" w:cs="仿宋_GB2312"/>
          <w:color w:val="000000"/>
          <w:kern w:val="0"/>
          <w:sz w:val="32"/>
          <w:szCs w:val="32"/>
        </w:rPr>
        <w:t>由于财政一般预算安排我团人员经费及公用经费严重不足，运转创收的能力有限，在编制时只得实行以收定支，存在用其他资金弥补公用经费，建议财政预算加大对人员和公用经费的安排，弥补单位支出的刚性所需</w:t>
      </w:r>
    </w:p>
    <w:sectPr>
      <w:pgSz w:w="11906" w:h="16838"/>
      <w:pgMar w:top="720" w:right="720" w:bottom="720" w:left="156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CA32F6"/>
    <w:multiLevelType w:val="singleLevel"/>
    <w:tmpl w:val="BCCA32F6"/>
    <w:lvl w:ilvl="0" w:tentative="0">
      <w:start w:val="8"/>
      <w:numFmt w:val="chineseCounting"/>
      <w:suff w:val="nothing"/>
      <w:lvlText w:val="%1、"/>
      <w:lvlJc w:val="left"/>
      <w:rPr>
        <w:rFonts w:hint="eastAsia"/>
      </w:rPr>
    </w:lvl>
  </w:abstractNum>
  <w:abstractNum w:abstractNumId="1">
    <w:nsid w:val="BD44D37F"/>
    <w:multiLevelType w:val="singleLevel"/>
    <w:tmpl w:val="BD44D37F"/>
    <w:lvl w:ilvl="0" w:tentative="0">
      <w:start w:val="4"/>
      <w:numFmt w:val="decimal"/>
      <w:suff w:val="space"/>
      <w:lvlText w:val="%1、"/>
      <w:lvlJc w:val="left"/>
      <w:pPr>
        <w:ind w:left="640" w:firstLine="0"/>
      </w:p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506F9"/>
    <w:rsid w:val="0002229B"/>
    <w:rsid w:val="000273BD"/>
    <w:rsid w:val="000415B7"/>
    <w:rsid w:val="000658A3"/>
    <w:rsid w:val="00074155"/>
    <w:rsid w:val="00096FBF"/>
    <w:rsid w:val="000A3F69"/>
    <w:rsid w:val="000D0E07"/>
    <w:rsid w:val="0012712E"/>
    <w:rsid w:val="001370CB"/>
    <w:rsid w:val="0014670C"/>
    <w:rsid w:val="00152C6D"/>
    <w:rsid w:val="00162D39"/>
    <w:rsid w:val="00170CF2"/>
    <w:rsid w:val="0018569C"/>
    <w:rsid w:val="001A67DB"/>
    <w:rsid w:val="001C5462"/>
    <w:rsid w:val="001C73DF"/>
    <w:rsid w:val="001D51E5"/>
    <w:rsid w:val="001E06AF"/>
    <w:rsid w:val="001F0C3B"/>
    <w:rsid w:val="00214427"/>
    <w:rsid w:val="00226633"/>
    <w:rsid w:val="002320BD"/>
    <w:rsid w:val="00265724"/>
    <w:rsid w:val="0027426B"/>
    <w:rsid w:val="00282BF1"/>
    <w:rsid w:val="002F16DF"/>
    <w:rsid w:val="00326FE7"/>
    <w:rsid w:val="003479BD"/>
    <w:rsid w:val="003768D5"/>
    <w:rsid w:val="003C685C"/>
    <w:rsid w:val="003F573F"/>
    <w:rsid w:val="004009C0"/>
    <w:rsid w:val="00432807"/>
    <w:rsid w:val="004506F9"/>
    <w:rsid w:val="004717A2"/>
    <w:rsid w:val="00491741"/>
    <w:rsid w:val="00500E5F"/>
    <w:rsid w:val="005122EF"/>
    <w:rsid w:val="00517C33"/>
    <w:rsid w:val="00523644"/>
    <w:rsid w:val="0054069E"/>
    <w:rsid w:val="00546D13"/>
    <w:rsid w:val="005767CC"/>
    <w:rsid w:val="00590D9F"/>
    <w:rsid w:val="00595D26"/>
    <w:rsid w:val="005A74E6"/>
    <w:rsid w:val="005D1591"/>
    <w:rsid w:val="005D4D55"/>
    <w:rsid w:val="005E2CFB"/>
    <w:rsid w:val="005E4E1E"/>
    <w:rsid w:val="0062378F"/>
    <w:rsid w:val="006273BE"/>
    <w:rsid w:val="00637069"/>
    <w:rsid w:val="00651EEC"/>
    <w:rsid w:val="00660B08"/>
    <w:rsid w:val="006A3412"/>
    <w:rsid w:val="006A351B"/>
    <w:rsid w:val="006B0422"/>
    <w:rsid w:val="006C1B53"/>
    <w:rsid w:val="006D7730"/>
    <w:rsid w:val="006E5284"/>
    <w:rsid w:val="006F3EB5"/>
    <w:rsid w:val="00702E34"/>
    <w:rsid w:val="00704395"/>
    <w:rsid w:val="00720FF1"/>
    <w:rsid w:val="007C0504"/>
    <w:rsid w:val="007F21E3"/>
    <w:rsid w:val="00806CDE"/>
    <w:rsid w:val="00812ED5"/>
    <w:rsid w:val="00820DCD"/>
    <w:rsid w:val="008277D9"/>
    <w:rsid w:val="00845C89"/>
    <w:rsid w:val="00855CC8"/>
    <w:rsid w:val="008A3E8D"/>
    <w:rsid w:val="008D330F"/>
    <w:rsid w:val="008E6CE5"/>
    <w:rsid w:val="009237C4"/>
    <w:rsid w:val="00945D64"/>
    <w:rsid w:val="00950252"/>
    <w:rsid w:val="00967F5D"/>
    <w:rsid w:val="009A0F95"/>
    <w:rsid w:val="009B3ADF"/>
    <w:rsid w:val="009C3B52"/>
    <w:rsid w:val="00A42218"/>
    <w:rsid w:val="00A5354B"/>
    <w:rsid w:val="00A70249"/>
    <w:rsid w:val="00AC1E24"/>
    <w:rsid w:val="00AE6156"/>
    <w:rsid w:val="00B05230"/>
    <w:rsid w:val="00B06AE5"/>
    <w:rsid w:val="00B33BEA"/>
    <w:rsid w:val="00B504D1"/>
    <w:rsid w:val="00B57C9F"/>
    <w:rsid w:val="00B67AC8"/>
    <w:rsid w:val="00B709BA"/>
    <w:rsid w:val="00B845B3"/>
    <w:rsid w:val="00B85D8B"/>
    <w:rsid w:val="00BB5398"/>
    <w:rsid w:val="00BD2A91"/>
    <w:rsid w:val="00BE3674"/>
    <w:rsid w:val="00C17271"/>
    <w:rsid w:val="00C3049A"/>
    <w:rsid w:val="00C31B1E"/>
    <w:rsid w:val="00C77645"/>
    <w:rsid w:val="00CE04C3"/>
    <w:rsid w:val="00CE71D4"/>
    <w:rsid w:val="00CE76A0"/>
    <w:rsid w:val="00D148C6"/>
    <w:rsid w:val="00D4763B"/>
    <w:rsid w:val="00D8191F"/>
    <w:rsid w:val="00DC33E6"/>
    <w:rsid w:val="00DC7F2A"/>
    <w:rsid w:val="00DD06FF"/>
    <w:rsid w:val="00DD5FE9"/>
    <w:rsid w:val="00DE6310"/>
    <w:rsid w:val="00E00C7A"/>
    <w:rsid w:val="00E15D6A"/>
    <w:rsid w:val="00E47C23"/>
    <w:rsid w:val="00E538BF"/>
    <w:rsid w:val="00E55B68"/>
    <w:rsid w:val="00EC015F"/>
    <w:rsid w:val="00F74360"/>
    <w:rsid w:val="00F95BC9"/>
    <w:rsid w:val="00FB462F"/>
    <w:rsid w:val="00FD57BA"/>
    <w:rsid w:val="00FE16FA"/>
    <w:rsid w:val="00FE328A"/>
    <w:rsid w:val="00FF163B"/>
    <w:rsid w:val="0A733E75"/>
    <w:rsid w:val="1D4D2168"/>
    <w:rsid w:val="256A1D59"/>
    <w:rsid w:val="283056A4"/>
    <w:rsid w:val="2A2C24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7"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7"/>
    <w:pPr>
      <w:spacing w:before="100" w:beforeAutospacing="1" w:after="100" w:afterAutospacing="1"/>
      <w:jc w:val="left"/>
    </w:pPr>
    <w:rPr>
      <w:rFonts w:ascii="Times New Roman" w:hAnsi="Times New Roman" w:eastAsia="宋体" w:cs="Times New Roman"/>
      <w:kern w:val="0"/>
      <w:sz w:val="24"/>
      <w:szCs w:val="24"/>
    </w:rPr>
  </w:style>
  <w:style w:type="character" w:customStyle="1" w:styleId="8">
    <w:name w:val="页眉 Char"/>
    <w:basedOn w:val="7"/>
    <w:link w:val="4"/>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paragraph" w:customStyle="1" w:styleId="13">
    <w:name w:val="HTML Bottom of Form"/>
    <w:basedOn w:val="1"/>
    <w:next w:val="1"/>
    <w:link w:val="14"/>
    <w:qFormat/>
    <w:uiPriority w:val="0"/>
    <w:pPr>
      <w:widowControl/>
      <w:pBdr>
        <w:top w:val="single" w:color="auto" w:sz="6" w:space="1"/>
      </w:pBdr>
      <w:jc w:val="center"/>
    </w:pPr>
    <w:rPr>
      <w:rFonts w:ascii="Arial" w:hAnsi="Arial" w:eastAsia="宋体" w:cs="Arial"/>
      <w:vanish/>
      <w:kern w:val="0"/>
      <w:sz w:val="16"/>
      <w:szCs w:val="16"/>
    </w:rPr>
  </w:style>
  <w:style w:type="character" w:customStyle="1" w:styleId="14">
    <w:name w:val="z-窗体底端 Char"/>
    <w:basedOn w:val="7"/>
    <w:link w:val="13"/>
    <w:qFormat/>
    <w:uiPriority w:val="0"/>
    <w:rPr>
      <w:rFonts w:ascii="Arial" w:hAnsi="Arial" w:eastAsia="宋体" w:cs="Arial"/>
      <w:vanish/>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23B3D2-BEBA-458A-BEA9-E78B7FFC24B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1727</Words>
  <Characters>9847</Characters>
  <Lines>82</Lines>
  <Paragraphs>23</Paragraphs>
  <TotalTime>0</TotalTime>
  <ScaleCrop>false</ScaleCrop>
  <LinksUpToDate>false</LinksUpToDate>
  <CharactersWithSpaces>11551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冰之剑</cp:lastModifiedBy>
  <cp:lastPrinted>2020-07-15T07:25:00Z</cp:lastPrinted>
  <dcterms:modified xsi:type="dcterms:W3CDTF">2021-06-23T12:57:43Z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F928EC7AF6E14CBB95857BB74B704540</vt:lpwstr>
  </property>
</Properties>
</file>