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sz w:val="56"/>
          <w:szCs w:val="56"/>
        </w:rPr>
      </w:pPr>
    </w:p>
    <w:p>
      <w:pPr>
        <w:pStyle w:val="9"/>
        <w:jc w:val="center"/>
        <w:rPr>
          <w:sz w:val="56"/>
          <w:szCs w:val="56"/>
        </w:rPr>
      </w:pPr>
    </w:p>
    <w:p>
      <w:pPr>
        <w:pStyle w:val="9"/>
        <w:jc w:val="center"/>
        <w:rPr>
          <w:sz w:val="84"/>
          <w:szCs w:val="84"/>
        </w:rPr>
      </w:pPr>
    </w:p>
    <w:p>
      <w:pPr>
        <w:pStyle w:val="9"/>
        <w:jc w:val="center"/>
        <w:rPr>
          <w:sz w:val="84"/>
          <w:szCs w:val="84"/>
        </w:rPr>
      </w:pPr>
    </w:p>
    <w:p>
      <w:pPr>
        <w:pStyle w:val="9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2019年度</w:t>
      </w:r>
    </w:p>
    <w:p>
      <w:pPr>
        <w:pStyle w:val="9"/>
        <w:jc w:val="center"/>
        <w:rPr>
          <w:rFonts w:ascii="Times New Roman" w:cs="Times New Roman"/>
          <w:sz w:val="84"/>
          <w:szCs w:val="84"/>
        </w:rPr>
      </w:pPr>
      <w:r>
        <w:rPr>
          <w:rFonts w:hint="eastAsia" w:ascii="Times New Roman" w:hAnsi="黑体" w:cs="Times New Roman"/>
          <w:sz w:val="84"/>
          <w:szCs w:val="84"/>
        </w:rPr>
        <w:t>衡南县文化馆</w:t>
      </w:r>
    </w:p>
    <w:p>
      <w:pPr>
        <w:pStyle w:val="9"/>
        <w:jc w:val="center"/>
        <w:rPr>
          <w:rFonts w:ascii="Times New Roman" w:cs="Times New Roman"/>
          <w:sz w:val="84"/>
          <w:szCs w:val="84"/>
        </w:rPr>
      </w:pPr>
      <w:r>
        <w:rPr>
          <w:rFonts w:ascii="Times New Roman" w:hAnsi="黑体" w:cs="Times New Roman"/>
          <w:sz w:val="84"/>
          <w:szCs w:val="84"/>
        </w:rPr>
        <w:t>部门决算</w:t>
      </w:r>
    </w:p>
    <w:p>
      <w:pPr>
        <w:pStyle w:val="9"/>
        <w:jc w:val="center"/>
        <w:rPr>
          <w:sz w:val="56"/>
          <w:szCs w:val="56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56"/>
          <w:szCs w:val="56"/>
        </w:rPr>
      </w:pPr>
    </w:p>
    <w:p>
      <w:pPr>
        <w:pStyle w:val="9"/>
        <w:jc w:val="center"/>
        <w:rPr>
          <w:sz w:val="56"/>
          <w:szCs w:val="56"/>
        </w:rPr>
      </w:pPr>
    </w:p>
    <w:p>
      <w:pPr>
        <w:pStyle w:val="9"/>
        <w:jc w:val="center"/>
        <w:rPr>
          <w:sz w:val="56"/>
          <w:szCs w:val="56"/>
        </w:rPr>
      </w:pPr>
    </w:p>
    <w:p>
      <w:pPr>
        <w:pStyle w:val="9"/>
        <w:jc w:val="center"/>
        <w:rPr>
          <w:sz w:val="56"/>
          <w:szCs w:val="56"/>
        </w:rPr>
      </w:pPr>
    </w:p>
    <w:p>
      <w:pPr>
        <w:pStyle w:val="9"/>
        <w:jc w:val="center"/>
        <w:rPr>
          <w:sz w:val="56"/>
          <w:szCs w:val="56"/>
        </w:rPr>
      </w:pPr>
    </w:p>
    <w:p>
      <w:pPr>
        <w:pStyle w:val="9"/>
        <w:spacing w:line="540" w:lineRule="exact"/>
        <w:jc w:val="center"/>
        <w:rPr>
          <w:sz w:val="56"/>
          <w:szCs w:val="56"/>
        </w:rPr>
      </w:pPr>
    </w:p>
    <w:p>
      <w:pPr>
        <w:pStyle w:val="9"/>
        <w:spacing w:line="520" w:lineRule="exact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目录</w:t>
      </w:r>
    </w:p>
    <w:p>
      <w:pPr>
        <w:pStyle w:val="9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</w:t>
      </w:r>
      <w:r>
        <w:rPr>
          <w:rFonts w:hint="eastAsia"/>
          <w:b/>
          <w:sz w:val="28"/>
          <w:szCs w:val="28"/>
          <w:lang w:eastAsia="zh-CN"/>
        </w:rPr>
        <w:t>衡南县文化馆</w:t>
      </w:r>
      <w:r>
        <w:rPr>
          <w:rFonts w:hint="eastAsia"/>
          <w:b/>
          <w:sz w:val="28"/>
          <w:szCs w:val="28"/>
        </w:rPr>
        <w:t>概况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一、部门职责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二、机构设置</w:t>
      </w:r>
    </w:p>
    <w:p>
      <w:pPr>
        <w:pStyle w:val="9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hAnsi="仿宋_GB2312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2019</w:t>
      </w:r>
      <w:r>
        <w:rPr>
          <w:rFonts w:hint="eastAsia" w:hAnsi="仿宋_GB2312"/>
          <w:b/>
          <w:sz w:val="28"/>
          <w:szCs w:val="28"/>
        </w:rPr>
        <w:t>年度部门决算表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二、收入决算表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三、支出决算表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四、财政拨款收入支出决算总表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五、一般公共预算财政拨款支出决算表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六、一般公共预算财政拨款基本支出决算表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七、一般公共预算财政拨款“三公”经费支出决算表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八、政府性基金预算财政拨款收入支出决算表</w:t>
      </w:r>
    </w:p>
    <w:p>
      <w:pPr>
        <w:pStyle w:val="9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hAnsi="仿宋_GB2312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2019</w:t>
      </w:r>
      <w:r>
        <w:rPr>
          <w:rFonts w:hint="eastAsia" w:hAnsi="仿宋_GB2312"/>
          <w:b/>
          <w:sz w:val="28"/>
          <w:szCs w:val="28"/>
        </w:rPr>
        <w:t>年度部门决算情况说明</w:t>
      </w:r>
    </w:p>
    <w:p>
      <w:pPr>
        <w:pStyle w:val="9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一、收入支出决算总体情况说明</w:t>
      </w:r>
    </w:p>
    <w:p>
      <w:pPr>
        <w:spacing w:line="520" w:lineRule="exact"/>
        <w:ind w:firstLine="700" w:firstLineChars="25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政府性基金预算收入支出决算情况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九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、预算绩效情况说明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十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、其他重要事项情况说明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黑体" w:hAnsi="黑体" w:eastAsia="黑体" w:cs="仿宋_GB2312"/>
          <w:b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第四部分名词解释</w:t>
      </w:r>
    </w:p>
    <w:p>
      <w:pPr>
        <w:spacing w:line="520" w:lineRule="exact"/>
        <w:jc w:val="left"/>
        <w:rPr>
          <w:rFonts w:ascii="黑体" w:hAnsi="黑体" w:eastAsia="黑体" w:cs="仿宋_GB2312"/>
          <w:b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第五部分附件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第一部分</w:t>
      </w:r>
      <w:r>
        <w:rPr>
          <w:sz w:val="72"/>
          <w:szCs w:val="72"/>
        </w:rPr>
        <w:t xml:space="preserve"> </w:t>
      </w: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  <w:r>
        <w:rPr>
          <w:rFonts w:hint="eastAsia"/>
          <w:sz w:val="72"/>
          <w:szCs w:val="72"/>
          <w:lang w:eastAsia="zh-CN"/>
        </w:rPr>
        <w:t>衡南县文化馆</w:t>
      </w:r>
      <w:r>
        <w:rPr>
          <w:rFonts w:hint="eastAsia"/>
          <w:sz w:val="72"/>
          <w:szCs w:val="72"/>
        </w:rPr>
        <w:t>概况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pStyle w:val="10"/>
        <w:ind w:left="720" w:firstLine="0" w:firstLineChars="0"/>
        <w:jc w:val="left"/>
        <w:rPr>
          <w:rFonts w:ascii="黑体" w:hAnsi="黑体" w:eastAsia="黑体"/>
          <w:sz w:val="32"/>
          <w:szCs w:val="32"/>
        </w:rPr>
      </w:pPr>
    </w:p>
    <w:p>
      <w:pPr>
        <w:pStyle w:val="10"/>
        <w:numPr>
          <w:ilvl w:val="0"/>
          <w:numId w:val="1"/>
        </w:numPr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部门职责</w:t>
      </w:r>
    </w:p>
    <w:p>
      <w:pPr>
        <w:ind w:firstLine="800" w:firstLineChars="250"/>
        <w:jc w:val="left"/>
        <w:rPr>
          <w:rFonts w:asciiTheme="minorEastAsia" w:hAnsiTheme="minorEastAsia"/>
          <w:sz w:val="32"/>
          <w:szCs w:val="32"/>
        </w:rPr>
      </w:pP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(一)举办各类展览、讲座、培训等，普及科学文化知识，开展社会教育，提高</w:t>
      </w:r>
      <w:r>
        <w:fldChar w:fldCharType="begin"/>
      </w:r>
      <w:r>
        <w:instrText xml:space="preserve"> HYPERLINK "https://baike.so.com/doc/4936308-5156808.html" \t "_blank" </w:instrText>
      </w:r>
      <w:r>
        <w:fldChar w:fldCharType="separate"/>
      </w:r>
      <w:r>
        <w:rPr>
          <w:rFonts w:ascii="宋体" w:hAnsi="宋体"/>
        </w:rPr>
        <w:t>群众文化</w:t>
      </w:r>
      <w:r>
        <w:rPr>
          <w:rFonts w:ascii="宋体" w:hAnsi="宋体"/>
        </w:rPr>
        <w:fldChar w:fldCharType="end"/>
      </w:r>
      <w:r>
        <w:rPr>
          <w:rFonts w:ascii="宋体" w:hAnsi="宋体"/>
          <w:sz w:val="28"/>
          <w:szCs w:val="28"/>
        </w:rPr>
        <w:t>素质，促进当地精神文明建设。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(二)组织开展丰富多彩的、群众喜闻乐见的文化活动;开展流动文化服务;指导群众业余文艺团队建设，辅导和培训群众文艺骨干。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(三)组织并指导群众文艺创作，开展群众文化工作理论研究。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(四)收集、整理、研究非物质文化遗产，开展非物质文化遗产的普查、展示、宣传活动，指导传承人开展传习活动。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(五)建成全国文化信息资源共享工程基层服务点，开展数字文化信息服务。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(六)指导下一级文化馆(文化站、社区文化中心)工作，为下一级文化馆(文化站、社区文化中心)培训人员，并向下一级文化馆(文化站、社区文化中心)配送文化资源和文化服务。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(七)指导本地区老年文化、老年教育、少儿文化工作;</w:t>
      </w:r>
    </w:p>
    <w:p>
      <w:pPr>
        <w:ind w:left="72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(八)开展对外民间文化交流。</w:t>
      </w:r>
    </w:p>
    <w:p>
      <w:pPr>
        <w:widowControl/>
        <w:spacing w:line="600" w:lineRule="exact"/>
        <w:rPr>
          <w:rFonts w:ascii="黑体" w:hAnsi="黑体" w:eastAsia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二、机构设置及决算单位构成</w:t>
      </w:r>
    </w:p>
    <w:p>
      <w:pPr>
        <w:widowControl/>
        <w:spacing w:line="600" w:lineRule="exact"/>
        <w:rPr>
          <w:rFonts w:asciiTheme="minorEastAsia" w:hAnsiTheme="minorEastAsia"/>
          <w:bCs/>
          <w:kern w:val="0"/>
          <w:sz w:val="32"/>
          <w:szCs w:val="32"/>
        </w:rPr>
      </w:pPr>
      <w:r>
        <w:rPr>
          <w:rFonts w:hint="eastAsia" w:asciiTheme="minorEastAsia" w:hAnsiTheme="minorEastAsia"/>
          <w:bCs/>
          <w:kern w:val="0"/>
          <w:sz w:val="32"/>
          <w:szCs w:val="32"/>
        </w:rPr>
        <w:t>（一）内设机构设置。</w:t>
      </w:r>
    </w:p>
    <w:p>
      <w:pPr>
        <w:widowControl/>
        <w:spacing w:line="600" w:lineRule="exact"/>
        <w:ind w:firstLine="700" w:firstLineChars="250"/>
        <w:rPr>
          <w:rFonts w:asciiTheme="minorEastAsia" w:hAnsiTheme="minorEastAsia"/>
          <w:bCs/>
          <w:kern w:val="0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>2019年衡南县文化馆下设办公室、文艺创作股、群文辅导股、公共文化服务股、工会等相关股室</w:t>
      </w:r>
    </w:p>
    <w:p>
      <w:pPr>
        <w:widowControl/>
        <w:spacing w:line="600" w:lineRule="exact"/>
        <w:rPr>
          <w:rFonts w:asciiTheme="minorEastAsia" w:hAnsiTheme="minorEastAsia" w:cstheme="minorEastAsia"/>
          <w:bCs/>
          <w:color w:val="FF0000"/>
          <w:kern w:val="0"/>
          <w:sz w:val="32"/>
          <w:szCs w:val="32"/>
        </w:rPr>
      </w:pPr>
      <w:r>
        <w:rPr>
          <w:rFonts w:hint="eastAsia" w:asciiTheme="minorEastAsia" w:hAnsiTheme="minorEastAsia"/>
          <w:bCs/>
          <w:kern w:val="0"/>
          <w:sz w:val="32"/>
          <w:szCs w:val="32"/>
        </w:rPr>
        <w:t>（二）决算单位构成。衡南县文化馆</w:t>
      </w:r>
      <w:r>
        <w:rPr>
          <w:rFonts w:asciiTheme="minorEastAsia" w:hAnsiTheme="minorEastAsia"/>
          <w:bCs/>
          <w:kern w:val="0"/>
          <w:sz w:val="32"/>
          <w:szCs w:val="32"/>
        </w:rPr>
        <w:t>2019</w:t>
      </w:r>
      <w:r>
        <w:rPr>
          <w:rFonts w:hint="eastAsia" w:asciiTheme="minorEastAsia" w:hAnsiTheme="minorEastAsia"/>
          <w:bCs/>
          <w:kern w:val="0"/>
          <w:sz w:val="32"/>
          <w:szCs w:val="32"/>
        </w:rPr>
        <w:t>年部门决算汇总公开单位构成包括：衡南县文化馆本级。</w:t>
      </w:r>
    </w:p>
    <w:p>
      <w:pPr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rFonts w:ascii="黑体" w:hAnsi="黑体" w:eastAsia="黑体" w:cs="黑体"/>
          <w:sz w:val="72"/>
          <w:szCs w:val="72"/>
        </w:rPr>
      </w:pPr>
      <w:r>
        <w:rPr>
          <w:rFonts w:hint="eastAsia" w:ascii="黑体" w:hAnsi="黑体" w:eastAsia="黑体" w:cs="黑体"/>
          <w:sz w:val="72"/>
          <w:szCs w:val="72"/>
        </w:rPr>
        <w:t>第二部分</w:t>
      </w:r>
    </w:p>
    <w:p>
      <w:pPr>
        <w:jc w:val="center"/>
        <w:rPr>
          <w:rFonts w:ascii="黑体" w:hAnsi="黑体" w:eastAsia="黑体" w:cs="黑体"/>
          <w:sz w:val="72"/>
          <w:szCs w:val="72"/>
        </w:rPr>
      </w:pPr>
    </w:p>
    <w:p>
      <w:pPr>
        <w:jc w:val="center"/>
        <w:rPr>
          <w:rFonts w:ascii="黑体" w:hAnsi="黑体" w:eastAsia="黑体" w:cs="黑体"/>
          <w:sz w:val="72"/>
          <w:szCs w:val="72"/>
        </w:rPr>
      </w:pPr>
      <w:r>
        <w:rPr>
          <w:rFonts w:hint="eastAsia" w:ascii="黑体" w:hAnsi="黑体" w:eastAsia="黑体" w:cs="黑体"/>
          <w:sz w:val="72"/>
          <w:szCs w:val="72"/>
        </w:rPr>
        <w:t>部门决算表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(部门决算公示表附后)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rFonts w:asciiTheme="minorEastAsia" w:hAnsiTheme="minorEastAsia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9"/>
        <w:rPr>
          <w:sz w:val="72"/>
          <w:szCs w:val="72"/>
        </w:rPr>
      </w:pPr>
    </w:p>
    <w:p>
      <w:pPr>
        <w:pStyle w:val="9"/>
        <w:rPr>
          <w:sz w:val="72"/>
          <w:szCs w:val="72"/>
        </w:rPr>
      </w:pPr>
    </w:p>
    <w:p>
      <w:pPr>
        <w:pStyle w:val="9"/>
        <w:rPr>
          <w:sz w:val="72"/>
          <w:szCs w:val="72"/>
        </w:rPr>
      </w:pPr>
    </w:p>
    <w:p>
      <w:pPr>
        <w:pStyle w:val="9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第三部分</w:t>
      </w:r>
    </w:p>
    <w:p>
      <w:pPr>
        <w:pStyle w:val="9"/>
        <w:jc w:val="center"/>
        <w:rPr>
          <w:sz w:val="70"/>
          <w:szCs w:val="70"/>
        </w:rPr>
      </w:pPr>
    </w:p>
    <w:p>
      <w:pPr>
        <w:pStyle w:val="9"/>
        <w:jc w:val="center"/>
        <w:rPr>
          <w:sz w:val="70"/>
          <w:szCs w:val="70"/>
        </w:rPr>
      </w:pPr>
      <w:r>
        <w:rPr>
          <w:sz w:val="70"/>
          <w:szCs w:val="70"/>
        </w:rPr>
        <w:t>2019</w:t>
      </w:r>
      <w:r>
        <w:rPr>
          <w:rFonts w:hint="eastAsia"/>
          <w:sz w:val="70"/>
          <w:szCs w:val="70"/>
        </w:rPr>
        <w:t>年度部门决算情况说明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sz w:val="70"/>
          <w:szCs w:val="70"/>
        </w:rPr>
        <w:br w:type="page"/>
      </w:r>
    </w:p>
    <w:p>
      <w:pPr>
        <w:pStyle w:val="9"/>
        <w:rPr>
          <w:rFonts w:asciiTheme="minorEastAsia" w:hAnsiTheme="minorEastAsia" w:eastAsiaTheme="minorEastAsia"/>
          <w:sz w:val="32"/>
          <w:szCs w:val="32"/>
        </w:rPr>
      </w:pP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一、收入支出决算总体情况说明</w:t>
      </w:r>
    </w:p>
    <w:p>
      <w:pPr>
        <w:pStyle w:val="9"/>
        <w:ind w:firstLine="640" w:firstLineChars="200"/>
        <w:rPr>
          <w:rFonts w:asciiTheme="minorEastAsia" w:hAnsiTheme="minorEastAsia" w:eastAsiaTheme="minorEastAsia"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 年度收、支总计216.6万元。与2018年相比，减少21.21万元，减少8.9%。</w:t>
      </w: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二、收入决算情况说明</w:t>
      </w:r>
    </w:p>
    <w:p>
      <w:pPr>
        <w:pStyle w:val="9"/>
        <w:ind w:firstLine="624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4"/>
          <w:sz w:val="32"/>
          <w:szCs w:val="32"/>
        </w:rPr>
        <w:t>本年收入合计216.6万元，其中：财政拨款收入216.4万元，占99.9%；年初结余0.2万元，</w:t>
      </w:r>
      <w:r>
        <w:rPr>
          <w:rFonts w:hint="eastAsia" w:asciiTheme="minorEastAsia" w:hAnsiTheme="minorEastAsia" w:eastAsiaTheme="minorEastAsia" w:cstheme="minorEastAsia"/>
          <w:spacing w:val="-4"/>
          <w:sz w:val="32"/>
        </w:rPr>
        <w:t>无其他收入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三、支出决算情况说明</w:t>
      </w:r>
    </w:p>
    <w:p>
      <w:pPr>
        <w:ind w:firstLine="624" w:firstLineChars="200"/>
        <w:rPr>
          <w:rFonts w:hint="eastAsia" w:asciiTheme="minorEastAsia" w:hAnsiTheme="minorEastAsia" w:eastAsiaTheme="minorEastAsia" w:cstheme="minorEastAsia"/>
          <w:color w:val="000000"/>
          <w:spacing w:val="-4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-4"/>
          <w:kern w:val="0"/>
          <w:sz w:val="32"/>
          <w:szCs w:val="32"/>
          <w:lang w:val="en-US" w:eastAsia="zh-CN" w:bidi="ar-SA"/>
        </w:rPr>
        <w:t>本年支出合计216.6万元，其中：一般性公共服务支出3万元，文化体育与传媒支出186.8万元，社会保障和就业支出20.4万元，卫生健康支出6.17万元，年末结余0.2万元。</w:t>
      </w:r>
    </w:p>
    <w:p>
      <w:pPr>
        <w:pStyle w:val="9"/>
        <w:ind w:firstLine="624" w:firstLineChars="200"/>
        <w:rPr>
          <w:rFonts w:hint="eastAsia" w:asciiTheme="minorEastAsia" w:hAnsiTheme="minorEastAsia" w:eastAsiaTheme="minorEastAsia" w:cstheme="minorEastAsia"/>
          <w:color w:val="000000"/>
          <w:spacing w:val="-4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-4"/>
          <w:kern w:val="0"/>
          <w:sz w:val="32"/>
          <w:szCs w:val="32"/>
          <w:lang w:val="en-US" w:eastAsia="zh-CN" w:bidi="ar-SA"/>
        </w:rPr>
        <w:t>。</w:t>
      </w: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四、财政拨款收入支出决算总体情况说明</w:t>
      </w:r>
    </w:p>
    <w:p>
      <w:pPr>
        <w:pStyle w:val="9"/>
        <w:ind w:firstLine="640" w:firstLineChars="200"/>
        <w:rPr>
          <w:rFonts w:asciiTheme="minorEastAsia" w:hAnsiTheme="minorEastAsia" w:eastAsiaTheme="minorEastAsia"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 年度收、支总计216.6万元。与2018年相比，减少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57.27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20.93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9"/>
        <w:ind w:firstLine="64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五、一般公共预算财政拨款支出决算情况说明</w:t>
      </w:r>
    </w:p>
    <w:p>
      <w:pPr>
        <w:pStyle w:val="9"/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（一）财政拨款支出决算总体情况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2019年度财政拨款支出216.4万元，占本年支出合计的99.9%，</w:t>
      </w:r>
    </w:p>
    <w:p>
      <w:pPr>
        <w:pStyle w:val="9"/>
        <w:ind w:firstLine="803" w:firstLineChars="25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（二）财政拨款支出决算结构情况</w:t>
      </w:r>
    </w:p>
    <w:p>
      <w:pPr>
        <w:ind w:firstLine="64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Theme="minorEastAsia" w:hAnsiTheme="minorEastAsia" w:cstheme="minorEastAsia"/>
          <w:sz w:val="32"/>
          <w:szCs w:val="32"/>
        </w:rPr>
        <w:t>本年支出合计216.6万元</w:t>
      </w:r>
      <w:bookmarkStart w:id="0" w:name="_GoBack"/>
      <w:bookmarkEnd w:id="0"/>
      <w:r>
        <w:rPr>
          <w:rFonts w:hint="eastAsia" w:asciiTheme="minorEastAsia" w:hAnsiTheme="minorEastAsia" w:cstheme="minorEastAsia"/>
          <w:sz w:val="32"/>
          <w:szCs w:val="32"/>
        </w:rPr>
        <w:t>，</w:t>
      </w:r>
      <w:r>
        <w:rPr>
          <w:rFonts w:hint="eastAsia" w:ascii="宋体" w:hAnsi="宋体"/>
          <w:sz w:val="28"/>
          <w:szCs w:val="28"/>
        </w:rPr>
        <w:t>其中：一般性公共服务支出3万元，文化体育与传媒支出186.8万元，社会保障和就业支出20.4万元，卫生健康支出6.17万元，年末结余0.2万元。</w:t>
      </w:r>
    </w:p>
    <w:p>
      <w:pPr>
        <w:pStyle w:val="9"/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（三）财政拨款支出决算具体情况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2019年度财政拨款支出年初预算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数为211.06万元，支出决算数为216.6万元，完成年初预算的102.5%，其中：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1、一般公共服务支出</w:t>
      </w:r>
    </w:p>
    <w:p>
      <w:pPr>
        <w:pStyle w:val="9"/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一般性公共服务支出3万元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2、社会保障和就业支出</w:t>
      </w:r>
    </w:p>
    <w:p>
      <w:pPr>
        <w:pStyle w:val="9"/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社会保障和就业支出20.4万元</w:t>
      </w:r>
    </w:p>
    <w:p>
      <w:pPr>
        <w:pStyle w:val="9"/>
        <w:ind w:firstLine="960" w:firstLineChars="30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3、卫生健康支出</w:t>
      </w:r>
    </w:p>
    <w:p>
      <w:pPr>
        <w:pStyle w:val="9"/>
        <w:ind w:firstLine="840" w:firstLineChars="3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>卫生健康支出6.17万元</w:t>
      </w:r>
    </w:p>
    <w:p>
      <w:pPr>
        <w:pStyle w:val="9"/>
        <w:ind w:left="1118" w:leftChars="456" w:hanging="160" w:hangingChars="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4、住房保障支出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本年度无该项支出</w:t>
      </w: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六、一般公共预算财政拨款基本支出决算情况说明</w:t>
      </w:r>
    </w:p>
    <w:p>
      <w:pPr>
        <w:pStyle w:val="9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基本支出163.06万元，其中：人员经费146.3万元，占基本支出的89.7%,主要包括基本工资、津贴补贴、奖金；公用经费10.2万元，占基本支出的6.2%，主要包括办公费、印刷费、咨询费、手续费、水电费、差旅费、公务接待费等。</w:t>
      </w: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七、一般公共预算财政拨款三公经费支出决算情况说明</w:t>
      </w:r>
    </w:p>
    <w:p>
      <w:pPr>
        <w:pStyle w:val="9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（一）“三公”经费财政拨款支出决算总体情况说明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“三公”经费财政拨款支出预算为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0.13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3.25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因公出国（境）费支出预算为0万元，支出决算为0万元。</w:t>
      </w:r>
    </w:p>
    <w:p>
      <w:pPr>
        <w:pStyle w:val="9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公务接待费支出预算为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,</w:t>
      </w:r>
      <w:r>
        <w:rPr>
          <w:rFonts w:hint="eastAsia" w:asciiTheme="minorEastAsia" w:hAnsiTheme="minorEastAsia" w:eastAsiaTheme="minorEastAsia"/>
          <w:sz w:val="32"/>
          <w:szCs w:val="32"/>
        </w:rPr>
        <w:t>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0.13</w:t>
      </w:r>
      <w:r>
        <w:rPr>
          <w:rFonts w:hint="eastAsia" w:asciiTheme="minorEastAsia" w:hAnsiTheme="minorEastAsia" w:eastAsia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,</w:t>
      </w:r>
      <w:r>
        <w:rPr>
          <w:rFonts w:hint="eastAsia" w:asciiTheme="minorEastAsia" w:hAnsiTheme="minorEastAsia" w:eastAsiaTheme="minorEastAsia"/>
          <w:sz w:val="32"/>
          <w:szCs w:val="32"/>
        </w:rPr>
        <w:t>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6.5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9"/>
        <w:ind w:firstLine="960" w:firstLineChars="3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公务用车购置费及运行维护费预算为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,</w:t>
      </w:r>
      <w:r>
        <w:rPr>
          <w:rFonts w:hint="eastAsia" w:asciiTheme="minorEastAsia" w:hAnsiTheme="minorEastAsia" w:eastAsiaTheme="minorEastAsia"/>
          <w:sz w:val="32"/>
          <w:szCs w:val="32"/>
        </w:rPr>
        <w:t>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万元，主要原因是：本单位未参加车改，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本年未发生公务用车费用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9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（二）“三公”经费财政拨款支出决算具体情况说明</w:t>
      </w:r>
    </w:p>
    <w:p>
      <w:pPr>
        <w:pStyle w:val="9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2019年度“三公”经费财政拨款支出决算中，公务接待费支出决算3万元，占37.5%,因公出国（境）费支出决算0万元，占0%,公务用车购置费及运行维护费支出决算5万元，占62.5%。其中：</w:t>
      </w:r>
    </w:p>
    <w:p>
      <w:pPr>
        <w:pStyle w:val="9"/>
        <w:ind w:firstLine="640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1、因公出国（境）费支出决算为0万元，全年安排因公出国（境）团组0个，累计0人次。</w:t>
      </w:r>
    </w:p>
    <w:p>
      <w:pPr>
        <w:widowControl/>
        <w:spacing w:line="600" w:lineRule="exact"/>
        <w:ind w:firstLine="64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Theme="minorEastAsia" w:hAnsiTheme="minorEastAsia"/>
          <w:sz w:val="32"/>
          <w:szCs w:val="32"/>
        </w:rPr>
        <w:t>2、公务接待费支出决算为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0.1</w:t>
      </w:r>
      <w:r>
        <w:rPr>
          <w:rFonts w:hint="eastAsia" w:asciiTheme="minorEastAsia" w:hAnsiTheme="minorEastAsia"/>
          <w:sz w:val="32"/>
          <w:szCs w:val="32"/>
        </w:rPr>
        <w:t>3万元，全年共接待来访团组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sz w:val="32"/>
          <w:szCs w:val="32"/>
        </w:rPr>
        <w:t>个，主要是省</w:t>
      </w:r>
      <w:r>
        <w:rPr>
          <w:rFonts w:hint="eastAsia" w:ascii="方正仿宋_GBK" w:hAnsi="方正仿宋_GBK" w:eastAsia="方正仿宋_GBK" w:cs="方正仿宋_GBK"/>
          <w:kern w:val="0"/>
          <w:sz w:val="34"/>
          <w:szCs w:val="34"/>
        </w:rPr>
        <w:t>、</w:t>
      </w:r>
      <w:r>
        <w:rPr>
          <w:rFonts w:hint="eastAsia" w:asciiTheme="minorEastAsia" w:hAnsiTheme="minorEastAsia" w:cstheme="minorEastAsia"/>
          <w:kern w:val="0"/>
          <w:sz w:val="32"/>
          <w:szCs w:val="32"/>
        </w:rPr>
        <w:t>市、县单位业务工作交流发生的接待支出。</w:t>
      </w:r>
    </w:p>
    <w:p>
      <w:pPr>
        <w:ind w:firstLine="800" w:firstLineChars="250"/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</w:rPr>
        <w:t>3、公务用车购置费及运行维护费支出决算为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/>
          <w:sz w:val="32"/>
          <w:szCs w:val="32"/>
        </w:rPr>
        <w:t>万元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,至2019年12月31日，本单位公务用车保有量为0辆，当年新增公务用车为0辆。</w:t>
      </w:r>
    </w:p>
    <w:p>
      <w:pPr>
        <w:ind w:firstLine="803" w:firstLineChars="25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八、政府性基金预算收入支出决算情况</w:t>
      </w:r>
    </w:p>
    <w:p>
      <w:pPr>
        <w:pStyle w:val="9"/>
        <w:rPr>
          <w:rFonts w:asciiTheme="minorEastAsia" w:hAnsiTheme="minorEastAsia" w:eastAsiaTheme="minorEastAsia"/>
          <w:i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2019年度无政府性基金预算财政拨款收支。</w:t>
      </w: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九、关于2019年度预算绩效情况说明</w:t>
      </w:r>
    </w:p>
    <w:p>
      <w:pPr>
        <w:spacing w:line="360" w:lineRule="auto"/>
        <w:ind w:firstLine="640" w:firstLineChars="200"/>
        <w:rPr>
          <w:rFonts w:asciiTheme="minorEastAsia" w:hAnsiTheme="minorEastAsia" w:cstheme="minorEastAsia"/>
          <w:color w:val="010101"/>
          <w:kern w:val="0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</w:t>
      </w:r>
      <w:r>
        <w:rPr>
          <w:rFonts w:hint="eastAsia" w:asciiTheme="minorEastAsia" w:hAnsiTheme="minorEastAsia" w:cstheme="minorEastAsia"/>
          <w:color w:val="333333"/>
          <w:kern w:val="0"/>
          <w:sz w:val="32"/>
          <w:szCs w:val="32"/>
        </w:rPr>
        <w:t>019年</w:t>
      </w:r>
      <w:r>
        <w:rPr>
          <w:rFonts w:hint="eastAsia" w:asciiTheme="minorEastAsia" w:hAnsiTheme="minorEastAsia" w:cstheme="minorEastAsia"/>
          <w:sz w:val="32"/>
          <w:szCs w:val="32"/>
        </w:rPr>
        <w:t>通过加强预算收支的管理，加强管资产管理，不断建立健全内部管理制度，使部门整体支出管理情况得到了提升，较好的完成了各项目标任务。</w:t>
      </w:r>
    </w:p>
    <w:p>
      <w:pPr>
        <w:spacing w:line="360" w:lineRule="auto"/>
        <w:ind w:firstLine="640" w:firstLineChars="200"/>
        <w:rPr>
          <w:rFonts w:asciiTheme="minorEastAsia" w:hAnsiTheme="minorEastAsia" w:cstheme="minorEastAsia"/>
          <w:color w:val="010101"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color w:val="333333"/>
          <w:kern w:val="0"/>
          <w:sz w:val="32"/>
          <w:szCs w:val="32"/>
        </w:rPr>
        <w:t>一是</w:t>
      </w:r>
      <w:r>
        <w:rPr>
          <w:rFonts w:hint="eastAsia" w:asciiTheme="minorEastAsia" w:hAnsiTheme="minorEastAsia" w:cstheme="minorEastAsia"/>
          <w:color w:val="010101"/>
          <w:kern w:val="0"/>
          <w:sz w:val="32"/>
          <w:szCs w:val="32"/>
        </w:rPr>
        <w:t>支出总额控制在预算总额以内，严格执行了国库集中支付、政府采购等有关规定，确保了支出管理流程、审批手续的完整。</w:t>
      </w:r>
    </w:p>
    <w:p>
      <w:pPr>
        <w:spacing w:line="360" w:lineRule="auto"/>
        <w:ind w:firstLine="640" w:firstLineChars="200"/>
        <w:rPr>
          <w:rFonts w:asciiTheme="minorEastAsia" w:hAnsiTheme="minorEastAsia" w:cstheme="minorEastAsia"/>
          <w:color w:val="333333"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color w:val="010101"/>
          <w:kern w:val="0"/>
          <w:sz w:val="32"/>
          <w:szCs w:val="32"/>
        </w:rPr>
        <w:t>二是</w:t>
      </w:r>
      <w:r>
        <w:rPr>
          <w:rFonts w:hint="eastAsia" w:asciiTheme="minorEastAsia" w:hAnsiTheme="minorEastAsia" w:cstheme="minorEastAsia"/>
          <w:color w:val="000000"/>
          <w:sz w:val="32"/>
          <w:szCs w:val="32"/>
        </w:rPr>
        <w:t>在确保人员经费、日常公用经费的正常开支基础上，保证重点工作支出，大力压缩一般性支出，严控“三公”经费支出，</w:t>
      </w:r>
      <w:r>
        <w:rPr>
          <w:rFonts w:hint="eastAsia" w:asciiTheme="minorEastAsia" w:hAnsiTheme="minorEastAsia" w:cstheme="minorEastAsia"/>
          <w:sz w:val="32"/>
          <w:szCs w:val="32"/>
        </w:rPr>
        <w:t>提高财政资金使用效益。</w:t>
      </w:r>
    </w:p>
    <w:p>
      <w:pPr>
        <w:pStyle w:val="9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十、其他重要事项情况说明</w:t>
      </w:r>
    </w:p>
    <w:p>
      <w:pPr>
        <w:ind w:firstLine="482" w:firstLineChars="15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（一）机关运行经费支出情况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本部门2019 年度机关运行经费支出10.2万元，比年初预算数增加0万元，增长0%。</w:t>
      </w:r>
    </w:p>
    <w:p>
      <w:pPr>
        <w:numPr>
          <w:ilvl w:val="0"/>
          <w:numId w:val="2"/>
        </w:numPr>
        <w:ind w:firstLine="643" w:firstLineChars="200"/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一般性支出情况</w:t>
      </w:r>
    </w:p>
    <w:p>
      <w:pPr>
        <w:ind w:firstLine="640" w:firstLineChars="200"/>
        <w:rPr>
          <w:rFonts w:hint="eastAsia"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2019年本部门发生人员经费1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13.69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万元，发生商品和服务支出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10.2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万元。其中大部分经费用于日常人员经费开支，由于单位严控支出，其它支出金额较少。</w:t>
      </w:r>
    </w:p>
    <w:p>
      <w:pPr>
        <w:ind w:firstLine="643" w:firstLineChars="20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（三）政府采购支出情况</w:t>
      </w:r>
    </w:p>
    <w:p>
      <w:pPr>
        <w:ind w:firstLine="640" w:firstLineChars="200"/>
        <w:rPr>
          <w:rFonts w:cs="黑体" w:asciiTheme="minorEastAsia" w:hAnsiTheme="minorEastAsia"/>
          <w:i/>
          <w:color w:val="FF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本部门2019年度政府采购支出</w:t>
      </w:r>
      <w:r>
        <w:rPr>
          <w:rFonts w:hint="eastAsia" w:cs="黑体" w:asciiTheme="minorEastAsia" w:hAnsiTheme="minorEastAsia"/>
          <w:kern w:val="0"/>
          <w:sz w:val="32"/>
          <w:szCs w:val="32"/>
        </w:rPr>
        <w:t>总额0万元，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其中：政府采购货物支出0万元、政府采购工程支出0万元、政府采购服务支出0万元。</w:t>
      </w:r>
    </w:p>
    <w:p>
      <w:pPr>
        <w:ind w:firstLine="482" w:firstLineChars="15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（四）国有资产占用情况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截至2019年12月31日，本单位共有车辆0辆。单位价值50万元以上通用设备0台（套）；单位价值100万元以上专用设备0台（套）。</w:t>
      </w:r>
    </w:p>
    <w:p>
      <w:pPr>
        <w:widowControl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cs="黑体" w:asciiTheme="minorEastAsia" w:hAnsiTheme="minorEastAsia"/>
          <w:color w:val="000000"/>
          <w:kern w:val="0"/>
          <w:sz w:val="32"/>
          <w:szCs w:val="32"/>
        </w:rPr>
        <w:br w:type="page"/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第四部分</w:t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 w:ascii="黑体" w:eastAsia="黑体" w:cs="黑体"/>
          <w:color w:val="000000"/>
          <w:kern w:val="0"/>
          <w:sz w:val="70"/>
          <w:szCs w:val="70"/>
        </w:rPr>
        <w:t>名词解释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一、财政拨款收入：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指财政部门核拨给单位的财政预算资金。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二、事业收入：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指事业单位开展专业业务活动及辅助活动所取得的收入。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三、附属单位上缴收入：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指事业单位附属独立核算单位按有关规定上缴的收入。</w:t>
      </w:r>
    </w:p>
    <w:p>
      <w:pPr>
        <w:widowControl/>
        <w:spacing w:line="600" w:lineRule="exact"/>
        <w:ind w:firstLine="680" w:firstLineChars="200"/>
        <w:rPr>
          <w:rFonts w:ascii="方正仿宋_GBK" w:hAnsi="方正仿宋_GBK" w:eastAsia="方正仿宋_GBK" w:cs="方正仿宋_GBK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四、其他收入：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指单位取得的除上述“财政拨款收入”、“事业收入”、“附属单位上缴收入”等以外的收入。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五、年初结转和结余：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指以前年度尚未完成、结转到本年仍按有关规定继续使用的资金。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六、用事业基金弥补收支差额：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</w:t>
      </w:r>
    </w:p>
    <w:p>
      <w:pPr>
        <w:widowControl/>
        <w:spacing w:line="600" w:lineRule="exact"/>
        <w:ind w:firstLine="680" w:firstLineChars="200"/>
        <w:rPr>
          <w:rFonts w:ascii="方正仿宋_GBK" w:hAnsi="方正仿宋_GBK" w:eastAsia="方正仿宋_GBK" w:cs="方正仿宋_GBK"/>
          <w:bCs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七、卫生健康支出（类）行政事业单位医疗（款）其他行政事业单位医疗支出（项）：</w:t>
      </w:r>
      <w:r>
        <w:rPr>
          <w:rFonts w:hint="eastAsia" w:asciiTheme="minorEastAsia" w:hAnsiTheme="minorEastAsia" w:cstheme="minorEastAsia"/>
          <w:bCs/>
          <w:kern w:val="0"/>
          <w:sz w:val="34"/>
          <w:szCs w:val="34"/>
        </w:rPr>
        <w:t>指单位医疗保障经费</w:t>
      </w:r>
      <w:r>
        <w:rPr>
          <w:rFonts w:hint="eastAsia" w:ascii="方正仿宋_GBK" w:hAnsi="方正仿宋_GBK" w:eastAsia="方正仿宋_GBK" w:cs="方正仿宋_GBK"/>
          <w:bCs/>
          <w:kern w:val="0"/>
          <w:sz w:val="34"/>
          <w:szCs w:val="34"/>
        </w:rPr>
        <w:t>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八、住房保障支出（类）住房改革支出（款）住房公积金（项）：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指住房公积金。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九、结余分配：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指事业单位按规定提取的职工福利基金、事业基金和缴纳的所得税，以及建设单位按规定应交回的基本建设竣工项目结余资金。</w:t>
      </w:r>
    </w:p>
    <w:p>
      <w:pPr>
        <w:widowControl/>
        <w:autoSpaceDE w:val="0"/>
        <w:autoSpaceDN w:val="0"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十、年末结转和结余：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指本年度或以前年度预算安排、因客观条件发生变化无法按原计划实施，需延迟到以后年度按有关规定继续使用的资金。</w:t>
      </w:r>
    </w:p>
    <w:p>
      <w:pPr>
        <w:widowControl/>
        <w:autoSpaceDE w:val="0"/>
        <w:autoSpaceDN w:val="0"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十一、基本支出：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指为保障机构正常运转、完成日常工作任务而发生的人员支出和公用支出。</w:t>
      </w:r>
    </w:p>
    <w:p>
      <w:pPr>
        <w:widowControl/>
        <w:autoSpaceDE w:val="0"/>
        <w:autoSpaceDN w:val="0"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十二、项目支出：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指在基本支出之外，为完成特定行政任务和事业发展目标所发生的支出。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十三、“三公”经费：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财政拨款安排的因公出国（境）费、公务用车购置及运行费和公务接待费。其中，因公出国（境）费反映单位公务出国（境）的国际旅费、国外城市间交通费、住宿费、伙食费、培训费、公杂费等支出；公务用车购置及运行费反映单位公务用车车辆购置支出（含车辆购置税）及租用费、燃料费、维修费、过路过桥费、保险费、安全奖励费用等支出；公务接待费反映单位按规定开支的各类公务接待（含外宾接待）支出。</w:t>
      </w:r>
    </w:p>
    <w:p>
      <w:pPr>
        <w:widowControl/>
        <w:spacing w:line="600" w:lineRule="exact"/>
        <w:ind w:firstLine="680" w:firstLineChars="20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4"/>
          <w:szCs w:val="34"/>
        </w:rPr>
        <w:t>十四、机关运行经费：</w:t>
      </w:r>
      <w:r>
        <w:rPr>
          <w:rFonts w:hint="eastAsia" w:asciiTheme="minorEastAsia" w:hAnsiTheme="minorEastAsia" w:cstheme="minorEastAsia"/>
          <w:kern w:val="0"/>
          <w:sz w:val="34"/>
          <w:szCs w:val="34"/>
        </w:rPr>
        <w:t>指为保障行政单位（含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pStyle w:val="12"/>
        <w:widowControl/>
        <w:spacing w:before="0" w:beforeAutospacing="0"/>
        <w:jc w:val="both"/>
        <w:rPr>
          <w:rFonts w:hint="default" w:cs="宋体"/>
          <w:color w:val="FF0000"/>
          <w:shd w:val="clear" w:color="auto" w:fill="FFFFFF"/>
        </w:rPr>
      </w:pPr>
      <w:r>
        <w:rPr>
          <w:rFonts w:cs="宋体"/>
          <w:color w:val="FF0000"/>
          <w:shd w:val="clear" w:color="auto" w:fill="FFFFFF"/>
        </w:rPr>
        <w:t xml:space="preserve"> </w:t>
      </w:r>
    </w:p>
    <w:p>
      <w:pPr>
        <w:pStyle w:val="12"/>
        <w:widowControl/>
        <w:spacing w:before="0" w:beforeAutospacing="0"/>
        <w:jc w:val="center"/>
        <w:rPr>
          <w:rFonts w:hint="default" w:ascii="方正小标宋_GBK" w:hAnsi="方正小标宋_GBK" w:eastAsia="方正小标宋_GBK" w:cs="方正小标宋_GBK"/>
          <w:sz w:val="34"/>
          <w:szCs w:val="34"/>
          <w:shd w:val="clear" w:color="auto" w:fill="FFFFFF"/>
        </w:rPr>
        <w:sectPr>
          <w:footerReference r:id="rId3" w:type="default"/>
          <w:pgSz w:w="11906" w:h="16838"/>
          <w:pgMar w:top="1440" w:right="1531" w:bottom="1440" w:left="1531" w:header="851" w:footer="992" w:gutter="0"/>
          <w:pgNumType w:fmt="numberInDash" w:start="1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asciiTheme="minorEastAsia" w:hAnsiTheme="minorEastAsia"/>
          <w:i/>
          <w:color w:val="FF0000"/>
          <w:sz w:val="32"/>
          <w:szCs w:val="3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</w:p>
    <w:p>
      <w:pPr>
        <w:pStyle w:val="9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第五部分</w:t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 w:ascii="黑体" w:eastAsia="黑体" w:cs="黑体"/>
          <w:color w:val="000000"/>
          <w:kern w:val="0"/>
          <w:sz w:val="70"/>
          <w:szCs w:val="70"/>
        </w:rPr>
        <w:t>附件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0"/>
          <w:szCs w:val="44"/>
        </w:rPr>
      </w:pPr>
      <w:r>
        <w:rPr>
          <w:rFonts w:hint="eastAsia"/>
          <w:sz w:val="40"/>
          <w:szCs w:val="44"/>
        </w:rPr>
        <w:t>衡南县文化馆2019年整体支出绩效自评报告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为加强财政预算资金管理，进一步规范预算资金使用，提高财政资金使用效益，根据上级要求，我馆对2019年度本单位整体支出进行了绩效自评，现将具体绩效评价情况报告如下：</w:t>
      </w:r>
    </w:p>
    <w:p>
      <w:pPr>
        <w:numPr>
          <w:ilvl w:val="0"/>
          <w:numId w:val="3"/>
        </w:num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基本情况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衡南县文化馆属财政全额拨款的副科级公益性文化事业单位，纳入财政会计集中核算和国库集中支付体系，财务执行《事业单位会计制度》。单位内设办公室、文艺创作股、群文辅导股、公共文化服务股、工会等相关股室。现有在职干部职工21人，退休人员8人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主要工作职责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(一)举办各类展览、讲座、培训等，普及科学文化知识，开展社会教育，提高</w:t>
      </w:r>
      <w:r>
        <w:fldChar w:fldCharType="begin"/>
      </w:r>
      <w:r>
        <w:instrText xml:space="preserve"> HYPERLINK "https://baike.so.com/doc/4936308-5156808.html" \t "_blank" </w:instrText>
      </w:r>
      <w:r>
        <w:fldChar w:fldCharType="separate"/>
      </w:r>
      <w:r>
        <w:rPr>
          <w:rFonts w:ascii="宋体" w:hAnsi="宋体"/>
        </w:rPr>
        <w:t>群众文化</w:t>
      </w:r>
      <w:r>
        <w:rPr>
          <w:rFonts w:ascii="宋体" w:hAnsi="宋体"/>
        </w:rPr>
        <w:fldChar w:fldCharType="end"/>
      </w:r>
      <w:r>
        <w:rPr>
          <w:rFonts w:ascii="宋体" w:hAnsi="宋体"/>
          <w:sz w:val="28"/>
          <w:szCs w:val="28"/>
        </w:rPr>
        <w:t>素质，促进当地精神文明建设。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(二)组织开展丰富多彩的、群众喜闻乐见的文化活动;开展流动文化服务;指导群众业余文艺团队建设，辅导和培训群众文艺骨干。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(三)组织并指导群众文艺创作，开展群众文化工作理论研究。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(四)收集、整理、研究非物质文化遗产，开展非物质文化遗产的普查、展示、宣传活动，指导传承人开展传习活动。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(五)建成全国文化信息资源共享工程基层服务点，开展数字文化信息服务。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(六)指导下一级文化馆(文化站、社区文化中心)工作，为下一级文化馆(文化站、社区文化中心)培训人员，并向下一级文化馆(文化站、社区文化中心)配送文化资源和文化服务。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(七)指导本地区老年文化、老年教育、少儿文化工作;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(八)开展对外民间文化交流。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二、部门整体支出管理及使用情况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1.基本支出管理情况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我馆2019年年初预算基本支出共计211.06万元，其中：工资福利支出146.3万元，一般商品和服务支出10.2万元，对个人和家庭补助支出6.56万元，专项经费48万元。</w:t>
      </w:r>
    </w:p>
    <w:p>
      <w:pPr>
        <w:ind w:firstLine="64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Theme="minorEastAsia" w:hAnsiTheme="minorEastAsia" w:cstheme="minorEastAsia"/>
          <w:sz w:val="32"/>
          <w:szCs w:val="32"/>
        </w:rPr>
        <w:t>本年支出合计216.6万元，</w:t>
      </w:r>
      <w:r>
        <w:rPr>
          <w:rFonts w:hint="eastAsia" w:ascii="宋体" w:hAnsi="宋体"/>
          <w:sz w:val="28"/>
          <w:szCs w:val="28"/>
        </w:rPr>
        <w:t>其中：一般性公共服务支出3万元，文化体育与传媒支出186.8万元，社会保障和就业支出20.4万元，卫生健康支出6.17万元，年末结余0.2万元。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2.三公经费支出管理情况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我馆2019年“三公”经费各费用均控制在预算范围内，共支出8万元，其中：公务接待费3万元，公务用车5万元，与上年保持齐平。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三、部门整体支出绩效情况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2019年，我馆根据年初工作规划，围绕县委、县政府中心工作，配合上级工作任务，积极较好的完成了年度工作目标。通过加强预算收支的管理，不断建立健全内部管理制度，理顺内部管理流程，部门整体支出管理情况得到了提升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</w:rPr>
        <w:t>9</w:t>
      </w:r>
      <w:r>
        <w:rPr>
          <w:rFonts w:ascii="宋体" w:hAnsi="宋体"/>
          <w:sz w:val="28"/>
          <w:szCs w:val="28"/>
        </w:rPr>
        <w:t>年，</w:t>
      </w:r>
      <w:r>
        <w:rPr>
          <w:rFonts w:hint="eastAsia" w:ascii="宋体" w:hAnsi="宋体"/>
          <w:sz w:val="28"/>
          <w:szCs w:val="28"/>
        </w:rPr>
        <w:t>衡南县文化馆</w:t>
      </w:r>
      <w:r>
        <w:rPr>
          <w:rFonts w:ascii="宋体" w:hAnsi="宋体"/>
          <w:sz w:val="28"/>
          <w:szCs w:val="28"/>
        </w:rPr>
        <w:t>上下团结一心，艰苦创业，不断创新，在群文活动、非物质文化遗产保护、文艺创作、文化产业等方面取得卓越成绩，受到省市县各级领导的肯定和称赞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五、存在的主要问题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年初预算的编制较为精细，且金额较少，而年内活动不确定因素又多，致使资金有交叉使用并严重不足现象。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六、改进措施和建议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1.抓好财务预算管理，严格执行财务管理制度，充分发挥监督作用。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2.严格财务支出审批。抓好审核和审批两个环节，在审核审批中严把支出关，切实维护财务纪律的严肃性。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3.强化经费管理。重点加强招待费和办公经费的管理，严格控制支出，降低经费支出。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640" w:firstLineChars="200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ind w:firstLine="7360" w:firstLineChars="2300"/>
        <w:jc w:val="left"/>
        <w:rPr>
          <w:rFonts w:asciiTheme="minorEastAsia" w:hAnsiTheme="minorEastAsia" w:cstheme="minorEastAsia"/>
          <w:color w:val="000000"/>
          <w:kern w:val="0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left:382.55pt;margin-top:-7.45pt;height:17.35pt;width:41.75pt;mso-position-horizontal-relative:margin;z-index:251659264;mso-width-relative:page;mso-height-relative:page;" filled="f" stroked="f" coordsize="21600,21600" o:gfxdata="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B0K0LT2QAAAAoBAAAPAAAAAAAA&#10;AAEAIAAAACIAAABkcnMvZG93bnJldi54bWxQSwECFAAUAAAACACHTuJA1SNni58BAAAjAwAADgAA&#10;AAAAAAABACAAAAAoAQAAZHJzL2Uyb0RvYy54bWxQSwUGAAAAAAYABgBZAQAAOQ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rPr>
                    <w:rFonts w:eastAsia="宋体"/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- 2 -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96C2E"/>
    <w:multiLevelType w:val="singleLevel"/>
    <w:tmpl w:val="0FD96C2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73518C1"/>
    <w:multiLevelType w:val="multilevel"/>
    <w:tmpl w:val="373518C1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F30A87"/>
    <w:multiLevelType w:val="multilevel"/>
    <w:tmpl w:val="52F30A87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6F9"/>
    <w:rsid w:val="0002229B"/>
    <w:rsid w:val="000273BD"/>
    <w:rsid w:val="000415B7"/>
    <w:rsid w:val="000658A3"/>
    <w:rsid w:val="00074155"/>
    <w:rsid w:val="000A3F69"/>
    <w:rsid w:val="000E3814"/>
    <w:rsid w:val="00152C6D"/>
    <w:rsid w:val="00162D39"/>
    <w:rsid w:val="001A67DB"/>
    <w:rsid w:val="001D51E5"/>
    <w:rsid w:val="001F0C3B"/>
    <w:rsid w:val="00214427"/>
    <w:rsid w:val="00265724"/>
    <w:rsid w:val="0027426B"/>
    <w:rsid w:val="003479BD"/>
    <w:rsid w:val="003768D5"/>
    <w:rsid w:val="004506F9"/>
    <w:rsid w:val="004717A2"/>
    <w:rsid w:val="00491741"/>
    <w:rsid w:val="00500E5F"/>
    <w:rsid w:val="005122EF"/>
    <w:rsid w:val="00517C33"/>
    <w:rsid w:val="00523644"/>
    <w:rsid w:val="0054069E"/>
    <w:rsid w:val="005767CC"/>
    <w:rsid w:val="00590D9F"/>
    <w:rsid w:val="00595D26"/>
    <w:rsid w:val="005A74E6"/>
    <w:rsid w:val="005D4D55"/>
    <w:rsid w:val="005E2CFB"/>
    <w:rsid w:val="0062378F"/>
    <w:rsid w:val="00651EEC"/>
    <w:rsid w:val="006A351B"/>
    <w:rsid w:val="006B0422"/>
    <w:rsid w:val="006C1B53"/>
    <w:rsid w:val="006D7730"/>
    <w:rsid w:val="006E5284"/>
    <w:rsid w:val="006F3EB5"/>
    <w:rsid w:val="00702E34"/>
    <w:rsid w:val="00704395"/>
    <w:rsid w:val="00720FF1"/>
    <w:rsid w:val="00726DB9"/>
    <w:rsid w:val="00812ED5"/>
    <w:rsid w:val="008277D9"/>
    <w:rsid w:val="008A3E8D"/>
    <w:rsid w:val="00913E3B"/>
    <w:rsid w:val="009237C4"/>
    <w:rsid w:val="00950252"/>
    <w:rsid w:val="00967F5D"/>
    <w:rsid w:val="009A0F95"/>
    <w:rsid w:val="009B3ADF"/>
    <w:rsid w:val="009C3B52"/>
    <w:rsid w:val="00A42218"/>
    <w:rsid w:val="00A70249"/>
    <w:rsid w:val="00AD1768"/>
    <w:rsid w:val="00B33BEA"/>
    <w:rsid w:val="00B57C9F"/>
    <w:rsid w:val="00B845B3"/>
    <w:rsid w:val="00B85D8B"/>
    <w:rsid w:val="00BE3674"/>
    <w:rsid w:val="00C3049A"/>
    <w:rsid w:val="00C31B1E"/>
    <w:rsid w:val="00C77645"/>
    <w:rsid w:val="00CE04C3"/>
    <w:rsid w:val="00CE76A0"/>
    <w:rsid w:val="00D148C6"/>
    <w:rsid w:val="00DD06FF"/>
    <w:rsid w:val="00DD5FE9"/>
    <w:rsid w:val="00E00C7A"/>
    <w:rsid w:val="00E4711D"/>
    <w:rsid w:val="00E55B68"/>
    <w:rsid w:val="00F74360"/>
    <w:rsid w:val="00FB462F"/>
    <w:rsid w:val="00FE16FA"/>
    <w:rsid w:val="00FE328A"/>
    <w:rsid w:val="09F46AF2"/>
    <w:rsid w:val="0A733E75"/>
    <w:rsid w:val="0D2B5824"/>
    <w:rsid w:val="0D9516B8"/>
    <w:rsid w:val="10CE409C"/>
    <w:rsid w:val="14A9049F"/>
    <w:rsid w:val="19CA3904"/>
    <w:rsid w:val="1E2B1F45"/>
    <w:rsid w:val="2A2C24F5"/>
    <w:rsid w:val="315D004B"/>
    <w:rsid w:val="337E64FF"/>
    <w:rsid w:val="347D3002"/>
    <w:rsid w:val="34C3638D"/>
    <w:rsid w:val="35FC4DA1"/>
    <w:rsid w:val="362A3C94"/>
    <w:rsid w:val="3A227716"/>
    <w:rsid w:val="3AD07C92"/>
    <w:rsid w:val="3C8C5A82"/>
    <w:rsid w:val="3E3659A9"/>
    <w:rsid w:val="40236E36"/>
    <w:rsid w:val="40B23AFC"/>
    <w:rsid w:val="416B2375"/>
    <w:rsid w:val="445A0C58"/>
    <w:rsid w:val="46500132"/>
    <w:rsid w:val="4C1B4387"/>
    <w:rsid w:val="4CD609C3"/>
    <w:rsid w:val="4D0E5B71"/>
    <w:rsid w:val="516B3647"/>
    <w:rsid w:val="51F95B69"/>
    <w:rsid w:val="533F6908"/>
    <w:rsid w:val="54721D48"/>
    <w:rsid w:val="58F2031E"/>
    <w:rsid w:val="5E4F6BFB"/>
    <w:rsid w:val="643712A1"/>
    <w:rsid w:val="65D27DAC"/>
    <w:rsid w:val="67A3019D"/>
    <w:rsid w:val="694E0677"/>
    <w:rsid w:val="6A487ED1"/>
    <w:rsid w:val="6B704A06"/>
    <w:rsid w:val="6B7F7BEB"/>
    <w:rsid w:val="6D80621D"/>
    <w:rsid w:val="794B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2">
    <w:name w:val="普通(网站) Char"/>
    <w:basedOn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5E13F0-96ED-41EE-8379-5B0FB5D636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18</Pages>
  <Words>766</Words>
  <Characters>4368</Characters>
  <Lines>36</Lines>
  <Paragraphs>10</Paragraphs>
  <TotalTime>7</TotalTime>
  <ScaleCrop>false</ScaleCrop>
  <LinksUpToDate>false</LinksUpToDate>
  <CharactersWithSpaces>5124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2020-07-02T02:32:00Z</dcterms:created>
  <dc:creator>李航 null</dc:creator>
  <cp:lastModifiedBy>xiemi</cp:lastModifiedBy>
  <cp:lastPrinted>2020-07-15T07:25:00Z</cp:lastPrinted>
  <dcterms:modified xsi:type="dcterms:W3CDTF">2021-06-24T00:04:20Z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021FDED85748449A9693F125355C2140</vt:lpwstr>
  </property>
</Properties>
</file>