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1"/>
        <w:snapToGrid w:val="0"/>
        <w:spacing w:line="360" w:lineRule="auto"/>
        <w:jc w:val="center"/>
        <w:rPr>
          <w:rFonts w:hint="eastAsia"/>
          <w:sz w:val="56"/>
          <w:szCs w:val="56"/>
        </w:rPr>
      </w:pPr>
    </w:p>
    <w:p>
      <w:pPr>
        <w:pStyle w:val="11"/>
        <w:snapToGrid w:val="0"/>
        <w:spacing w:line="360" w:lineRule="auto"/>
        <w:jc w:val="center"/>
        <w:rPr>
          <w:sz w:val="56"/>
          <w:szCs w:val="56"/>
        </w:rPr>
      </w:pPr>
    </w:p>
    <w:p>
      <w:pPr>
        <w:pStyle w:val="11"/>
        <w:snapToGrid w:val="0"/>
        <w:spacing w:line="360" w:lineRule="auto"/>
        <w:jc w:val="center"/>
        <w:rPr>
          <w:sz w:val="84"/>
          <w:szCs w:val="84"/>
        </w:rPr>
      </w:pPr>
    </w:p>
    <w:p>
      <w:pPr>
        <w:pStyle w:val="11"/>
        <w:snapToGrid w:val="0"/>
        <w:spacing w:line="360" w:lineRule="auto"/>
        <w:jc w:val="center"/>
        <w:rPr>
          <w:sz w:val="84"/>
          <w:szCs w:val="84"/>
        </w:rPr>
      </w:pPr>
    </w:p>
    <w:p>
      <w:pPr>
        <w:pStyle w:val="11"/>
        <w:snapToGrid w:val="0"/>
        <w:spacing w:line="360" w:lineRule="auto"/>
        <w:jc w:val="center"/>
        <w:rPr>
          <w:sz w:val="72"/>
          <w:szCs w:val="72"/>
        </w:rPr>
      </w:pPr>
      <w:r>
        <w:rPr>
          <w:rFonts w:hint="eastAsia"/>
          <w:sz w:val="72"/>
          <w:szCs w:val="72"/>
        </w:rPr>
        <w:t>2019年度中国共产党</w:t>
      </w:r>
    </w:p>
    <w:p>
      <w:pPr>
        <w:pStyle w:val="11"/>
        <w:snapToGrid w:val="0"/>
        <w:spacing w:line="360" w:lineRule="auto"/>
        <w:jc w:val="center"/>
        <w:rPr>
          <w:sz w:val="72"/>
          <w:szCs w:val="72"/>
        </w:rPr>
      </w:pPr>
      <w:r>
        <w:rPr>
          <w:rFonts w:hint="eastAsia"/>
          <w:sz w:val="72"/>
          <w:szCs w:val="72"/>
        </w:rPr>
        <w:t>衡南县纪律检查委员会</w:t>
      </w:r>
    </w:p>
    <w:p>
      <w:pPr>
        <w:pStyle w:val="11"/>
        <w:snapToGrid w:val="0"/>
        <w:spacing w:line="360" w:lineRule="auto"/>
        <w:jc w:val="center"/>
        <w:rPr>
          <w:sz w:val="72"/>
          <w:szCs w:val="72"/>
        </w:rPr>
      </w:pPr>
      <w:r>
        <w:rPr>
          <w:rFonts w:hint="eastAsia"/>
          <w:sz w:val="72"/>
          <w:szCs w:val="72"/>
        </w:rPr>
        <w:t>部门决算</w:t>
      </w:r>
    </w:p>
    <w:p>
      <w:pPr>
        <w:widowControl/>
        <w:jc w:val="left"/>
        <w:rPr>
          <w:rFonts w:ascii="黑体" w:eastAsia="黑体" w:cs="黑体"/>
          <w:color w:val="000000"/>
          <w:kern w:val="0"/>
          <w:sz w:val="56"/>
          <w:szCs w:val="56"/>
        </w:rPr>
      </w:pPr>
      <w:r>
        <w:rPr>
          <w:sz w:val="56"/>
          <w:szCs w:val="56"/>
        </w:rPr>
        <w:br w:type="page"/>
      </w:r>
    </w:p>
    <w:p>
      <w:pPr>
        <w:pStyle w:val="11"/>
        <w:snapToGrid w:val="0"/>
        <w:spacing w:line="360" w:lineRule="auto"/>
        <w:jc w:val="center"/>
        <w:rPr>
          <w:sz w:val="56"/>
          <w:szCs w:val="56"/>
        </w:rPr>
      </w:pPr>
      <w:r>
        <w:rPr>
          <w:rFonts w:hint="eastAsia"/>
          <w:sz w:val="56"/>
          <w:szCs w:val="56"/>
        </w:rPr>
        <w:t>目录</w:t>
      </w:r>
    </w:p>
    <w:p>
      <w:pPr>
        <w:pStyle w:val="11"/>
        <w:snapToGrid w:val="0"/>
        <w:spacing w:line="300" w:lineRule="auto"/>
        <w:rPr>
          <w:rFonts w:ascii="仿宋_GB2312" w:hAnsi="仿宋_GB2312" w:cs="仿宋_GB2312"/>
          <w:sz w:val="28"/>
          <w:szCs w:val="28"/>
        </w:rPr>
      </w:pPr>
      <w:r>
        <w:rPr>
          <w:rFonts w:hint="eastAsia"/>
          <w:sz w:val="28"/>
          <w:szCs w:val="28"/>
        </w:rPr>
        <w:t>第一部分</w:t>
      </w:r>
      <w:r>
        <w:rPr>
          <w:sz w:val="28"/>
          <w:szCs w:val="28"/>
        </w:rPr>
        <w:t xml:space="preserve"> </w:t>
      </w:r>
      <w:r>
        <w:rPr>
          <w:rFonts w:hint="eastAsia"/>
          <w:sz w:val="28"/>
          <w:szCs w:val="28"/>
        </w:rPr>
        <w:t>单位概况</w:t>
      </w:r>
    </w:p>
    <w:p>
      <w:pPr>
        <w:pStyle w:val="11"/>
        <w:snapToGrid w:val="0"/>
        <w:spacing w:line="300" w:lineRule="auto"/>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一、部门职责</w:t>
      </w:r>
    </w:p>
    <w:p>
      <w:pPr>
        <w:pStyle w:val="11"/>
        <w:snapToGrid w:val="0"/>
        <w:spacing w:line="300" w:lineRule="auto"/>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二、机构设置</w:t>
      </w:r>
    </w:p>
    <w:p>
      <w:pPr>
        <w:pStyle w:val="11"/>
        <w:snapToGrid w:val="0"/>
        <w:spacing w:line="300" w:lineRule="auto"/>
        <w:rPr>
          <w:rFonts w:ascii="仿宋_GB2312" w:hAnsi="仿宋_GB2312" w:cs="仿宋_GB2312"/>
          <w:sz w:val="28"/>
          <w:szCs w:val="28"/>
        </w:rPr>
      </w:pPr>
      <w:r>
        <w:rPr>
          <w:rFonts w:hint="eastAsia" w:hAnsi="仿宋_GB2312"/>
          <w:sz w:val="28"/>
          <w:szCs w:val="28"/>
        </w:rPr>
        <w:t xml:space="preserve">第二部分 </w:t>
      </w:r>
      <w:r>
        <w:rPr>
          <w:rFonts w:hAnsi="仿宋_GB2312"/>
          <w:sz w:val="28"/>
          <w:szCs w:val="28"/>
        </w:rPr>
        <w:t>2019</w:t>
      </w:r>
      <w:r>
        <w:rPr>
          <w:rFonts w:hint="eastAsia" w:hAnsi="仿宋_GB2312"/>
          <w:sz w:val="28"/>
          <w:szCs w:val="28"/>
        </w:rPr>
        <w:t>年度部门决算表</w:t>
      </w:r>
    </w:p>
    <w:p>
      <w:pPr>
        <w:pStyle w:val="11"/>
        <w:snapToGrid w:val="0"/>
        <w:spacing w:line="300" w:lineRule="auto"/>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一、收入支出决算总表</w:t>
      </w:r>
    </w:p>
    <w:p>
      <w:pPr>
        <w:pStyle w:val="11"/>
        <w:snapToGrid w:val="0"/>
        <w:spacing w:line="300" w:lineRule="auto"/>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二、收入决算表</w:t>
      </w:r>
    </w:p>
    <w:p>
      <w:pPr>
        <w:pStyle w:val="11"/>
        <w:snapToGrid w:val="0"/>
        <w:spacing w:line="300" w:lineRule="auto"/>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三、支出决算表</w:t>
      </w:r>
    </w:p>
    <w:p>
      <w:pPr>
        <w:pStyle w:val="11"/>
        <w:snapToGrid w:val="0"/>
        <w:spacing w:line="300" w:lineRule="auto"/>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四、财政拨款收入支出决算总表</w:t>
      </w:r>
    </w:p>
    <w:p>
      <w:pPr>
        <w:pStyle w:val="11"/>
        <w:snapToGrid w:val="0"/>
        <w:spacing w:line="300" w:lineRule="auto"/>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五、一般公共预算财政拨款支出决算表</w:t>
      </w:r>
    </w:p>
    <w:p>
      <w:pPr>
        <w:pStyle w:val="11"/>
        <w:snapToGrid w:val="0"/>
        <w:spacing w:line="300" w:lineRule="auto"/>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六、一般公共预算财政拨款基本支出决算表</w:t>
      </w:r>
    </w:p>
    <w:p>
      <w:pPr>
        <w:pStyle w:val="11"/>
        <w:snapToGrid w:val="0"/>
        <w:spacing w:line="300" w:lineRule="auto"/>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七、一般公共预算财政拨款“三公”经费支出决算表</w:t>
      </w:r>
    </w:p>
    <w:p>
      <w:pPr>
        <w:pStyle w:val="11"/>
        <w:snapToGrid w:val="0"/>
        <w:spacing w:line="300" w:lineRule="auto"/>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八、政府性基金预算财政拨款收入支出决算表</w:t>
      </w:r>
    </w:p>
    <w:p>
      <w:pPr>
        <w:pStyle w:val="11"/>
        <w:snapToGrid w:val="0"/>
        <w:spacing w:line="300" w:lineRule="auto"/>
        <w:rPr>
          <w:rFonts w:ascii="仿宋_GB2312" w:hAnsi="仿宋_GB2312" w:cs="仿宋_GB2312"/>
          <w:sz w:val="28"/>
          <w:szCs w:val="28"/>
        </w:rPr>
      </w:pPr>
      <w:r>
        <w:rPr>
          <w:rFonts w:hint="eastAsia" w:hAnsi="仿宋_GB2312"/>
          <w:sz w:val="28"/>
          <w:szCs w:val="28"/>
        </w:rPr>
        <w:t xml:space="preserve">第三部分 </w:t>
      </w:r>
      <w:r>
        <w:rPr>
          <w:rFonts w:hAnsi="仿宋_GB2312"/>
          <w:sz w:val="28"/>
          <w:szCs w:val="28"/>
        </w:rPr>
        <w:t>2019</w:t>
      </w:r>
      <w:r>
        <w:rPr>
          <w:rFonts w:hint="eastAsia" w:hAnsi="仿宋_GB2312"/>
          <w:sz w:val="28"/>
          <w:szCs w:val="28"/>
        </w:rPr>
        <w:t>年度部门决算情况说明</w:t>
      </w:r>
    </w:p>
    <w:p>
      <w:pPr>
        <w:pStyle w:val="11"/>
        <w:snapToGrid w:val="0"/>
        <w:spacing w:line="300" w:lineRule="auto"/>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一、收入支出决算总体情况说明</w:t>
      </w:r>
    </w:p>
    <w:p>
      <w:pPr>
        <w:snapToGrid w:val="0"/>
        <w:spacing w:line="300" w:lineRule="auto"/>
        <w:ind w:firstLine="700" w:firstLineChars="250"/>
        <w:jc w:val="left"/>
        <w:rPr>
          <w:rFonts w:ascii="仿宋_GB2312" w:hAnsi="仿宋_GB2312" w:cs="仿宋_GB2312"/>
          <w:sz w:val="28"/>
          <w:szCs w:val="28"/>
        </w:rPr>
      </w:pPr>
      <w:r>
        <w:rPr>
          <w:rFonts w:ascii="仿宋_GB2312" w:hAnsi="仿宋_GB2312" w:cs="仿宋_GB2312"/>
          <w:sz w:val="28"/>
          <w:szCs w:val="28"/>
        </w:rPr>
        <w:t>二、收入决算情况说明</w:t>
      </w:r>
    </w:p>
    <w:p>
      <w:pPr>
        <w:autoSpaceDE w:val="0"/>
        <w:autoSpaceDN w:val="0"/>
        <w:adjustRightInd w:val="0"/>
        <w:snapToGrid w:val="0"/>
        <w:spacing w:line="300" w:lineRule="auto"/>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三、支出决算情况说明</w:t>
      </w:r>
    </w:p>
    <w:p>
      <w:pPr>
        <w:autoSpaceDE w:val="0"/>
        <w:autoSpaceDN w:val="0"/>
        <w:adjustRightInd w:val="0"/>
        <w:snapToGrid w:val="0"/>
        <w:spacing w:line="300" w:lineRule="auto"/>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四、财政拨款收入支出决算总体情况说明</w:t>
      </w:r>
    </w:p>
    <w:p>
      <w:pPr>
        <w:autoSpaceDE w:val="0"/>
        <w:autoSpaceDN w:val="0"/>
        <w:adjustRightInd w:val="0"/>
        <w:snapToGrid w:val="0"/>
        <w:spacing w:line="300" w:lineRule="auto"/>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五、一般公共预算财政拨款支出决算情况说明</w:t>
      </w:r>
    </w:p>
    <w:p>
      <w:pPr>
        <w:autoSpaceDE w:val="0"/>
        <w:autoSpaceDN w:val="0"/>
        <w:adjustRightInd w:val="0"/>
        <w:snapToGrid w:val="0"/>
        <w:spacing w:line="300" w:lineRule="auto"/>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六、一般公共预算财政拨款基本支出决算情况说明</w:t>
      </w:r>
    </w:p>
    <w:p>
      <w:pPr>
        <w:autoSpaceDE w:val="0"/>
        <w:autoSpaceDN w:val="0"/>
        <w:adjustRightInd w:val="0"/>
        <w:snapToGrid w:val="0"/>
        <w:spacing w:line="300" w:lineRule="auto"/>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七、一般公共预算财政拨款三公经费支出决算情况说明</w:t>
      </w:r>
    </w:p>
    <w:p>
      <w:pPr>
        <w:autoSpaceDE w:val="0"/>
        <w:autoSpaceDN w:val="0"/>
        <w:adjustRightInd w:val="0"/>
        <w:snapToGrid w:val="0"/>
        <w:spacing w:line="300" w:lineRule="auto"/>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八</w:t>
      </w:r>
      <w:r>
        <w:rPr>
          <w:rFonts w:ascii="仿宋_GB2312" w:hAnsi="仿宋_GB2312" w:cs="仿宋_GB2312"/>
          <w:color w:val="000000"/>
          <w:kern w:val="0"/>
          <w:sz w:val="28"/>
          <w:szCs w:val="28"/>
        </w:rPr>
        <w:t>、</w:t>
      </w:r>
      <w:r>
        <w:rPr>
          <w:rFonts w:hint="eastAsia" w:ascii="仿宋_GB2312" w:hAnsi="仿宋_GB2312" w:cs="仿宋_GB2312"/>
          <w:color w:val="000000"/>
          <w:kern w:val="0"/>
          <w:sz w:val="28"/>
          <w:szCs w:val="28"/>
        </w:rPr>
        <w:t>政府性基金预算收入支出决算情况</w:t>
      </w:r>
    </w:p>
    <w:p>
      <w:pPr>
        <w:autoSpaceDE w:val="0"/>
        <w:autoSpaceDN w:val="0"/>
        <w:adjustRightInd w:val="0"/>
        <w:snapToGrid w:val="0"/>
        <w:spacing w:line="300" w:lineRule="auto"/>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九</w:t>
      </w:r>
      <w:r>
        <w:rPr>
          <w:rFonts w:ascii="仿宋_GB2312" w:hAnsi="仿宋_GB2312" w:cs="仿宋_GB2312"/>
          <w:color w:val="000000"/>
          <w:kern w:val="0"/>
          <w:sz w:val="28"/>
          <w:szCs w:val="28"/>
        </w:rPr>
        <w:t>、预算绩效情况说明</w:t>
      </w:r>
    </w:p>
    <w:p>
      <w:pPr>
        <w:autoSpaceDE w:val="0"/>
        <w:autoSpaceDN w:val="0"/>
        <w:adjustRightInd w:val="0"/>
        <w:snapToGrid w:val="0"/>
        <w:spacing w:line="300" w:lineRule="auto"/>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w:t>
      </w:r>
      <w:r>
        <w:rPr>
          <w:rFonts w:ascii="仿宋_GB2312" w:hAnsi="仿宋_GB2312" w:cs="仿宋_GB2312"/>
          <w:color w:val="000000"/>
          <w:kern w:val="0"/>
          <w:sz w:val="28"/>
          <w:szCs w:val="28"/>
        </w:rPr>
        <w:t>、其他重要事项情况说明</w:t>
      </w:r>
    </w:p>
    <w:p>
      <w:pPr>
        <w:autoSpaceDE w:val="0"/>
        <w:autoSpaceDN w:val="0"/>
        <w:adjustRightInd w:val="0"/>
        <w:snapToGrid w:val="0"/>
        <w:spacing w:line="300" w:lineRule="auto"/>
        <w:jc w:val="left"/>
        <w:rPr>
          <w:rFonts w:ascii="黑体" w:hAnsi="黑体" w:eastAsia="黑体" w:cs="仿宋_GB2312"/>
          <w:color w:val="000000"/>
          <w:kern w:val="0"/>
          <w:sz w:val="28"/>
          <w:szCs w:val="28"/>
        </w:rPr>
      </w:pPr>
      <w:r>
        <w:rPr>
          <w:rFonts w:ascii="黑体" w:hAnsi="黑体" w:eastAsia="黑体" w:cs="黑体"/>
          <w:color w:val="000000"/>
          <w:kern w:val="0"/>
          <w:sz w:val="28"/>
          <w:szCs w:val="28"/>
        </w:rPr>
        <w:t>第四部分名词解释</w:t>
      </w:r>
    </w:p>
    <w:p>
      <w:pPr>
        <w:snapToGrid w:val="0"/>
        <w:spacing w:line="300" w:lineRule="auto"/>
        <w:jc w:val="left"/>
        <w:rPr>
          <w:sz w:val="72"/>
          <w:szCs w:val="72"/>
        </w:rPr>
      </w:pPr>
      <w:r>
        <w:rPr>
          <w:rFonts w:ascii="黑体" w:hAnsi="黑体" w:eastAsia="黑体" w:cs="黑体"/>
          <w:color w:val="000000"/>
          <w:kern w:val="0"/>
          <w:sz w:val="28"/>
          <w:szCs w:val="28"/>
        </w:rPr>
        <w:t>第五部分附件</w:t>
      </w:r>
      <w:r>
        <w:rPr>
          <w:sz w:val="72"/>
          <w:szCs w:val="72"/>
        </w:rPr>
        <w:br w:type="page"/>
      </w:r>
    </w:p>
    <w:p>
      <w:pPr>
        <w:pStyle w:val="12"/>
        <w:snapToGrid w:val="0"/>
        <w:spacing w:line="360" w:lineRule="auto"/>
        <w:ind w:firstLine="0" w:firstLineChars="0"/>
        <w:jc w:val="center"/>
        <w:rPr>
          <w:rFonts w:ascii="黑体" w:hAnsi="黑体" w:eastAsia="黑体"/>
          <w:sz w:val="44"/>
          <w:szCs w:val="44"/>
        </w:rPr>
      </w:pPr>
      <w:r>
        <w:rPr>
          <w:rFonts w:hint="eastAsia" w:ascii="黑体" w:hAnsi="黑体" w:eastAsia="黑体"/>
          <w:sz w:val="44"/>
          <w:szCs w:val="44"/>
        </w:rPr>
        <w:t xml:space="preserve">第一部分 </w:t>
      </w:r>
      <w:r>
        <w:rPr>
          <w:rFonts w:ascii="黑体" w:hAnsi="黑体" w:eastAsia="黑体"/>
          <w:sz w:val="44"/>
          <w:szCs w:val="44"/>
        </w:rPr>
        <w:t xml:space="preserve"> </w:t>
      </w:r>
      <w:r>
        <w:rPr>
          <w:rFonts w:hint="eastAsia" w:ascii="黑体" w:hAnsi="黑体" w:eastAsia="黑体"/>
          <w:sz w:val="44"/>
          <w:szCs w:val="44"/>
        </w:rPr>
        <w:t>单位概况</w:t>
      </w:r>
    </w:p>
    <w:p>
      <w:pPr>
        <w:pStyle w:val="12"/>
        <w:snapToGrid w:val="0"/>
        <w:spacing w:line="360" w:lineRule="auto"/>
        <w:ind w:firstLine="0" w:firstLineChars="0"/>
        <w:jc w:val="center"/>
        <w:rPr>
          <w:rFonts w:ascii="黑体" w:hAnsi="黑体" w:eastAsia="黑体"/>
          <w:sz w:val="44"/>
          <w:szCs w:val="44"/>
        </w:rPr>
      </w:pPr>
    </w:p>
    <w:p>
      <w:pPr>
        <w:snapToGrid w:val="0"/>
        <w:spacing w:line="360" w:lineRule="auto"/>
        <w:ind w:firstLine="640" w:firstLineChars="200"/>
        <w:rPr>
          <w:rFonts w:ascii="宋体" w:hAnsi="宋体" w:cs="宋体"/>
          <w:sz w:val="32"/>
          <w:szCs w:val="32"/>
        </w:rPr>
      </w:pPr>
      <w:r>
        <w:rPr>
          <w:rFonts w:hint="eastAsia" w:ascii="宋体" w:hAnsi="宋体" w:cs="宋体"/>
          <w:sz w:val="32"/>
          <w:szCs w:val="32"/>
        </w:rPr>
        <w:t>一、部门职责</w:t>
      </w:r>
    </w:p>
    <w:p>
      <w:pPr>
        <w:snapToGrid w:val="0"/>
        <w:spacing w:line="360" w:lineRule="auto"/>
        <w:ind w:firstLine="640" w:firstLineChars="200"/>
        <w:rPr>
          <w:rFonts w:ascii="宋体" w:hAnsi="宋体" w:cs="宋体"/>
          <w:sz w:val="32"/>
          <w:szCs w:val="32"/>
        </w:rPr>
      </w:pPr>
      <w:r>
        <w:rPr>
          <w:rFonts w:hint="eastAsia" w:ascii="宋体" w:hAnsi="宋体" w:cs="宋体"/>
          <w:sz w:val="32"/>
          <w:szCs w:val="32"/>
        </w:rPr>
        <w:t>(一)负责全县党的纪律检查工作。贯彻落实党中央、省委、市委、县委及上级纪委关于纪律检查工作的决定，维护党的章程和其他党内法规，检查党的路线方针政策和决议的执行情况，协助县委推进全面从严治党、加强党风建设和组织协调反腐败工作。</w:t>
      </w:r>
    </w:p>
    <w:p>
      <w:pPr>
        <w:snapToGrid w:val="0"/>
        <w:spacing w:line="360" w:lineRule="auto"/>
        <w:ind w:firstLine="640" w:firstLineChars="200"/>
        <w:rPr>
          <w:rFonts w:ascii="宋体" w:hAnsi="宋体" w:cs="宋体"/>
          <w:sz w:val="32"/>
          <w:szCs w:val="32"/>
        </w:rPr>
      </w:pPr>
      <w:r>
        <w:rPr>
          <w:rFonts w:hint="eastAsia" w:ascii="宋体" w:hAnsi="宋体" w:cs="宋体"/>
          <w:sz w:val="32"/>
          <w:szCs w:val="32"/>
        </w:rPr>
        <w:t>(二)依照党的章程和其他党内法规履行监督、执纪、问责职责。负责经常对党员进行遵守纪律的教育，作出关于维护党纪的决定;对县委工作部门、县委批准设立的党组(党委)，各乡镇党委、纪委等党的组织和县委管理的党员领导干部履行职责、行使权力进行监督，受理处置党员群众检举举报，开展谈话提醒、约谈函询;检查和处理上述党的组织和党员违反党的章程和其他党内法规的比较重要或者复杂的案件，决定或者取消对这些案件中的党员的处分;进行问责或者提出责任追究的建议;受理党员的控告和申诉;保障党员的权利。</w:t>
      </w:r>
    </w:p>
    <w:p>
      <w:pPr>
        <w:snapToGrid w:val="0"/>
        <w:spacing w:line="360" w:lineRule="auto"/>
        <w:ind w:firstLine="640" w:firstLineChars="200"/>
        <w:rPr>
          <w:rFonts w:ascii="宋体" w:hAnsi="宋体" w:cs="宋体"/>
          <w:sz w:val="32"/>
          <w:szCs w:val="32"/>
        </w:rPr>
      </w:pPr>
      <w:r>
        <w:rPr>
          <w:rFonts w:hint="eastAsia" w:ascii="宋体" w:hAnsi="宋体" w:cs="宋体"/>
          <w:sz w:val="32"/>
          <w:szCs w:val="32"/>
        </w:rPr>
        <w:t>(三)负责全县监察工作。贯彻落实党中央、省委、市委、县委和上级纪委监委关于监察工作的决定，维护宪法法律，依法对县委管理的行使公权力的公职人员进行监察，调查职务违法和职务犯罪，开展廉政建设和反腐败工作。</w:t>
      </w:r>
    </w:p>
    <w:p>
      <w:pPr>
        <w:snapToGrid w:val="0"/>
        <w:spacing w:line="360" w:lineRule="auto"/>
        <w:ind w:firstLine="640" w:firstLineChars="200"/>
        <w:rPr>
          <w:rFonts w:ascii="宋体" w:hAnsi="宋体" w:cs="宋体"/>
          <w:sz w:val="32"/>
          <w:szCs w:val="32"/>
        </w:rPr>
      </w:pPr>
      <w:r>
        <w:rPr>
          <w:rFonts w:hint="eastAsia" w:ascii="宋体" w:hAnsi="宋体" w:cs="宋体"/>
          <w:sz w:val="32"/>
          <w:szCs w:val="32"/>
        </w:rPr>
        <w:t>(四)依照法律规定履行监督、调查、处置职责。推动开展廉政教育，对县委管理的行使公权力的公职人员依法履职、秉公用权、廉洁从政从业以及道德操守情况进行监督检查;对涉嫌贪污贿赂、滥用职权、玩忽职守、权力寻租、利益输送、徇私舞弊以及浪费国家资财等职务违法和职务犯罪进行调查;对违法的公职人员依法作出政务处分决定;对履行职责不力、失职失责的领导人员进行问责;对涉嫌职务犯罪的，将调查结果移送人民检察院依法审查、提起公诉;向监察对象所在单位提出监察建议。</w:t>
      </w:r>
    </w:p>
    <w:p>
      <w:pPr>
        <w:snapToGrid w:val="0"/>
        <w:spacing w:line="360" w:lineRule="auto"/>
        <w:ind w:firstLine="640" w:firstLineChars="200"/>
        <w:rPr>
          <w:rFonts w:ascii="宋体" w:hAnsi="宋体" w:cs="宋体"/>
          <w:sz w:val="32"/>
          <w:szCs w:val="32"/>
        </w:rPr>
      </w:pPr>
      <w:r>
        <w:rPr>
          <w:rFonts w:hint="eastAsia" w:ascii="宋体" w:hAnsi="宋体" w:cs="宋体"/>
          <w:sz w:val="32"/>
          <w:szCs w:val="32"/>
        </w:rPr>
        <w:t>(五)协助县委开展巡视工作。配合县委巡视工作领导小组指导本县巡察工作。</w:t>
      </w:r>
    </w:p>
    <w:p>
      <w:pPr>
        <w:snapToGrid w:val="0"/>
        <w:spacing w:line="360" w:lineRule="auto"/>
        <w:ind w:firstLine="640" w:firstLineChars="200"/>
        <w:rPr>
          <w:rFonts w:ascii="宋体" w:hAnsi="宋体" w:cs="宋体"/>
          <w:sz w:val="32"/>
          <w:szCs w:val="32"/>
        </w:rPr>
      </w:pPr>
      <w:r>
        <w:rPr>
          <w:rFonts w:hint="eastAsia" w:ascii="宋体" w:hAnsi="宋体" w:cs="宋体"/>
          <w:sz w:val="32"/>
          <w:szCs w:val="32"/>
        </w:rPr>
        <w:t>(六)负责组织协调全县全面从严治党、党风廉政建设和反腐败宣传教育工作。</w:t>
      </w:r>
    </w:p>
    <w:p>
      <w:pPr>
        <w:snapToGrid w:val="0"/>
        <w:spacing w:line="360" w:lineRule="auto"/>
        <w:ind w:firstLine="640" w:firstLineChars="200"/>
        <w:rPr>
          <w:rFonts w:ascii="宋体" w:hAnsi="宋体" w:cs="宋体"/>
          <w:sz w:val="32"/>
          <w:szCs w:val="32"/>
        </w:rPr>
      </w:pPr>
      <w:r>
        <w:rPr>
          <w:rFonts w:hint="eastAsia" w:ascii="宋体" w:hAnsi="宋体" w:cs="宋体"/>
          <w:sz w:val="32"/>
          <w:szCs w:val="32"/>
        </w:rPr>
        <w:t>(七)负责综合分析全县全面从严治党、党风廉政建设和反腐败工作情况，对纪检监察工作重要理论及实践问题进行调查研究。</w:t>
      </w:r>
    </w:p>
    <w:p>
      <w:pPr>
        <w:snapToGrid w:val="0"/>
        <w:spacing w:line="360" w:lineRule="auto"/>
        <w:ind w:firstLine="640" w:firstLineChars="200"/>
        <w:rPr>
          <w:rFonts w:ascii="宋体" w:hAnsi="宋体" w:cs="宋体"/>
          <w:sz w:val="32"/>
          <w:szCs w:val="32"/>
        </w:rPr>
      </w:pPr>
      <w:r>
        <w:rPr>
          <w:rFonts w:hint="eastAsia" w:ascii="宋体" w:hAnsi="宋体" w:cs="宋体"/>
          <w:sz w:val="32"/>
          <w:szCs w:val="32"/>
        </w:rPr>
        <w:t>(八)负责协调落实上级纪委监委交办的追逃追赃和防逃工作的组织协调，督促有关单位做好相关工作。</w:t>
      </w:r>
    </w:p>
    <w:p>
      <w:pPr>
        <w:snapToGrid w:val="0"/>
        <w:spacing w:line="360" w:lineRule="auto"/>
        <w:ind w:firstLine="640" w:firstLineChars="200"/>
        <w:rPr>
          <w:rFonts w:ascii="宋体" w:hAnsi="宋体" w:cs="宋体"/>
          <w:sz w:val="32"/>
          <w:szCs w:val="32"/>
        </w:rPr>
      </w:pPr>
      <w:r>
        <w:rPr>
          <w:rFonts w:hint="eastAsia" w:ascii="宋体" w:hAnsi="宋体" w:cs="宋体"/>
          <w:sz w:val="32"/>
          <w:szCs w:val="32"/>
        </w:rPr>
        <w:t>(九)根据干部管理权限，负责全县纪检监察系统领导班子建设、干部队伍建设和组织建设的制度建设和业务指导;会同有关方面做好县纪委县监委派驻机构、乡镇纪检监察机关纪检监察机构领导班子建设有关工作;组织和指导全县纪检监察系统干部教育培训工作等。</w:t>
      </w:r>
    </w:p>
    <w:p>
      <w:pPr>
        <w:snapToGrid w:val="0"/>
        <w:spacing w:line="360" w:lineRule="auto"/>
        <w:ind w:firstLine="640" w:firstLineChars="200"/>
        <w:rPr>
          <w:rFonts w:ascii="宋体" w:hAnsi="宋体" w:cs="宋体"/>
          <w:sz w:val="32"/>
          <w:szCs w:val="32"/>
        </w:rPr>
      </w:pPr>
      <w:r>
        <w:rPr>
          <w:rFonts w:hint="eastAsia" w:ascii="宋体" w:hAnsi="宋体" w:cs="宋体"/>
          <w:sz w:val="32"/>
          <w:szCs w:val="32"/>
        </w:rPr>
        <w:t>(十)完成上级纪委监委和县委交办的其他任务。</w:t>
      </w:r>
    </w:p>
    <w:p>
      <w:pPr>
        <w:snapToGrid w:val="0"/>
        <w:spacing w:line="360" w:lineRule="auto"/>
        <w:ind w:firstLine="640" w:firstLineChars="200"/>
        <w:rPr>
          <w:rFonts w:ascii="宋体" w:hAnsi="宋体" w:cs="宋体"/>
          <w:sz w:val="32"/>
          <w:szCs w:val="32"/>
        </w:rPr>
      </w:pPr>
      <w:r>
        <w:rPr>
          <w:rFonts w:hint="eastAsia" w:ascii="宋体" w:hAnsi="宋体" w:cs="宋体"/>
          <w:sz w:val="32"/>
          <w:szCs w:val="32"/>
        </w:rPr>
        <w:t>二、机构设置及决算单位构成</w:t>
      </w:r>
    </w:p>
    <w:p>
      <w:pPr>
        <w:snapToGrid w:val="0"/>
        <w:spacing w:line="360" w:lineRule="auto"/>
        <w:ind w:firstLine="640" w:firstLineChars="200"/>
        <w:rPr>
          <w:rFonts w:ascii="宋体" w:hAnsi="宋体" w:cs="宋体"/>
          <w:sz w:val="32"/>
          <w:szCs w:val="32"/>
        </w:rPr>
      </w:pPr>
      <w:r>
        <w:rPr>
          <w:rFonts w:hint="eastAsia" w:ascii="宋体" w:hAnsi="宋体" w:cs="宋体"/>
          <w:sz w:val="32"/>
          <w:szCs w:val="32"/>
        </w:rPr>
        <w:t>（一）机构设置：县纪委县监察委设办公室、组织部、宣传部、党风政风监督室、信访室、案件监督管理室、第一至第七纪检监察室、案件审理室、纪检监察干部监督室、信息技术保障室等1</w:t>
      </w:r>
      <w:r>
        <w:rPr>
          <w:rFonts w:ascii="宋体" w:hAnsi="宋体" w:cs="宋体"/>
          <w:sz w:val="32"/>
          <w:szCs w:val="32"/>
        </w:rPr>
        <w:t>6</w:t>
      </w:r>
      <w:r>
        <w:rPr>
          <w:rFonts w:hint="eastAsia" w:ascii="宋体" w:hAnsi="宋体" w:cs="宋体"/>
          <w:sz w:val="32"/>
          <w:szCs w:val="32"/>
        </w:rPr>
        <w:t>个内设机构和1</w:t>
      </w:r>
      <w:r>
        <w:rPr>
          <w:rFonts w:ascii="宋体" w:hAnsi="宋体" w:cs="宋体"/>
          <w:sz w:val="32"/>
          <w:szCs w:val="32"/>
        </w:rPr>
        <w:t>2</w:t>
      </w:r>
      <w:r>
        <w:rPr>
          <w:rFonts w:hint="eastAsia" w:ascii="宋体" w:hAnsi="宋体" w:cs="宋体"/>
          <w:sz w:val="32"/>
          <w:szCs w:val="32"/>
        </w:rPr>
        <w:t>个派驻纪检监察组；以及纪检监察干部培训中心、财务核查中心等2个非独立核算事业单位。</w:t>
      </w:r>
    </w:p>
    <w:p>
      <w:pPr>
        <w:widowControl/>
        <w:snapToGrid w:val="0"/>
        <w:spacing w:line="360" w:lineRule="auto"/>
        <w:rPr>
          <w:rFonts w:asciiTheme="minorEastAsia" w:hAnsiTheme="minorEastAsia"/>
          <w:kern w:val="0"/>
          <w:sz w:val="32"/>
          <w:szCs w:val="32"/>
        </w:rPr>
      </w:pPr>
      <w:r>
        <w:rPr>
          <w:rFonts w:hint="eastAsia" w:asciiTheme="minorEastAsia" w:hAnsiTheme="minorEastAsia"/>
          <w:kern w:val="0"/>
          <w:sz w:val="32"/>
          <w:szCs w:val="32"/>
        </w:rPr>
        <w:t>（二）决算单位构成：</w:t>
      </w:r>
      <w:r>
        <w:rPr>
          <w:rFonts w:hint="eastAsia" w:ascii="宋体" w:hAnsi="宋体" w:cs="宋体"/>
          <w:sz w:val="32"/>
          <w:szCs w:val="32"/>
        </w:rPr>
        <w:t>县纪委监委2019年部门决算汇总公开单位构成只有委机关本级，无其他独立预算的二级单位。</w:t>
      </w:r>
    </w:p>
    <w:p>
      <w:pPr>
        <w:widowControl/>
        <w:snapToGrid w:val="0"/>
        <w:spacing w:line="360" w:lineRule="auto"/>
        <w:jc w:val="left"/>
        <w:rPr>
          <w:rFonts w:asciiTheme="minorEastAsia" w:hAnsiTheme="minorEastAsia"/>
          <w:kern w:val="0"/>
          <w:sz w:val="32"/>
          <w:szCs w:val="32"/>
        </w:rPr>
      </w:pPr>
      <w:r>
        <w:rPr>
          <w:rFonts w:asciiTheme="minorEastAsia" w:hAnsiTheme="minorEastAsia"/>
          <w:kern w:val="0"/>
          <w:sz w:val="32"/>
          <w:szCs w:val="32"/>
        </w:rPr>
        <w:br w:type="page"/>
      </w:r>
    </w:p>
    <w:p>
      <w:pPr>
        <w:pStyle w:val="12"/>
        <w:snapToGrid w:val="0"/>
        <w:spacing w:line="360" w:lineRule="auto"/>
        <w:ind w:firstLine="0" w:firstLineChars="0"/>
        <w:jc w:val="center"/>
        <w:rPr>
          <w:rFonts w:ascii="黑体" w:hAnsi="黑体" w:eastAsia="黑体"/>
          <w:sz w:val="44"/>
          <w:szCs w:val="44"/>
        </w:rPr>
      </w:pPr>
      <w:r>
        <w:rPr>
          <w:rFonts w:hint="eastAsia" w:ascii="黑体" w:hAnsi="黑体" w:eastAsia="黑体"/>
          <w:sz w:val="44"/>
          <w:szCs w:val="44"/>
        </w:rPr>
        <w:t xml:space="preserve">第二部分 </w:t>
      </w:r>
      <w:r>
        <w:rPr>
          <w:rFonts w:ascii="黑体" w:hAnsi="黑体" w:eastAsia="黑体"/>
          <w:sz w:val="44"/>
          <w:szCs w:val="44"/>
        </w:rPr>
        <w:t xml:space="preserve"> </w:t>
      </w:r>
      <w:r>
        <w:rPr>
          <w:rFonts w:hint="eastAsia" w:ascii="黑体" w:hAnsi="黑体" w:eastAsia="黑体"/>
          <w:sz w:val="44"/>
          <w:szCs w:val="44"/>
        </w:rPr>
        <w:t>部门决算表</w:t>
      </w:r>
    </w:p>
    <w:p>
      <w:pPr>
        <w:snapToGrid w:val="0"/>
        <w:spacing w:line="360" w:lineRule="auto"/>
        <w:jc w:val="center"/>
        <w:rPr>
          <w:sz w:val="32"/>
          <w:szCs w:val="32"/>
        </w:rPr>
      </w:pPr>
    </w:p>
    <w:p>
      <w:pPr>
        <w:snapToGrid w:val="0"/>
        <w:spacing w:line="360" w:lineRule="auto"/>
        <w:jc w:val="center"/>
        <w:rPr>
          <w:sz w:val="32"/>
          <w:szCs w:val="32"/>
        </w:rPr>
      </w:pPr>
      <w:r>
        <w:rPr>
          <w:rFonts w:hint="eastAsia"/>
          <w:sz w:val="32"/>
          <w:szCs w:val="32"/>
        </w:rPr>
        <w:t>(部门决算公示表附后)</w:t>
      </w:r>
    </w:p>
    <w:p>
      <w:pPr>
        <w:snapToGrid w:val="0"/>
        <w:spacing w:line="360" w:lineRule="auto"/>
        <w:jc w:val="center"/>
        <w:rPr>
          <w:sz w:val="72"/>
          <w:szCs w:val="72"/>
        </w:rPr>
      </w:pPr>
    </w:p>
    <w:p>
      <w:pPr>
        <w:snapToGrid w:val="0"/>
        <w:spacing w:line="360" w:lineRule="auto"/>
        <w:jc w:val="left"/>
        <w:rPr>
          <w:rFonts w:asciiTheme="minorEastAsia" w:hAnsiTheme="minorEastAsia"/>
          <w:sz w:val="32"/>
          <w:szCs w:val="32"/>
        </w:rPr>
        <w:sectPr>
          <w:pgSz w:w="11906" w:h="16838"/>
          <w:pgMar w:top="1134" w:right="1134" w:bottom="1134" w:left="1134" w:header="851" w:footer="992" w:gutter="0"/>
          <w:cols w:space="425" w:num="1"/>
          <w:docGrid w:type="lines" w:linePitch="312" w:charSpace="0"/>
        </w:sectPr>
      </w:pPr>
    </w:p>
    <w:p>
      <w:pPr>
        <w:pStyle w:val="12"/>
        <w:snapToGrid w:val="0"/>
        <w:spacing w:line="360" w:lineRule="auto"/>
        <w:ind w:firstLine="0" w:firstLineChars="0"/>
        <w:jc w:val="center"/>
        <w:rPr>
          <w:rFonts w:ascii="黑体" w:hAnsi="黑体" w:eastAsia="黑体"/>
          <w:sz w:val="44"/>
          <w:szCs w:val="44"/>
        </w:rPr>
      </w:pPr>
      <w:r>
        <w:rPr>
          <w:rFonts w:hint="eastAsia" w:ascii="黑体" w:hAnsi="黑体" w:eastAsia="黑体"/>
          <w:sz w:val="44"/>
          <w:szCs w:val="44"/>
        </w:rPr>
        <w:t xml:space="preserve">第三部分 </w:t>
      </w:r>
      <w:r>
        <w:rPr>
          <w:rFonts w:ascii="黑体" w:hAnsi="黑体" w:eastAsia="黑体"/>
          <w:sz w:val="44"/>
          <w:szCs w:val="44"/>
        </w:rPr>
        <w:t xml:space="preserve"> 2019</w:t>
      </w:r>
      <w:r>
        <w:rPr>
          <w:rFonts w:hint="eastAsia" w:ascii="黑体" w:hAnsi="黑体" w:eastAsia="黑体"/>
          <w:sz w:val="44"/>
          <w:szCs w:val="44"/>
        </w:rPr>
        <w:t>年度部门决算情况说明</w:t>
      </w:r>
    </w:p>
    <w:p>
      <w:pPr>
        <w:widowControl/>
        <w:snapToGrid w:val="0"/>
        <w:spacing w:line="360" w:lineRule="auto"/>
        <w:jc w:val="left"/>
        <w:rPr>
          <w:rFonts w:hAnsi="黑体"/>
          <w:sz w:val="32"/>
          <w:szCs w:val="32"/>
        </w:rPr>
      </w:pPr>
    </w:p>
    <w:p>
      <w:pPr>
        <w:pStyle w:val="11"/>
        <w:snapToGrid w:val="0"/>
        <w:spacing w:line="360" w:lineRule="auto"/>
        <w:ind w:firstLine="707" w:firstLineChars="221"/>
        <w:jc w:val="both"/>
        <w:rPr>
          <w:rFonts w:hAnsi="黑体"/>
          <w:sz w:val="32"/>
          <w:szCs w:val="32"/>
        </w:rPr>
      </w:pPr>
      <w:r>
        <w:rPr>
          <w:rFonts w:hint="eastAsia" w:hAnsi="黑体"/>
          <w:sz w:val="32"/>
          <w:szCs w:val="32"/>
        </w:rPr>
        <w:t>一、收入支出决算总体情况说明</w:t>
      </w:r>
    </w:p>
    <w:p>
      <w:pPr>
        <w:widowControl/>
        <w:shd w:val="clear" w:color="auto" w:fill="FFFFFF"/>
        <w:snapToGrid w:val="0"/>
        <w:spacing w:line="360" w:lineRule="auto"/>
        <w:ind w:firstLine="640"/>
        <w:rPr>
          <w:rFonts w:cs="黑体" w:asciiTheme="minorEastAsia" w:hAnsiTheme="minorEastAsia"/>
          <w:color w:val="000000"/>
          <w:kern w:val="0"/>
          <w:sz w:val="32"/>
          <w:szCs w:val="32"/>
        </w:rPr>
      </w:pPr>
      <w:r>
        <w:rPr>
          <w:rFonts w:hint="eastAsia" w:cs="黑体" w:asciiTheme="minorEastAsia" w:hAnsiTheme="minorEastAsia"/>
          <w:color w:val="000000"/>
          <w:kern w:val="0"/>
          <w:sz w:val="32"/>
          <w:szCs w:val="32"/>
        </w:rPr>
        <w:t>2019年度全年收支均为一般公共预算财政拨款收支。2019年财政总收入为2</w:t>
      </w:r>
      <w:r>
        <w:rPr>
          <w:rFonts w:cs="黑体" w:asciiTheme="minorEastAsia" w:hAnsiTheme="minorEastAsia"/>
          <w:color w:val="000000"/>
          <w:kern w:val="0"/>
          <w:sz w:val="32"/>
          <w:szCs w:val="32"/>
        </w:rPr>
        <w:t>,</w:t>
      </w:r>
      <w:r>
        <w:rPr>
          <w:rFonts w:hint="eastAsia" w:cs="黑体" w:asciiTheme="minorEastAsia" w:hAnsiTheme="minorEastAsia"/>
          <w:color w:val="000000"/>
          <w:kern w:val="0"/>
          <w:sz w:val="32"/>
          <w:szCs w:val="32"/>
        </w:rPr>
        <w:t>879.68万元,其中:</w:t>
      </w:r>
      <w:r>
        <w:rPr>
          <w:rFonts w:hint="eastAsia"/>
        </w:rPr>
        <w:t xml:space="preserve"> </w:t>
      </w:r>
      <w:r>
        <w:rPr>
          <w:rFonts w:hint="eastAsia" w:cs="黑体" w:asciiTheme="minorEastAsia" w:hAnsiTheme="minorEastAsia"/>
          <w:color w:val="000000"/>
          <w:kern w:val="0"/>
          <w:sz w:val="32"/>
          <w:szCs w:val="32"/>
        </w:rPr>
        <w:t>当年一般公共预算财政拨款收入</w:t>
      </w:r>
      <w:r>
        <w:rPr>
          <w:rFonts w:cs="黑体" w:asciiTheme="minorEastAsia" w:hAnsiTheme="minorEastAsia"/>
          <w:color w:val="000000"/>
          <w:kern w:val="0"/>
          <w:sz w:val="32"/>
          <w:szCs w:val="32"/>
        </w:rPr>
        <w:t>2,603.34</w:t>
      </w:r>
      <w:r>
        <w:rPr>
          <w:rFonts w:hint="eastAsia" w:cs="黑体" w:asciiTheme="minorEastAsia" w:hAnsiTheme="minorEastAsia"/>
          <w:color w:val="000000"/>
          <w:kern w:val="0"/>
          <w:sz w:val="32"/>
          <w:szCs w:val="32"/>
        </w:rPr>
        <w:t>万元，</w:t>
      </w:r>
      <w:r>
        <w:rPr>
          <w:rFonts w:hint="eastAsia" w:asciiTheme="minorEastAsia" w:hAnsiTheme="minorEastAsia"/>
          <w:sz w:val="32"/>
          <w:szCs w:val="32"/>
        </w:rPr>
        <w:t>比上年增加</w:t>
      </w:r>
      <w:r>
        <w:rPr>
          <w:rFonts w:asciiTheme="minorEastAsia" w:hAnsiTheme="minorEastAsia"/>
          <w:sz w:val="32"/>
          <w:szCs w:val="32"/>
        </w:rPr>
        <w:t>927.33</w:t>
      </w:r>
      <w:r>
        <w:rPr>
          <w:rFonts w:hint="eastAsia" w:asciiTheme="minorEastAsia" w:hAnsiTheme="minorEastAsia"/>
          <w:sz w:val="32"/>
          <w:szCs w:val="32"/>
        </w:rPr>
        <w:t>万元,增长</w:t>
      </w:r>
      <w:r>
        <w:rPr>
          <w:rFonts w:asciiTheme="minorEastAsia" w:hAnsiTheme="minorEastAsia"/>
          <w:sz w:val="32"/>
          <w:szCs w:val="32"/>
        </w:rPr>
        <w:t>35.62</w:t>
      </w:r>
      <w:r>
        <w:rPr>
          <w:rFonts w:hint="eastAsia" w:asciiTheme="minorEastAsia" w:hAnsiTheme="minorEastAsia"/>
          <w:sz w:val="32"/>
          <w:szCs w:val="32"/>
        </w:rPr>
        <w:t>%；</w:t>
      </w:r>
      <w:r>
        <w:rPr>
          <w:rFonts w:hint="eastAsia" w:cs="黑体" w:asciiTheme="minorEastAsia" w:hAnsiTheme="minorEastAsia"/>
          <w:color w:val="000000"/>
          <w:kern w:val="0"/>
          <w:sz w:val="32"/>
          <w:szCs w:val="32"/>
        </w:rPr>
        <w:t>上年结转和结余</w:t>
      </w:r>
      <w:r>
        <w:rPr>
          <w:rFonts w:cs="黑体" w:asciiTheme="minorEastAsia" w:hAnsiTheme="minorEastAsia"/>
          <w:color w:val="000000"/>
          <w:kern w:val="0"/>
          <w:sz w:val="32"/>
          <w:szCs w:val="32"/>
        </w:rPr>
        <w:t>276.34</w:t>
      </w:r>
      <w:r>
        <w:rPr>
          <w:rFonts w:hint="eastAsia" w:cs="黑体" w:asciiTheme="minorEastAsia" w:hAnsiTheme="minorEastAsia"/>
          <w:color w:val="000000"/>
          <w:kern w:val="0"/>
          <w:sz w:val="32"/>
          <w:szCs w:val="32"/>
        </w:rPr>
        <w:t>万元。全年支出合计2</w:t>
      </w:r>
      <w:r>
        <w:rPr>
          <w:rFonts w:cs="黑体" w:asciiTheme="minorEastAsia" w:hAnsiTheme="minorEastAsia"/>
          <w:color w:val="000000"/>
          <w:kern w:val="0"/>
          <w:sz w:val="32"/>
          <w:szCs w:val="32"/>
        </w:rPr>
        <w:t>,5</w:t>
      </w:r>
      <w:r>
        <w:rPr>
          <w:rFonts w:hint="eastAsia" w:cs="黑体" w:asciiTheme="minorEastAsia" w:hAnsiTheme="minorEastAsia"/>
          <w:color w:val="000000"/>
          <w:kern w:val="0"/>
          <w:sz w:val="32"/>
          <w:szCs w:val="32"/>
        </w:rPr>
        <w:t>32.27万元，</w:t>
      </w:r>
      <w:r>
        <w:rPr>
          <w:rFonts w:hint="eastAsia" w:asciiTheme="minorEastAsia" w:hAnsiTheme="minorEastAsia"/>
          <w:sz w:val="32"/>
          <w:szCs w:val="32"/>
        </w:rPr>
        <w:t>本年财政拨款支出</w:t>
      </w:r>
      <w:r>
        <w:rPr>
          <w:rFonts w:hint="eastAsia" w:cs="黑体" w:asciiTheme="minorEastAsia" w:hAnsiTheme="minorEastAsia"/>
          <w:color w:val="000000"/>
          <w:kern w:val="0"/>
          <w:sz w:val="32"/>
          <w:szCs w:val="32"/>
        </w:rPr>
        <w:t>2</w:t>
      </w:r>
      <w:r>
        <w:rPr>
          <w:rFonts w:asciiTheme="minorEastAsia" w:hAnsiTheme="minorEastAsia"/>
          <w:sz w:val="32"/>
          <w:szCs w:val="32"/>
        </w:rPr>
        <w:t>,</w:t>
      </w:r>
      <w:r>
        <w:rPr>
          <w:rFonts w:cs="黑体" w:asciiTheme="minorEastAsia" w:hAnsiTheme="minorEastAsia"/>
          <w:color w:val="000000"/>
          <w:kern w:val="0"/>
          <w:sz w:val="32"/>
          <w:szCs w:val="32"/>
        </w:rPr>
        <w:t>5</w:t>
      </w:r>
      <w:r>
        <w:rPr>
          <w:rFonts w:hint="eastAsia" w:cs="黑体" w:asciiTheme="minorEastAsia" w:hAnsiTheme="minorEastAsia"/>
          <w:color w:val="000000"/>
          <w:kern w:val="0"/>
          <w:sz w:val="32"/>
          <w:szCs w:val="32"/>
        </w:rPr>
        <w:t>32.27</w:t>
      </w:r>
      <w:r>
        <w:rPr>
          <w:rFonts w:hint="eastAsia" w:asciiTheme="minorEastAsia" w:hAnsiTheme="minorEastAsia"/>
          <w:sz w:val="32"/>
          <w:szCs w:val="32"/>
        </w:rPr>
        <w:t>万元，比上年增加37.94</w:t>
      </w:r>
      <w:r>
        <w:rPr>
          <w:rFonts w:asciiTheme="minorEastAsia" w:hAnsiTheme="minorEastAsia"/>
          <w:sz w:val="32"/>
          <w:szCs w:val="32"/>
        </w:rPr>
        <w:t>%</w:t>
      </w:r>
      <w:r>
        <w:rPr>
          <w:rFonts w:hint="eastAsia" w:asciiTheme="minorEastAsia" w:hAnsiTheme="minorEastAsia"/>
          <w:sz w:val="32"/>
          <w:szCs w:val="32"/>
        </w:rPr>
        <w:t>；</w:t>
      </w:r>
      <w:r>
        <w:rPr>
          <w:rFonts w:hint="eastAsia" w:cs="黑体" w:asciiTheme="minorEastAsia" w:hAnsiTheme="minorEastAsia"/>
          <w:color w:val="000000"/>
          <w:kern w:val="0"/>
          <w:sz w:val="32"/>
          <w:szCs w:val="32"/>
        </w:rPr>
        <w:t>年末结转和结余347.41万元。</w:t>
      </w:r>
      <w:r>
        <w:rPr>
          <w:rFonts w:hint="eastAsia" w:asciiTheme="minorEastAsia" w:hAnsiTheme="minorEastAsia"/>
          <w:sz w:val="32"/>
          <w:szCs w:val="32"/>
        </w:rPr>
        <w:t>收支增加的主要原因是监委成立后,纪委监委人员扩编增员,监督执纪问责工作量增加,业务经费支出大幅增加，以及人员工资调资相应增加等因素，且年未有部分办案经费未结算，预算缺口较大。</w:t>
      </w:r>
    </w:p>
    <w:p>
      <w:pPr>
        <w:pStyle w:val="11"/>
        <w:snapToGrid w:val="0"/>
        <w:spacing w:line="360" w:lineRule="auto"/>
        <w:ind w:firstLine="707" w:firstLineChars="221"/>
        <w:jc w:val="both"/>
        <w:rPr>
          <w:rFonts w:hAnsi="黑体"/>
          <w:sz w:val="32"/>
          <w:szCs w:val="32"/>
        </w:rPr>
      </w:pPr>
      <w:r>
        <w:rPr>
          <w:rFonts w:hint="eastAsia" w:hAnsi="黑体"/>
          <w:sz w:val="32"/>
          <w:szCs w:val="32"/>
        </w:rPr>
        <w:t>二、收入决算情况说明</w:t>
      </w:r>
    </w:p>
    <w:p>
      <w:pPr>
        <w:widowControl/>
        <w:shd w:val="clear" w:color="auto" w:fill="FFFFFF"/>
        <w:snapToGrid w:val="0"/>
        <w:spacing w:line="360" w:lineRule="auto"/>
        <w:ind w:firstLine="640"/>
        <w:rPr>
          <w:rFonts w:cs="黑体" w:asciiTheme="minorEastAsia" w:hAnsiTheme="minorEastAsia"/>
          <w:color w:val="000000"/>
          <w:kern w:val="0"/>
          <w:sz w:val="32"/>
          <w:szCs w:val="32"/>
        </w:rPr>
      </w:pPr>
      <w:r>
        <w:rPr>
          <w:rFonts w:hint="eastAsia" w:cs="黑体" w:asciiTheme="minorEastAsia" w:hAnsiTheme="minorEastAsia"/>
          <w:color w:val="000000"/>
          <w:kern w:val="0"/>
          <w:sz w:val="32"/>
          <w:szCs w:val="32"/>
        </w:rPr>
        <w:t>本年收入合计</w:t>
      </w:r>
      <w:r>
        <w:rPr>
          <w:rFonts w:cs="黑体" w:asciiTheme="minorEastAsia" w:hAnsiTheme="minorEastAsia"/>
          <w:color w:val="000000"/>
          <w:kern w:val="0"/>
          <w:sz w:val="32"/>
          <w:szCs w:val="32"/>
        </w:rPr>
        <w:t>2,603.34</w:t>
      </w:r>
      <w:r>
        <w:rPr>
          <w:rFonts w:hint="eastAsia" w:cs="黑体" w:asciiTheme="minorEastAsia" w:hAnsiTheme="minorEastAsia"/>
          <w:color w:val="000000"/>
          <w:kern w:val="0"/>
          <w:sz w:val="32"/>
          <w:szCs w:val="32"/>
        </w:rPr>
        <w:t>万元，全部为财政拨款收入。</w:t>
      </w:r>
    </w:p>
    <w:p>
      <w:pPr>
        <w:pStyle w:val="11"/>
        <w:snapToGrid w:val="0"/>
        <w:spacing w:line="360" w:lineRule="auto"/>
        <w:ind w:firstLine="707" w:firstLineChars="221"/>
        <w:jc w:val="both"/>
        <w:rPr>
          <w:rFonts w:hAnsi="黑体"/>
          <w:sz w:val="32"/>
          <w:szCs w:val="32"/>
        </w:rPr>
      </w:pPr>
      <w:r>
        <w:rPr>
          <w:rFonts w:hint="eastAsia" w:hAnsi="黑体"/>
          <w:sz w:val="32"/>
          <w:szCs w:val="32"/>
        </w:rPr>
        <w:t>三、支出决算情况说明</w:t>
      </w:r>
    </w:p>
    <w:p>
      <w:pPr>
        <w:pStyle w:val="11"/>
        <w:snapToGrid w:val="0"/>
        <w:spacing w:line="360" w:lineRule="auto"/>
        <w:ind w:firstLine="640" w:firstLineChars="200"/>
        <w:jc w:val="both"/>
        <w:rPr>
          <w:rFonts w:asciiTheme="minorEastAsia" w:hAnsiTheme="minorEastAsia" w:eastAsiaTheme="minorEastAsia"/>
          <w:sz w:val="32"/>
          <w:szCs w:val="32"/>
        </w:rPr>
      </w:pPr>
      <w:r>
        <w:rPr>
          <w:rFonts w:hint="eastAsia" w:asciiTheme="minorEastAsia" w:hAnsiTheme="minorEastAsia" w:eastAsiaTheme="minorEastAsia"/>
          <w:sz w:val="32"/>
          <w:szCs w:val="32"/>
        </w:rPr>
        <w:t>本年支出合计</w:t>
      </w:r>
      <w:r>
        <w:rPr>
          <w:rFonts w:hint="eastAsia" w:asciiTheme="minorEastAsia" w:hAnsiTheme="minorEastAsia"/>
          <w:sz w:val="32"/>
          <w:szCs w:val="32"/>
        </w:rPr>
        <w:t>2</w:t>
      </w:r>
      <w:r>
        <w:rPr>
          <w:rFonts w:asciiTheme="minorEastAsia" w:hAnsiTheme="minorEastAsia"/>
          <w:sz w:val="32"/>
          <w:szCs w:val="32"/>
        </w:rPr>
        <w:t>,5</w:t>
      </w:r>
      <w:r>
        <w:rPr>
          <w:rFonts w:hint="eastAsia" w:asciiTheme="minorEastAsia" w:hAnsiTheme="minorEastAsia"/>
          <w:sz w:val="32"/>
          <w:szCs w:val="32"/>
        </w:rPr>
        <w:t>32.27</w:t>
      </w:r>
      <w:r>
        <w:rPr>
          <w:rFonts w:hint="eastAsia" w:asciiTheme="minorEastAsia" w:hAnsiTheme="minorEastAsia" w:eastAsiaTheme="minorEastAsia"/>
          <w:sz w:val="32"/>
          <w:szCs w:val="32"/>
        </w:rPr>
        <w:t>万元，其中：基本支出</w:t>
      </w:r>
      <w:r>
        <w:rPr>
          <w:rFonts w:asciiTheme="minorEastAsia" w:hAnsiTheme="minorEastAsia" w:eastAsiaTheme="minorEastAsia"/>
          <w:sz w:val="32"/>
          <w:szCs w:val="32"/>
        </w:rPr>
        <w:t>1,874.28</w:t>
      </w:r>
      <w:r>
        <w:rPr>
          <w:rFonts w:hint="eastAsia" w:asciiTheme="minorEastAsia" w:hAnsiTheme="minorEastAsia" w:eastAsiaTheme="minorEastAsia"/>
          <w:sz w:val="32"/>
          <w:szCs w:val="32"/>
        </w:rPr>
        <w:t>万元，占全年支出的</w:t>
      </w:r>
      <w:r>
        <w:rPr>
          <w:rFonts w:asciiTheme="minorEastAsia" w:hAnsiTheme="minorEastAsia" w:eastAsiaTheme="minorEastAsia"/>
          <w:sz w:val="32"/>
          <w:szCs w:val="32"/>
        </w:rPr>
        <w:t>74.02</w:t>
      </w:r>
      <w:r>
        <w:rPr>
          <w:rFonts w:hint="eastAsia" w:asciiTheme="minorEastAsia" w:hAnsiTheme="minorEastAsia" w:eastAsiaTheme="minorEastAsia"/>
          <w:sz w:val="32"/>
          <w:szCs w:val="32"/>
        </w:rPr>
        <w:t>%；项目支出1,572.63万元，占全年支出的</w:t>
      </w:r>
      <w:r>
        <w:rPr>
          <w:rFonts w:asciiTheme="minorEastAsia" w:hAnsiTheme="minorEastAsia" w:eastAsiaTheme="minorEastAsia"/>
          <w:sz w:val="32"/>
          <w:szCs w:val="32"/>
        </w:rPr>
        <w:t>25.98</w:t>
      </w:r>
      <w:r>
        <w:rPr>
          <w:rFonts w:hint="eastAsia" w:asciiTheme="minorEastAsia" w:hAnsiTheme="minorEastAsia" w:eastAsiaTheme="minorEastAsia"/>
          <w:sz w:val="32"/>
          <w:szCs w:val="32"/>
        </w:rPr>
        <w:t>%。</w:t>
      </w:r>
    </w:p>
    <w:p>
      <w:pPr>
        <w:pStyle w:val="11"/>
        <w:snapToGrid w:val="0"/>
        <w:spacing w:line="360" w:lineRule="auto"/>
        <w:ind w:firstLine="707" w:firstLineChars="221"/>
        <w:jc w:val="both"/>
        <w:rPr>
          <w:rFonts w:hAnsi="黑体"/>
          <w:sz w:val="32"/>
          <w:szCs w:val="32"/>
        </w:rPr>
      </w:pPr>
      <w:r>
        <w:rPr>
          <w:rFonts w:hint="eastAsia" w:hAnsi="黑体"/>
          <w:sz w:val="32"/>
          <w:szCs w:val="32"/>
        </w:rPr>
        <w:t>四、财政拨款收入支出决算总体情况说明</w:t>
      </w:r>
    </w:p>
    <w:p>
      <w:pPr>
        <w:pStyle w:val="11"/>
        <w:snapToGrid w:val="0"/>
        <w:spacing w:line="360" w:lineRule="auto"/>
        <w:ind w:firstLine="707" w:firstLineChars="221"/>
        <w:jc w:val="both"/>
        <w:rPr>
          <w:rFonts w:asciiTheme="minorEastAsia" w:hAnsiTheme="minorEastAsia" w:eastAsiaTheme="minorEastAsia" w:cstheme="minorBidi"/>
          <w:color w:val="auto"/>
          <w:kern w:val="2"/>
          <w:sz w:val="32"/>
          <w:szCs w:val="32"/>
        </w:rPr>
      </w:pPr>
      <w:r>
        <w:rPr>
          <w:rFonts w:hint="eastAsia" w:asciiTheme="minorEastAsia" w:hAnsiTheme="minorEastAsia" w:eastAsiaTheme="minorEastAsia" w:cstheme="minorBidi"/>
          <w:color w:val="auto"/>
          <w:kern w:val="2"/>
          <w:sz w:val="32"/>
          <w:szCs w:val="32"/>
        </w:rPr>
        <w:t>2019年度我委收入、支出均为财政拨款，详见第一项“收入支出决算总体情况说明”。</w:t>
      </w:r>
    </w:p>
    <w:p>
      <w:pPr>
        <w:pStyle w:val="11"/>
        <w:snapToGrid w:val="0"/>
        <w:spacing w:line="360" w:lineRule="auto"/>
        <w:ind w:firstLine="707" w:firstLineChars="221"/>
        <w:jc w:val="both"/>
        <w:rPr>
          <w:rFonts w:hAnsi="黑体"/>
          <w:sz w:val="32"/>
          <w:szCs w:val="32"/>
        </w:rPr>
      </w:pPr>
      <w:r>
        <w:rPr>
          <w:rFonts w:hint="eastAsia" w:hAnsi="黑体"/>
          <w:sz w:val="32"/>
          <w:szCs w:val="32"/>
        </w:rPr>
        <w:t>五、一般公共预算财政拨款支出决算情况说明</w:t>
      </w:r>
    </w:p>
    <w:p>
      <w:pPr>
        <w:pStyle w:val="11"/>
        <w:snapToGrid w:val="0"/>
        <w:spacing w:line="360" w:lineRule="auto"/>
        <w:ind w:firstLine="640" w:firstLineChars="200"/>
        <w:jc w:val="both"/>
        <w:rPr>
          <w:rFonts w:asciiTheme="minorEastAsia" w:hAnsiTheme="minorEastAsia" w:eastAsiaTheme="minorEastAsia"/>
          <w:sz w:val="32"/>
          <w:szCs w:val="32"/>
        </w:rPr>
      </w:pPr>
      <w:r>
        <w:rPr>
          <w:rFonts w:hint="eastAsia" w:asciiTheme="minorEastAsia" w:hAnsiTheme="minorEastAsia" w:eastAsiaTheme="minorEastAsia"/>
          <w:sz w:val="32"/>
          <w:szCs w:val="32"/>
        </w:rPr>
        <w:t>（一）财政拨款支出决算总体情况</w:t>
      </w:r>
    </w:p>
    <w:p>
      <w:pPr>
        <w:pStyle w:val="11"/>
        <w:snapToGrid w:val="0"/>
        <w:spacing w:line="360" w:lineRule="auto"/>
        <w:ind w:firstLine="800" w:firstLineChars="250"/>
        <w:jc w:val="both"/>
        <w:rPr>
          <w:rFonts w:asciiTheme="minorEastAsia" w:hAnsiTheme="minorEastAsia" w:eastAsiaTheme="minorEastAsia"/>
          <w:sz w:val="32"/>
          <w:szCs w:val="32"/>
        </w:rPr>
      </w:pPr>
      <w:r>
        <w:rPr>
          <w:rFonts w:hint="eastAsia" w:asciiTheme="minorEastAsia" w:hAnsiTheme="minorEastAsia" w:eastAsiaTheme="minorEastAsia"/>
          <w:sz w:val="32"/>
          <w:szCs w:val="32"/>
        </w:rPr>
        <w:t>2019年度财政拨款支出</w:t>
      </w:r>
      <w:r>
        <w:rPr>
          <w:rFonts w:hint="eastAsia" w:asciiTheme="minorEastAsia" w:hAnsiTheme="minorEastAsia"/>
          <w:sz w:val="32"/>
          <w:szCs w:val="32"/>
        </w:rPr>
        <w:t>2</w:t>
      </w:r>
      <w:r>
        <w:rPr>
          <w:rFonts w:asciiTheme="minorEastAsia" w:hAnsiTheme="minorEastAsia"/>
          <w:sz w:val="32"/>
          <w:szCs w:val="32"/>
        </w:rPr>
        <w:t>,5</w:t>
      </w:r>
      <w:r>
        <w:rPr>
          <w:rFonts w:hint="eastAsia" w:asciiTheme="minorEastAsia" w:hAnsiTheme="minorEastAsia"/>
          <w:sz w:val="32"/>
          <w:szCs w:val="32"/>
        </w:rPr>
        <w:t>32.27</w:t>
      </w:r>
      <w:r>
        <w:rPr>
          <w:rFonts w:hint="eastAsia" w:asciiTheme="minorEastAsia" w:hAnsiTheme="minorEastAsia" w:eastAsiaTheme="minorEastAsia"/>
          <w:sz w:val="32"/>
          <w:szCs w:val="32"/>
        </w:rPr>
        <w:t>万元，占本年支出合计的100%，详见第一项“收入支出决算总体情况说明”。</w:t>
      </w:r>
    </w:p>
    <w:p>
      <w:pPr>
        <w:pStyle w:val="11"/>
        <w:snapToGrid w:val="0"/>
        <w:spacing w:line="360" w:lineRule="auto"/>
        <w:ind w:firstLine="480" w:firstLineChars="150"/>
        <w:jc w:val="both"/>
        <w:rPr>
          <w:rFonts w:asciiTheme="minorEastAsia" w:hAnsiTheme="minorEastAsia" w:eastAsiaTheme="minorEastAsia"/>
          <w:sz w:val="32"/>
          <w:szCs w:val="32"/>
        </w:rPr>
      </w:pPr>
      <w:r>
        <w:rPr>
          <w:rFonts w:hint="eastAsia" w:asciiTheme="minorEastAsia" w:hAnsiTheme="minorEastAsia" w:eastAsiaTheme="minorEastAsia"/>
          <w:sz w:val="32"/>
          <w:szCs w:val="32"/>
        </w:rPr>
        <w:t>（二）财政拨款支出决算结构情况</w:t>
      </w:r>
    </w:p>
    <w:p>
      <w:pPr>
        <w:pStyle w:val="11"/>
        <w:snapToGrid w:val="0"/>
        <w:spacing w:line="360" w:lineRule="auto"/>
        <w:ind w:firstLine="640" w:firstLineChars="200"/>
        <w:jc w:val="both"/>
        <w:rPr>
          <w:rFonts w:asciiTheme="minorEastAsia" w:hAnsiTheme="minorEastAsia" w:eastAsiaTheme="minorEastAsia"/>
          <w:sz w:val="32"/>
          <w:szCs w:val="32"/>
        </w:rPr>
      </w:pPr>
      <w:r>
        <w:rPr>
          <w:rFonts w:hint="eastAsia" w:asciiTheme="minorEastAsia" w:hAnsiTheme="minorEastAsia" w:eastAsiaTheme="minorEastAsia"/>
          <w:sz w:val="32"/>
          <w:szCs w:val="32"/>
        </w:rPr>
        <w:t>2019年度财政拨款支出</w:t>
      </w:r>
      <w:r>
        <w:rPr>
          <w:rFonts w:hint="eastAsia" w:asciiTheme="minorEastAsia" w:hAnsiTheme="minorEastAsia"/>
          <w:sz w:val="32"/>
          <w:szCs w:val="32"/>
        </w:rPr>
        <w:t>2</w:t>
      </w:r>
      <w:r>
        <w:rPr>
          <w:rFonts w:asciiTheme="minorEastAsia" w:hAnsiTheme="minorEastAsia"/>
          <w:sz w:val="32"/>
          <w:szCs w:val="32"/>
        </w:rPr>
        <w:t>,5</w:t>
      </w:r>
      <w:r>
        <w:rPr>
          <w:rFonts w:hint="eastAsia" w:asciiTheme="minorEastAsia" w:hAnsiTheme="minorEastAsia"/>
          <w:sz w:val="32"/>
          <w:szCs w:val="32"/>
        </w:rPr>
        <w:t>32.27</w:t>
      </w:r>
      <w:r>
        <w:rPr>
          <w:rFonts w:hint="eastAsia" w:asciiTheme="minorEastAsia" w:hAnsiTheme="minorEastAsia" w:eastAsiaTheme="minorEastAsia"/>
          <w:sz w:val="32"/>
          <w:szCs w:val="32"/>
        </w:rPr>
        <w:t>万元，主要用于以下方面：一般公共服务支出</w:t>
      </w:r>
      <w:r>
        <w:rPr>
          <w:rFonts w:asciiTheme="minorEastAsia" w:hAnsiTheme="minorEastAsia" w:eastAsiaTheme="minorEastAsia"/>
          <w:sz w:val="32"/>
          <w:szCs w:val="32"/>
        </w:rPr>
        <w:t>1,966.74</w:t>
      </w:r>
      <w:r>
        <w:rPr>
          <w:rFonts w:hint="eastAsia" w:asciiTheme="minorEastAsia" w:hAnsiTheme="minorEastAsia" w:eastAsiaTheme="minorEastAsia"/>
          <w:sz w:val="32"/>
          <w:szCs w:val="32"/>
        </w:rPr>
        <w:t>万元，占</w:t>
      </w:r>
      <w:r>
        <w:rPr>
          <w:rFonts w:asciiTheme="minorEastAsia" w:hAnsiTheme="minorEastAsia" w:eastAsiaTheme="minorEastAsia"/>
          <w:sz w:val="32"/>
          <w:szCs w:val="32"/>
        </w:rPr>
        <w:t>77.67</w:t>
      </w:r>
      <w:r>
        <w:rPr>
          <w:rFonts w:hint="eastAsia" w:asciiTheme="minorEastAsia" w:hAnsiTheme="minorEastAsia" w:eastAsiaTheme="minorEastAsia"/>
          <w:sz w:val="32"/>
          <w:szCs w:val="32"/>
        </w:rPr>
        <w:t>%；社会保障和就业支出</w:t>
      </w:r>
      <w:r>
        <w:rPr>
          <w:rFonts w:asciiTheme="minorEastAsia" w:hAnsiTheme="minorEastAsia" w:eastAsiaTheme="minorEastAsia"/>
          <w:sz w:val="32"/>
          <w:szCs w:val="32"/>
        </w:rPr>
        <w:t>227.14</w:t>
      </w:r>
      <w:r>
        <w:rPr>
          <w:rFonts w:hint="eastAsia" w:asciiTheme="minorEastAsia" w:hAnsiTheme="minorEastAsia" w:eastAsiaTheme="minorEastAsia"/>
          <w:sz w:val="32"/>
          <w:szCs w:val="32"/>
        </w:rPr>
        <w:t>万元，占</w:t>
      </w:r>
      <w:r>
        <w:rPr>
          <w:rFonts w:asciiTheme="minorEastAsia" w:hAnsiTheme="minorEastAsia" w:eastAsiaTheme="minorEastAsia"/>
          <w:sz w:val="32"/>
          <w:szCs w:val="32"/>
        </w:rPr>
        <w:t>8.97</w:t>
      </w:r>
      <w:r>
        <w:rPr>
          <w:rFonts w:hint="eastAsia" w:asciiTheme="minorEastAsia" w:hAnsiTheme="minorEastAsia" w:eastAsiaTheme="minorEastAsia"/>
          <w:sz w:val="32"/>
          <w:szCs w:val="32"/>
        </w:rPr>
        <w:t>%；卫生健康支出1</w:t>
      </w:r>
      <w:r>
        <w:rPr>
          <w:rFonts w:asciiTheme="minorEastAsia" w:hAnsiTheme="minorEastAsia" w:eastAsiaTheme="minorEastAsia"/>
          <w:sz w:val="32"/>
          <w:szCs w:val="32"/>
        </w:rPr>
        <w:t>65.71</w:t>
      </w:r>
      <w:r>
        <w:rPr>
          <w:rFonts w:hint="eastAsia" w:asciiTheme="minorEastAsia" w:hAnsiTheme="minorEastAsia" w:eastAsiaTheme="minorEastAsia"/>
          <w:sz w:val="32"/>
          <w:szCs w:val="32"/>
        </w:rPr>
        <w:t>万元，占</w:t>
      </w:r>
      <w:r>
        <w:rPr>
          <w:rFonts w:asciiTheme="minorEastAsia" w:hAnsiTheme="minorEastAsia" w:eastAsiaTheme="minorEastAsia"/>
          <w:sz w:val="32"/>
          <w:szCs w:val="32"/>
        </w:rPr>
        <w:t>6.54</w:t>
      </w:r>
      <w:r>
        <w:rPr>
          <w:rFonts w:hint="eastAsia" w:asciiTheme="minorEastAsia" w:hAnsiTheme="minorEastAsia" w:eastAsiaTheme="minorEastAsia"/>
          <w:sz w:val="32"/>
          <w:szCs w:val="32"/>
        </w:rPr>
        <w:t>%；住房保障支出</w:t>
      </w:r>
      <w:r>
        <w:rPr>
          <w:rFonts w:asciiTheme="minorEastAsia" w:hAnsiTheme="minorEastAsia" w:eastAsiaTheme="minorEastAsia"/>
          <w:sz w:val="32"/>
          <w:szCs w:val="32"/>
        </w:rPr>
        <w:t>176.68</w:t>
      </w:r>
      <w:r>
        <w:rPr>
          <w:rFonts w:hint="eastAsia" w:asciiTheme="minorEastAsia" w:hAnsiTheme="minorEastAsia" w:eastAsiaTheme="minorEastAsia"/>
          <w:sz w:val="32"/>
          <w:szCs w:val="32"/>
        </w:rPr>
        <w:t>万元，占</w:t>
      </w:r>
      <w:r>
        <w:rPr>
          <w:rFonts w:asciiTheme="minorEastAsia" w:hAnsiTheme="minorEastAsia" w:eastAsiaTheme="minorEastAsia"/>
          <w:sz w:val="32"/>
          <w:szCs w:val="32"/>
        </w:rPr>
        <w:t>6.82</w:t>
      </w:r>
      <w:r>
        <w:rPr>
          <w:rFonts w:hint="eastAsia" w:asciiTheme="minorEastAsia" w:hAnsiTheme="minorEastAsia" w:eastAsiaTheme="minorEastAsia"/>
          <w:sz w:val="32"/>
          <w:szCs w:val="32"/>
        </w:rPr>
        <w:t>%。</w:t>
      </w:r>
    </w:p>
    <w:p>
      <w:pPr>
        <w:pStyle w:val="11"/>
        <w:snapToGrid w:val="0"/>
        <w:spacing w:line="360" w:lineRule="auto"/>
        <w:ind w:firstLine="800" w:firstLineChars="250"/>
        <w:jc w:val="both"/>
        <w:rPr>
          <w:rFonts w:asciiTheme="minorEastAsia" w:hAnsiTheme="minorEastAsia" w:eastAsiaTheme="minorEastAsia"/>
          <w:sz w:val="32"/>
          <w:szCs w:val="32"/>
        </w:rPr>
      </w:pPr>
      <w:r>
        <w:rPr>
          <w:rFonts w:hint="eastAsia" w:asciiTheme="minorEastAsia" w:hAnsiTheme="minorEastAsia" w:eastAsiaTheme="minorEastAsia"/>
          <w:sz w:val="32"/>
          <w:szCs w:val="32"/>
        </w:rPr>
        <w:t>（三）财政拨款支出决算具体情况</w:t>
      </w:r>
    </w:p>
    <w:p>
      <w:pPr>
        <w:pStyle w:val="11"/>
        <w:snapToGrid w:val="0"/>
        <w:spacing w:line="360" w:lineRule="auto"/>
        <w:ind w:firstLine="800" w:firstLineChars="250"/>
        <w:jc w:val="both"/>
        <w:rPr>
          <w:rFonts w:asciiTheme="minorEastAsia" w:hAnsiTheme="minorEastAsia" w:eastAsiaTheme="minorEastAsia"/>
          <w:sz w:val="32"/>
          <w:szCs w:val="32"/>
        </w:rPr>
      </w:pPr>
      <w:r>
        <w:rPr>
          <w:rFonts w:hint="eastAsia" w:asciiTheme="minorEastAsia" w:hAnsiTheme="minorEastAsia" w:eastAsiaTheme="minorEastAsia"/>
          <w:sz w:val="32"/>
          <w:szCs w:val="32"/>
        </w:rPr>
        <w:t>2019年度财政拨款支出年初预算数为</w:t>
      </w:r>
      <w:r>
        <w:rPr>
          <w:rFonts w:asciiTheme="minorEastAsia" w:hAnsiTheme="minorEastAsia" w:eastAsiaTheme="minorEastAsia"/>
          <w:sz w:val="32"/>
          <w:szCs w:val="32"/>
        </w:rPr>
        <w:t>1,303.73</w:t>
      </w:r>
      <w:r>
        <w:rPr>
          <w:rFonts w:hint="eastAsia" w:asciiTheme="minorEastAsia" w:hAnsiTheme="minorEastAsia" w:eastAsiaTheme="minorEastAsia"/>
          <w:sz w:val="32"/>
          <w:szCs w:val="32"/>
        </w:rPr>
        <w:t>万元，支出决算数为</w:t>
      </w:r>
      <w:r>
        <w:rPr>
          <w:rFonts w:hint="eastAsia" w:asciiTheme="minorEastAsia" w:hAnsiTheme="minorEastAsia"/>
          <w:sz w:val="32"/>
          <w:szCs w:val="32"/>
        </w:rPr>
        <w:t>2</w:t>
      </w:r>
      <w:r>
        <w:rPr>
          <w:rFonts w:asciiTheme="minorEastAsia" w:hAnsiTheme="minorEastAsia"/>
          <w:sz w:val="32"/>
          <w:szCs w:val="32"/>
        </w:rPr>
        <w:t>,5</w:t>
      </w:r>
      <w:r>
        <w:rPr>
          <w:rFonts w:hint="eastAsia" w:asciiTheme="minorEastAsia" w:hAnsiTheme="minorEastAsia"/>
          <w:sz w:val="32"/>
          <w:szCs w:val="32"/>
        </w:rPr>
        <w:t>32.27</w:t>
      </w:r>
      <w:r>
        <w:rPr>
          <w:rFonts w:hint="eastAsia" w:asciiTheme="minorEastAsia" w:hAnsiTheme="minorEastAsia" w:eastAsiaTheme="minorEastAsia"/>
          <w:sz w:val="32"/>
          <w:szCs w:val="32"/>
        </w:rPr>
        <w:t>万元，完成年初预算的</w:t>
      </w:r>
      <w:r>
        <w:rPr>
          <w:rFonts w:asciiTheme="minorEastAsia" w:hAnsiTheme="minorEastAsia" w:eastAsiaTheme="minorEastAsia"/>
          <w:sz w:val="32"/>
          <w:szCs w:val="32"/>
        </w:rPr>
        <w:t>194.23</w:t>
      </w:r>
      <w:r>
        <w:rPr>
          <w:rFonts w:hint="eastAsia" w:asciiTheme="minorEastAsia" w:hAnsiTheme="minorEastAsia" w:eastAsiaTheme="minorEastAsia"/>
          <w:sz w:val="32"/>
          <w:szCs w:val="32"/>
        </w:rPr>
        <w:t>%，其中：</w:t>
      </w:r>
    </w:p>
    <w:p>
      <w:pPr>
        <w:widowControl/>
        <w:shd w:val="clear" w:color="auto" w:fill="FFFFFF"/>
        <w:snapToGrid w:val="0"/>
        <w:spacing w:line="360" w:lineRule="auto"/>
        <w:ind w:firstLine="640"/>
        <w:rPr>
          <w:rFonts w:cs="黑体" w:asciiTheme="minorEastAsia" w:hAnsiTheme="minorEastAsia"/>
          <w:color w:val="000000"/>
          <w:kern w:val="0"/>
          <w:sz w:val="32"/>
          <w:szCs w:val="32"/>
        </w:rPr>
      </w:pPr>
      <w:r>
        <w:rPr>
          <w:rFonts w:hint="eastAsia" w:asciiTheme="minorEastAsia" w:hAnsiTheme="minorEastAsia"/>
          <w:sz w:val="32"/>
          <w:szCs w:val="32"/>
        </w:rPr>
        <w:t>1、</w:t>
      </w:r>
      <w:r>
        <w:rPr>
          <w:rFonts w:hint="eastAsia" w:cs="黑体" w:asciiTheme="minorEastAsia" w:hAnsiTheme="minorEastAsia"/>
          <w:color w:val="000000"/>
          <w:kern w:val="0"/>
          <w:sz w:val="32"/>
          <w:szCs w:val="32"/>
        </w:rPr>
        <w:t>一般公共服务(类)纪检监察事务(款)。</w:t>
      </w:r>
    </w:p>
    <w:p>
      <w:pPr>
        <w:widowControl/>
        <w:shd w:val="clear" w:color="auto" w:fill="FFFFFF"/>
        <w:snapToGrid w:val="0"/>
        <w:spacing w:line="360" w:lineRule="auto"/>
        <w:ind w:firstLine="640"/>
        <w:rPr>
          <w:rFonts w:cs="黑体" w:asciiTheme="minorEastAsia" w:hAnsiTheme="minorEastAsia"/>
          <w:color w:val="000000"/>
          <w:kern w:val="0"/>
          <w:sz w:val="32"/>
          <w:szCs w:val="32"/>
        </w:rPr>
      </w:pPr>
      <w:r>
        <w:rPr>
          <w:rFonts w:hint="eastAsia" w:cs="黑体" w:asciiTheme="minorEastAsia" w:hAnsiTheme="minorEastAsia"/>
          <w:color w:val="000000"/>
          <w:kern w:val="0"/>
          <w:sz w:val="32"/>
          <w:szCs w:val="32"/>
        </w:rPr>
        <w:t>年初预算为</w:t>
      </w:r>
      <w:r>
        <w:rPr>
          <w:rFonts w:cs="黑体" w:asciiTheme="minorEastAsia" w:hAnsiTheme="minorEastAsia"/>
          <w:color w:val="000000"/>
          <w:kern w:val="0"/>
          <w:sz w:val="32"/>
          <w:szCs w:val="32"/>
        </w:rPr>
        <w:t>1,068.60</w:t>
      </w:r>
      <w:r>
        <w:rPr>
          <w:rFonts w:hint="eastAsia" w:cs="黑体" w:asciiTheme="minorEastAsia" w:hAnsiTheme="minorEastAsia"/>
          <w:color w:val="000000"/>
          <w:kern w:val="0"/>
          <w:sz w:val="32"/>
          <w:szCs w:val="32"/>
        </w:rPr>
        <w:t>万元，支出决算为</w:t>
      </w:r>
      <w:r>
        <w:rPr>
          <w:rFonts w:asciiTheme="minorEastAsia" w:hAnsiTheme="minorEastAsia"/>
          <w:sz w:val="32"/>
          <w:szCs w:val="32"/>
        </w:rPr>
        <w:t>1,966.74</w:t>
      </w:r>
      <w:r>
        <w:rPr>
          <w:rFonts w:hint="eastAsia" w:cs="黑体" w:asciiTheme="minorEastAsia" w:hAnsiTheme="minorEastAsia"/>
          <w:color w:val="000000"/>
          <w:kern w:val="0"/>
          <w:sz w:val="32"/>
          <w:szCs w:val="32"/>
        </w:rPr>
        <w:t>万元，决算数大于年初预算数的主要原因是：县财政2019年年初预算人员以2018年11月人数为准，2018年12月起有一部分转（调）入我委的同志正式转入财政供给关系，工资福利、一般商品和服务等各项开支较大幅度增加，且纪检监察工作满负荷运转，办案成本总量较大幅度增加。</w:t>
      </w:r>
    </w:p>
    <w:p>
      <w:pPr>
        <w:widowControl/>
        <w:shd w:val="clear" w:color="auto" w:fill="FFFFFF"/>
        <w:snapToGrid w:val="0"/>
        <w:spacing w:line="360" w:lineRule="auto"/>
        <w:ind w:firstLine="640"/>
        <w:rPr>
          <w:rFonts w:cs="黑体" w:asciiTheme="minorEastAsia" w:hAnsiTheme="minorEastAsia"/>
          <w:color w:val="000000"/>
          <w:kern w:val="0"/>
          <w:sz w:val="32"/>
          <w:szCs w:val="32"/>
        </w:rPr>
      </w:pPr>
      <w:r>
        <w:rPr>
          <w:rFonts w:hint="eastAsia" w:cs="黑体" w:asciiTheme="minorEastAsia" w:hAnsiTheme="minorEastAsia"/>
          <w:color w:val="000000"/>
          <w:kern w:val="0"/>
          <w:sz w:val="32"/>
          <w:szCs w:val="32"/>
        </w:rPr>
        <w:t>2、社会保障和就业支出(类)行政事业单位离退休(款)机关事业单位基本养老保险缴费支出(项)。</w:t>
      </w:r>
    </w:p>
    <w:p>
      <w:pPr>
        <w:widowControl/>
        <w:shd w:val="clear" w:color="auto" w:fill="FFFFFF"/>
        <w:snapToGrid w:val="0"/>
        <w:spacing w:line="360" w:lineRule="auto"/>
        <w:ind w:firstLine="640"/>
        <w:rPr>
          <w:rFonts w:cs="黑体" w:asciiTheme="minorEastAsia" w:hAnsiTheme="minorEastAsia"/>
          <w:color w:val="000000"/>
          <w:kern w:val="0"/>
          <w:sz w:val="32"/>
          <w:szCs w:val="32"/>
        </w:rPr>
      </w:pPr>
      <w:r>
        <w:rPr>
          <w:rFonts w:hint="eastAsia" w:cs="黑体" w:asciiTheme="minorEastAsia" w:hAnsiTheme="minorEastAsia"/>
          <w:color w:val="000000"/>
          <w:kern w:val="0"/>
          <w:sz w:val="32"/>
          <w:szCs w:val="32"/>
        </w:rPr>
        <w:t>年初预算为</w:t>
      </w:r>
      <w:r>
        <w:rPr>
          <w:rFonts w:cs="黑体" w:asciiTheme="minorEastAsia" w:hAnsiTheme="minorEastAsia"/>
          <w:color w:val="000000"/>
          <w:kern w:val="0"/>
          <w:sz w:val="32"/>
          <w:szCs w:val="32"/>
        </w:rPr>
        <w:t>178.47</w:t>
      </w:r>
      <w:r>
        <w:rPr>
          <w:rFonts w:hint="eastAsia" w:cs="黑体" w:asciiTheme="minorEastAsia" w:hAnsiTheme="minorEastAsia"/>
          <w:color w:val="000000"/>
          <w:kern w:val="0"/>
          <w:sz w:val="32"/>
          <w:szCs w:val="32"/>
        </w:rPr>
        <w:t>万元，支出决算为</w:t>
      </w:r>
      <w:r>
        <w:rPr>
          <w:rFonts w:cs="黑体" w:asciiTheme="minorEastAsia" w:hAnsiTheme="minorEastAsia"/>
          <w:color w:val="000000"/>
          <w:kern w:val="0"/>
          <w:sz w:val="32"/>
          <w:szCs w:val="32"/>
        </w:rPr>
        <w:t>227.14</w:t>
      </w:r>
      <w:r>
        <w:rPr>
          <w:rFonts w:hint="eastAsia" w:cs="黑体" w:asciiTheme="minorEastAsia" w:hAnsiTheme="minorEastAsia"/>
          <w:color w:val="000000"/>
          <w:kern w:val="0"/>
          <w:sz w:val="32"/>
          <w:szCs w:val="32"/>
        </w:rPr>
        <w:t>万元，完成年初预算的1</w:t>
      </w:r>
      <w:r>
        <w:rPr>
          <w:rFonts w:cs="黑体" w:asciiTheme="minorEastAsia" w:hAnsiTheme="minorEastAsia"/>
          <w:color w:val="000000"/>
          <w:kern w:val="0"/>
          <w:sz w:val="32"/>
          <w:szCs w:val="32"/>
        </w:rPr>
        <w:t>27.27</w:t>
      </w:r>
      <w:r>
        <w:rPr>
          <w:rFonts w:hint="eastAsia" w:cs="黑体" w:asciiTheme="minorEastAsia" w:hAnsiTheme="minorEastAsia"/>
          <w:color w:val="000000"/>
          <w:kern w:val="0"/>
          <w:sz w:val="32"/>
          <w:szCs w:val="32"/>
        </w:rPr>
        <w:t>%。支出增加主要是人员增加和调资等因素。</w:t>
      </w:r>
    </w:p>
    <w:p>
      <w:pPr>
        <w:widowControl/>
        <w:shd w:val="clear" w:color="auto" w:fill="FFFFFF"/>
        <w:snapToGrid w:val="0"/>
        <w:spacing w:line="360" w:lineRule="auto"/>
        <w:ind w:firstLine="640"/>
        <w:rPr>
          <w:rFonts w:cs="黑体" w:asciiTheme="minorEastAsia" w:hAnsiTheme="minorEastAsia"/>
          <w:color w:val="000000"/>
          <w:kern w:val="0"/>
          <w:sz w:val="32"/>
          <w:szCs w:val="32"/>
        </w:rPr>
      </w:pPr>
      <w:r>
        <w:rPr>
          <w:rFonts w:cs="黑体" w:asciiTheme="minorEastAsia" w:hAnsiTheme="minorEastAsia"/>
          <w:color w:val="000000"/>
          <w:kern w:val="0"/>
          <w:sz w:val="32"/>
          <w:szCs w:val="32"/>
        </w:rPr>
        <w:t>3</w:t>
      </w:r>
      <w:r>
        <w:rPr>
          <w:rFonts w:hint="eastAsia" w:cs="黑体" w:asciiTheme="minorEastAsia" w:hAnsiTheme="minorEastAsia"/>
          <w:color w:val="000000"/>
          <w:kern w:val="0"/>
          <w:sz w:val="32"/>
          <w:szCs w:val="32"/>
        </w:rPr>
        <w:t>、卫生健康支出(类)行政事业单位医疗(款)行政单位医疗(项)</w:t>
      </w:r>
    </w:p>
    <w:p>
      <w:pPr>
        <w:widowControl/>
        <w:shd w:val="clear" w:color="auto" w:fill="FFFFFF"/>
        <w:snapToGrid w:val="0"/>
        <w:spacing w:line="360" w:lineRule="auto"/>
        <w:ind w:firstLine="640"/>
        <w:rPr>
          <w:rFonts w:cs="黑体" w:asciiTheme="minorEastAsia" w:hAnsiTheme="minorEastAsia"/>
          <w:color w:val="000000"/>
          <w:kern w:val="0"/>
          <w:sz w:val="32"/>
          <w:szCs w:val="32"/>
        </w:rPr>
      </w:pPr>
      <w:r>
        <w:rPr>
          <w:rFonts w:hint="eastAsia" w:cs="黑体" w:asciiTheme="minorEastAsia" w:hAnsiTheme="minorEastAsia"/>
          <w:color w:val="000000"/>
          <w:kern w:val="0"/>
          <w:sz w:val="32"/>
          <w:szCs w:val="32"/>
        </w:rPr>
        <w:t>年初预算为</w:t>
      </w:r>
      <w:r>
        <w:rPr>
          <w:rFonts w:cs="黑体" w:asciiTheme="minorEastAsia" w:hAnsiTheme="minorEastAsia"/>
          <w:color w:val="000000"/>
          <w:kern w:val="0"/>
          <w:sz w:val="32"/>
          <w:szCs w:val="32"/>
        </w:rPr>
        <w:t>25.81</w:t>
      </w:r>
      <w:r>
        <w:rPr>
          <w:rFonts w:hint="eastAsia" w:cs="黑体" w:asciiTheme="minorEastAsia" w:hAnsiTheme="minorEastAsia"/>
          <w:color w:val="000000"/>
          <w:kern w:val="0"/>
          <w:sz w:val="32"/>
          <w:szCs w:val="32"/>
        </w:rPr>
        <w:t>万元，支出决算为</w:t>
      </w:r>
      <w:r>
        <w:rPr>
          <w:rFonts w:cs="黑体" w:asciiTheme="minorEastAsia" w:hAnsiTheme="minorEastAsia"/>
          <w:color w:val="000000"/>
          <w:kern w:val="0"/>
          <w:sz w:val="32"/>
          <w:szCs w:val="32"/>
        </w:rPr>
        <w:t>165.71</w:t>
      </w:r>
      <w:r>
        <w:rPr>
          <w:rFonts w:hint="eastAsia" w:cs="黑体" w:asciiTheme="minorEastAsia" w:hAnsiTheme="minorEastAsia"/>
          <w:color w:val="000000"/>
          <w:kern w:val="0"/>
          <w:sz w:val="32"/>
          <w:szCs w:val="32"/>
        </w:rPr>
        <w:t>万元，完成年初预算的</w:t>
      </w:r>
      <w:r>
        <w:rPr>
          <w:rFonts w:cs="黑体" w:asciiTheme="minorEastAsia" w:hAnsiTheme="minorEastAsia"/>
          <w:color w:val="000000"/>
          <w:kern w:val="0"/>
          <w:sz w:val="32"/>
          <w:szCs w:val="32"/>
        </w:rPr>
        <w:t>642.04</w:t>
      </w:r>
      <w:r>
        <w:rPr>
          <w:rFonts w:hint="eastAsia" w:cs="黑体" w:asciiTheme="minorEastAsia" w:hAnsiTheme="minorEastAsia"/>
          <w:color w:val="000000"/>
          <w:kern w:val="0"/>
          <w:sz w:val="32"/>
          <w:szCs w:val="32"/>
        </w:rPr>
        <w:t>%，支出增加原因主要是增员调资及财政预算不足等因素。</w:t>
      </w:r>
    </w:p>
    <w:p>
      <w:pPr>
        <w:widowControl/>
        <w:shd w:val="clear" w:color="auto" w:fill="FFFFFF"/>
        <w:snapToGrid w:val="0"/>
        <w:spacing w:line="360" w:lineRule="auto"/>
        <w:ind w:firstLine="640"/>
        <w:rPr>
          <w:rFonts w:cs="黑体" w:asciiTheme="minorEastAsia" w:hAnsiTheme="minorEastAsia"/>
          <w:color w:val="000000"/>
          <w:kern w:val="0"/>
          <w:sz w:val="32"/>
          <w:szCs w:val="32"/>
        </w:rPr>
      </w:pPr>
      <w:r>
        <w:rPr>
          <w:rFonts w:hint="eastAsia" w:cs="黑体" w:asciiTheme="minorEastAsia" w:hAnsiTheme="minorEastAsia"/>
          <w:color w:val="000000"/>
          <w:kern w:val="0"/>
          <w:sz w:val="32"/>
          <w:szCs w:val="32"/>
        </w:rPr>
        <w:t>4、住房保障支出(类)住房改革支出(款)住房公积金(项)</w:t>
      </w:r>
    </w:p>
    <w:p>
      <w:pPr>
        <w:widowControl/>
        <w:shd w:val="clear" w:color="auto" w:fill="FFFFFF"/>
        <w:snapToGrid w:val="0"/>
        <w:spacing w:line="360" w:lineRule="auto"/>
        <w:ind w:firstLine="640"/>
        <w:rPr>
          <w:rFonts w:cs="黑体" w:asciiTheme="minorEastAsia" w:hAnsiTheme="minorEastAsia"/>
          <w:color w:val="000000"/>
          <w:kern w:val="0"/>
          <w:sz w:val="32"/>
          <w:szCs w:val="32"/>
        </w:rPr>
      </w:pPr>
      <w:r>
        <w:rPr>
          <w:rFonts w:hint="eastAsia" w:cs="黑体" w:asciiTheme="minorEastAsia" w:hAnsiTheme="minorEastAsia"/>
          <w:color w:val="000000"/>
          <w:kern w:val="0"/>
          <w:sz w:val="32"/>
          <w:szCs w:val="32"/>
        </w:rPr>
        <w:t>年初预算为</w:t>
      </w:r>
      <w:r>
        <w:rPr>
          <w:rFonts w:cs="黑体" w:asciiTheme="minorEastAsia" w:hAnsiTheme="minorEastAsia"/>
          <w:color w:val="000000"/>
          <w:kern w:val="0"/>
          <w:sz w:val="32"/>
          <w:szCs w:val="32"/>
        </w:rPr>
        <w:t>30.85</w:t>
      </w:r>
      <w:r>
        <w:rPr>
          <w:rFonts w:hint="eastAsia" w:cs="黑体" w:asciiTheme="minorEastAsia" w:hAnsiTheme="minorEastAsia"/>
          <w:color w:val="000000"/>
          <w:kern w:val="0"/>
          <w:sz w:val="32"/>
          <w:szCs w:val="32"/>
        </w:rPr>
        <w:t>万元，支出决算为</w:t>
      </w:r>
      <w:r>
        <w:rPr>
          <w:rFonts w:cs="黑体" w:asciiTheme="minorEastAsia" w:hAnsiTheme="minorEastAsia"/>
          <w:color w:val="000000"/>
          <w:kern w:val="0"/>
          <w:sz w:val="32"/>
          <w:szCs w:val="32"/>
        </w:rPr>
        <w:t>172.68</w:t>
      </w:r>
      <w:r>
        <w:rPr>
          <w:rFonts w:hint="eastAsia" w:cs="黑体" w:asciiTheme="minorEastAsia" w:hAnsiTheme="minorEastAsia"/>
          <w:color w:val="000000"/>
          <w:kern w:val="0"/>
          <w:sz w:val="32"/>
          <w:szCs w:val="32"/>
        </w:rPr>
        <w:t>万元，完成年初预算的</w:t>
      </w:r>
      <w:r>
        <w:rPr>
          <w:rFonts w:cs="黑体" w:asciiTheme="minorEastAsia" w:hAnsiTheme="minorEastAsia"/>
          <w:color w:val="000000"/>
          <w:kern w:val="0"/>
          <w:sz w:val="32"/>
          <w:szCs w:val="32"/>
        </w:rPr>
        <w:t>559.74</w:t>
      </w:r>
      <w:r>
        <w:rPr>
          <w:rFonts w:hint="eastAsia" w:cs="黑体" w:asciiTheme="minorEastAsia" w:hAnsiTheme="minorEastAsia"/>
          <w:color w:val="000000"/>
          <w:kern w:val="0"/>
          <w:sz w:val="32"/>
          <w:szCs w:val="32"/>
        </w:rPr>
        <w:t>%，支出增加主要是增员调资及财政预算不足等因素。</w:t>
      </w:r>
    </w:p>
    <w:p>
      <w:pPr>
        <w:pStyle w:val="11"/>
        <w:snapToGrid w:val="0"/>
        <w:spacing w:line="360" w:lineRule="auto"/>
        <w:ind w:firstLine="707" w:firstLineChars="221"/>
        <w:jc w:val="both"/>
        <w:rPr>
          <w:rFonts w:hAnsi="黑体"/>
          <w:sz w:val="32"/>
          <w:szCs w:val="32"/>
        </w:rPr>
      </w:pPr>
      <w:r>
        <w:rPr>
          <w:rFonts w:hint="eastAsia" w:hAnsi="黑体"/>
          <w:sz w:val="32"/>
          <w:szCs w:val="32"/>
        </w:rPr>
        <w:t>六、一般公共预算财政拨款基本支出决算情况说明</w:t>
      </w:r>
    </w:p>
    <w:p>
      <w:pPr>
        <w:pStyle w:val="11"/>
        <w:snapToGrid w:val="0"/>
        <w:spacing w:line="360" w:lineRule="auto"/>
        <w:ind w:firstLine="640" w:firstLineChars="200"/>
        <w:jc w:val="both"/>
        <w:rPr>
          <w:rFonts w:asciiTheme="minorEastAsia" w:hAnsiTheme="minorEastAsia" w:eastAsiaTheme="minorEastAsia"/>
          <w:sz w:val="32"/>
          <w:szCs w:val="32"/>
        </w:rPr>
      </w:pPr>
      <w:r>
        <w:rPr>
          <w:rFonts w:hint="eastAsia" w:asciiTheme="minorEastAsia" w:hAnsiTheme="minorEastAsia" w:eastAsiaTheme="minorEastAsia"/>
          <w:sz w:val="32"/>
          <w:szCs w:val="32"/>
        </w:rPr>
        <w:t>2019年度财政拨款基本支出</w:t>
      </w:r>
      <w:r>
        <w:rPr>
          <w:rFonts w:asciiTheme="minorEastAsia" w:hAnsiTheme="minorEastAsia" w:eastAsiaTheme="minorEastAsia"/>
          <w:sz w:val="32"/>
          <w:szCs w:val="32"/>
        </w:rPr>
        <w:t>1,874.28</w:t>
      </w:r>
      <w:r>
        <w:rPr>
          <w:rFonts w:hint="eastAsia" w:asciiTheme="minorEastAsia" w:hAnsiTheme="minorEastAsia" w:eastAsiaTheme="minorEastAsia"/>
          <w:sz w:val="32"/>
          <w:szCs w:val="32"/>
        </w:rPr>
        <w:t>万元，其中：人员经费1</w:t>
      </w:r>
      <w:r>
        <w:rPr>
          <w:rFonts w:asciiTheme="minorEastAsia" w:hAnsiTheme="minorEastAsia" w:eastAsiaTheme="minorEastAsia"/>
          <w:sz w:val="32"/>
          <w:szCs w:val="32"/>
        </w:rPr>
        <w:t>,508.94</w:t>
      </w:r>
      <w:r>
        <w:rPr>
          <w:rFonts w:hint="eastAsia" w:asciiTheme="minorEastAsia" w:hAnsiTheme="minorEastAsia" w:eastAsiaTheme="minorEastAsia"/>
          <w:sz w:val="32"/>
          <w:szCs w:val="32"/>
        </w:rPr>
        <w:t>万元，占基本支出的80.</w:t>
      </w:r>
      <w:r>
        <w:rPr>
          <w:rFonts w:asciiTheme="minorEastAsia" w:hAnsiTheme="minorEastAsia" w:eastAsiaTheme="minorEastAsia"/>
          <w:sz w:val="32"/>
          <w:szCs w:val="32"/>
        </w:rPr>
        <w:t>5</w:t>
      </w:r>
      <w:r>
        <w:rPr>
          <w:rFonts w:hint="eastAsia" w:asciiTheme="minorEastAsia" w:hAnsiTheme="minorEastAsia" w:eastAsiaTheme="minorEastAsia"/>
          <w:sz w:val="32"/>
          <w:szCs w:val="32"/>
        </w:rPr>
        <w:t>1%,主要包括基本工资、津贴补贴、奖金、伙食补助费、机关事业单位基本养老保险缴费、职工基本医疗保险缴费、住房公积金等;公用经费</w:t>
      </w:r>
      <w:r>
        <w:rPr>
          <w:rFonts w:asciiTheme="minorEastAsia" w:hAnsiTheme="minorEastAsia" w:eastAsiaTheme="minorEastAsia"/>
          <w:sz w:val="32"/>
          <w:szCs w:val="32"/>
        </w:rPr>
        <w:t>365.34</w:t>
      </w:r>
      <w:r>
        <w:rPr>
          <w:rFonts w:hint="eastAsia" w:asciiTheme="minorEastAsia" w:hAnsiTheme="minorEastAsia" w:eastAsiaTheme="minorEastAsia"/>
          <w:sz w:val="32"/>
          <w:szCs w:val="32"/>
        </w:rPr>
        <w:t>万元，占基本支出的19.</w:t>
      </w:r>
      <w:r>
        <w:rPr>
          <w:rFonts w:asciiTheme="minorEastAsia" w:hAnsiTheme="minorEastAsia" w:eastAsiaTheme="minorEastAsia"/>
          <w:sz w:val="32"/>
          <w:szCs w:val="32"/>
        </w:rPr>
        <w:t>4</w:t>
      </w:r>
      <w:r>
        <w:rPr>
          <w:rFonts w:hint="eastAsia" w:asciiTheme="minorEastAsia" w:hAnsiTheme="minorEastAsia" w:eastAsiaTheme="minorEastAsia"/>
          <w:sz w:val="32"/>
          <w:szCs w:val="32"/>
        </w:rPr>
        <w:t>9%，主要包括办公费、印刷费、水费、电费、邮电费、物业管理费、维护(修)费、劳务费、工会经费、公务用车运行维护费等。</w:t>
      </w:r>
    </w:p>
    <w:p>
      <w:pPr>
        <w:pStyle w:val="11"/>
        <w:snapToGrid w:val="0"/>
        <w:spacing w:line="360" w:lineRule="auto"/>
        <w:ind w:firstLine="707" w:firstLineChars="221"/>
        <w:jc w:val="both"/>
        <w:rPr>
          <w:rFonts w:hAnsi="黑体"/>
          <w:sz w:val="32"/>
          <w:szCs w:val="32"/>
        </w:rPr>
      </w:pPr>
      <w:r>
        <w:rPr>
          <w:rFonts w:hint="eastAsia" w:hAnsi="黑体"/>
          <w:sz w:val="32"/>
          <w:szCs w:val="32"/>
        </w:rPr>
        <w:t>七、一般公共预算财政拨款三公经费支出决算情况说明</w:t>
      </w:r>
    </w:p>
    <w:p>
      <w:pPr>
        <w:pStyle w:val="11"/>
        <w:snapToGrid w:val="0"/>
        <w:spacing w:line="360" w:lineRule="auto"/>
        <w:ind w:firstLine="640" w:firstLineChars="200"/>
        <w:jc w:val="both"/>
        <w:rPr>
          <w:rFonts w:asciiTheme="minorEastAsia" w:hAnsiTheme="minorEastAsia" w:eastAsiaTheme="minorEastAsia"/>
          <w:sz w:val="32"/>
          <w:szCs w:val="32"/>
        </w:rPr>
      </w:pPr>
      <w:r>
        <w:rPr>
          <w:rFonts w:hint="eastAsia" w:asciiTheme="minorEastAsia" w:hAnsiTheme="minorEastAsia" w:eastAsiaTheme="minorEastAsia"/>
          <w:sz w:val="32"/>
          <w:szCs w:val="32"/>
        </w:rPr>
        <w:t>（一）“三公”经费财政拨款支出决算总体情况说明</w:t>
      </w:r>
    </w:p>
    <w:p>
      <w:pPr>
        <w:pStyle w:val="11"/>
        <w:snapToGrid w:val="0"/>
        <w:spacing w:line="360" w:lineRule="auto"/>
        <w:ind w:firstLine="800" w:firstLineChars="250"/>
        <w:jc w:val="both"/>
        <w:rPr>
          <w:rFonts w:asciiTheme="minorEastAsia" w:hAnsiTheme="minorEastAsia" w:eastAsiaTheme="minorEastAsia"/>
          <w:sz w:val="32"/>
          <w:szCs w:val="32"/>
        </w:rPr>
      </w:pPr>
      <w:r>
        <w:rPr>
          <w:rFonts w:hint="eastAsia" w:asciiTheme="minorEastAsia" w:hAnsiTheme="minorEastAsia" w:eastAsiaTheme="minorEastAsia"/>
          <w:sz w:val="32"/>
          <w:szCs w:val="32"/>
        </w:rPr>
        <w:t>“三公”经费财政拨款支出预算为</w:t>
      </w:r>
      <w:r>
        <w:rPr>
          <w:rFonts w:asciiTheme="minorEastAsia" w:hAnsiTheme="minorEastAsia" w:eastAsiaTheme="minorEastAsia"/>
          <w:sz w:val="32"/>
          <w:szCs w:val="32"/>
        </w:rPr>
        <w:t>31</w:t>
      </w:r>
      <w:r>
        <w:rPr>
          <w:rFonts w:hint="eastAsia" w:asciiTheme="minorEastAsia" w:hAnsiTheme="minorEastAsia" w:eastAsiaTheme="minorEastAsia"/>
          <w:sz w:val="32"/>
          <w:szCs w:val="32"/>
        </w:rPr>
        <w:t>万元，支出决算为</w:t>
      </w:r>
      <w:r>
        <w:rPr>
          <w:rFonts w:asciiTheme="minorEastAsia" w:hAnsiTheme="minorEastAsia" w:eastAsiaTheme="minorEastAsia"/>
          <w:sz w:val="32"/>
          <w:szCs w:val="32"/>
        </w:rPr>
        <w:t>15.07</w:t>
      </w:r>
      <w:r>
        <w:rPr>
          <w:rFonts w:hint="eastAsia" w:asciiTheme="minorEastAsia" w:hAnsiTheme="minorEastAsia" w:eastAsiaTheme="minorEastAsia"/>
          <w:sz w:val="32"/>
          <w:szCs w:val="32"/>
        </w:rPr>
        <w:t>万元，完成预算的</w:t>
      </w:r>
      <w:r>
        <w:rPr>
          <w:rFonts w:asciiTheme="minorEastAsia" w:hAnsiTheme="minorEastAsia" w:eastAsiaTheme="minorEastAsia"/>
          <w:sz w:val="32"/>
          <w:szCs w:val="32"/>
        </w:rPr>
        <w:t>48.61</w:t>
      </w:r>
      <w:r>
        <w:rPr>
          <w:rFonts w:hint="eastAsia" w:asciiTheme="minorEastAsia" w:hAnsiTheme="minorEastAsia" w:eastAsiaTheme="minorEastAsia"/>
          <w:sz w:val="32"/>
          <w:szCs w:val="32"/>
        </w:rPr>
        <w:t>%，其中：</w:t>
      </w:r>
    </w:p>
    <w:p>
      <w:pPr>
        <w:pStyle w:val="11"/>
        <w:snapToGrid w:val="0"/>
        <w:spacing w:line="360" w:lineRule="auto"/>
        <w:ind w:firstLine="800" w:firstLineChars="250"/>
        <w:jc w:val="both"/>
        <w:rPr>
          <w:rFonts w:asciiTheme="minorEastAsia" w:hAnsiTheme="minorEastAsia" w:eastAsiaTheme="minorEastAsia"/>
          <w:sz w:val="32"/>
          <w:szCs w:val="32"/>
        </w:rPr>
      </w:pPr>
      <w:r>
        <w:rPr>
          <w:rFonts w:hint="eastAsia" w:asciiTheme="minorEastAsia" w:hAnsiTheme="minorEastAsia" w:eastAsiaTheme="minorEastAsia"/>
          <w:sz w:val="32"/>
          <w:szCs w:val="32"/>
        </w:rPr>
        <w:t>因公出国（境）费支出预算为0万元，支出决算为0万元，完成预算的0%，主要原因是没有职工因公出国。</w:t>
      </w:r>
    </w:p>
    <w:p>
      <w:pPr>
        <w:widowControl/>
        <w:shd w:val="clear" w:color="auto" w:fill="FFFFFF"/>
        <w:snapToGrid w:val="0"/>
        <w:spacing w:line="360" w:lineRule="auto"/>
        <w:ind w:firstLine="640"/>
        <w:rPr>
          <w:rFonts w:asciiTheme="minorEastAsia" w:hAnsiTheme="minorEastAsia"/>
          <w:sz w:val="32"/>
          <w:szCs w:val="32"/>
        </w:rPr>
      </w:pPr>
      <w:r>
        <w:rPr>
          <w:rFonts w:hint="eastAsia" w:asciiTheme="minorEastAsia" w:hAnsiTheme="minorEastAsia"/>
          <w:sz w:val="32"/>
          <w:szCs w:val="32"/>
        </w:rPr>
        <w:t>公务接待费支出预算为</w:t>
      </w:r>
      <w:r>
        <w:rPr>
          <w:rFonts w:asciiTheme="minorEastAsia" w:hAnsiTheme="minorEastAsia"/>
          <w:sz w:val="32"/>
          <w:szCs w:val="32"/>
        </w:rPr>
        <w:t>10</w:t>
      </w:r>
      <w:r>
        <w:rPr>
          <w:rFonts w:hint="eastAsia" w:asciiTheme="minorEastAsia" w:hAnsiTheme="minorEastAsia"/>
          <w:sz w:val="32"/>
          <w:szCs w:val="32"/>
        </w:rPr>
        <w:t>万元，支出决算为</w:t>
      </w:r>
      <w:r>
        <w:rPr>
          <w:rFonts w:asciiTheme="minorEastAsia" w:hAnsiTheme="minorEastAsia"/>
          <w:sz w:val="32"/>
          <w:szCs w:val="32"/>
        </w:rPr>
        <w:t>1.05</w:t>
      </w:r>
      <w:r>
        <w:rPr>
          <w:rFonts w:hint="eastAsia" w:asciiTheme="minorEastAsia" w:hAnsiTheme="minorEastAsia"/>
          <w:sz w:val="32"/>
          <w:szCs w:val="32"/>
        </w:rPr>
        <w:t>万元，完成预算的</w:t>
      </w:r>
      <w:r>
        <w:rPr>
          <w:rFonts w:asciiTheme="minorEastAsia" w:hAnsiTheme="minorEastAsia"/>
          <w:sz w:val="32"/>
          <w:szCs w:val="32"/>
        </w:rPr>
        <w:t>10.50</w:t>
      </w:r>
      <w:r>
        <w:rPr>
          <w:rFonts w:hint="eastAsia" w:asciiTheme="minorEastAsia" w:hAnsiTheme="minorEastAsia"/>
          <w:sz w:val="32"/>
          <w:szCs w:val="32"/>
        </w:rPr>
        <w:t>%，决算数减小的主要原因是从严控制公务接待费开支。</w:t>
      </w:r>
    </w:p>
    <w:p>
      <w:pPr>
        <w:pStyle w:val="11"/>
        <w:snapToGrid w:val="0"/>
        <w:spacing w:line="360" w:lineRule="auto"/>
        <w:ind w:firstLine="640" w:firstLineChars="200"/>
        <w:jc w:val="both"/>
        <w:rPr>
          <w:rFonts w:asciiTheme="minorEastAsia" w:hAnsiTheme="minorEastAsia" w:eastAsiaTheme="minorEastAsia"/>
          <w:sz w:val="32"/>
          <w:szCs w:val="32"/>
        </w:rPr>
      </w:pPr>
      <w:r>
        <w:rPr>
          <w:rFonts w:hint="eastAsia" w:asciiTheme="minorEastAsia" w:hAnsiTheme="minorEastAsia" w:eastAsiaTheme="minorEastAsia"/>
          <w:sz w:val="32"/>
          <w:szCs w:val="32"/>
        </w:rPr>
        <w:t>公务用车购置费及运行维护费支出预算为</w:t>
      </w:r>
      <w:r>
        <w:rPr>
          <w:rFonts w:asciiTheme="minorEastAsia" w:hAnsiTheme="minorEastAsia" w:eastAsiaTheme="minorEastAsia"/>
          <w:sz w:val="32"/>
          <w:szCs w:val="32"/>
        </w:rPr>
        <w:t>21</w:t>
      </w:r>
      <w:r>
        <w:rPr>
          <w:rFonts w:hint="eastAsia" w:asciiTheme="minorEastAsia" w:hAnsiTheme="minorEastAsia" w:eastAsiaTheme="minorEastAsia"/>
          <w:sz w:val="32"/>
          <w:szCs w:val="32"/>
        </w:rPr>
        <w:t>万元，支出决算为</w:t>
      </w:r>
      <w:r>
        <w:rPr>
          <w:rFonts w:asciiTheme="minorEastAsia" w:hAnsiTheme="minorEastAsia" w:eastAsiaTheme="minorEastAsia"/>
          <w:sz w:val="32"/>
          <w:szCs w:val="32"/>
        </w:rPr>
        <w:t>14.01</w:t>
      </w:r>
      <w:r>
        <w:rPr>
          <w:rFonts w:hint="eastAsia" w:asciiTheme="minorEastAsia" w:hAnsiTheme="minorEastAsia" w:eastAsiaTheme="minorEastAsia"/>
          <w:sz w:val="32"/>
          <w:szCs w:val="32"/>
        </w:rPr>
        <w:t>万元，完成预算的</w:t>
      </w:r>
      <w:r>
        <w:rPr>
          <w:rFonts w:asciiTheme="minorEastAsia" w:hAnsiTheme="minorEastAsia" w:eastAsiaTheme="minorEastAsia"/>
          <w:sz w:val="32"/>
          <w:szCs w:val="32"/>
        </w:rPr>
        <w:t>66.71</w:t>
      </w:r>
      <w:r>
        <w:rPr>
          <w:rFonts w:hint="eastAsia" w:asciiTheme="minorEastAsia" w:hAnsiTheme="minorEastAsia" w:eastAsiaTheme="minorEastAsia"/>
          <w:sz w:val="32"/>
          <w:szCs w:val="32"/>
        </w:rPr>
        <w:t>%，决算数减小的主要原因：一是严格用车管理制度和车辆维修制度；二是少量维护费用结算后移，下年清算。</w:t>
      </w:r>
    </w:p>
    <w:p>
      <w:pPr>
        <w:pStyle w:val="11"/>
        <w:snapToGrid w:val="0"/>
        <w:spacing w:line="360" w:lineRule="auto"/>
        <w:ind w:firstLine="480" w:firstLineChars="150"/>
        <w:jc w:val="both"/>
        <w:rPr>
          <w:rFonts w:asciiTheme="minorEastAsia" w:hAnsiTheme="minorEastAsia" w:eastAsiaTheme="minorEastAsia"/>
          <w:sz w:val="32"/>
          <w:szCs w:val="32"/>
        </w:rPr>
      </w:pPr>
      <w:r>
        <w:rPr>
          <w:rFonts w:hint="eastAsia" w:asciiTheme="minorEastAsia" w:hAnsiTheme="minorEastAsia" w:eastAsiaTheme="minorEastAsia"/>
          <w:sz w:val="32"/>
          <w:szCs w:val="32"/>
        </w:rPr>
        <w:t>（二）“三公”经费财政拨款支出决算具体情况说明</w:t>
      </w:r>
    </w:p>
    <w:p>
      <w:pPr>
        <w:pStyle w:val="11"/>
        <w:snapToGrid w:val="0"/>
        <w:spacing w:line="360" w:lineRule="auto"/>
        <w:ind w:firstLine="640" w:firstLineChars="200"/>
        <w:jc w:val="both"/>
        <w:rPr>
          <w:rFonts w:asciiTheme="minorEastAsia" w:hAnsiTheme="minorEastAsia" w:eastAsiaTheme="minorEastAsia"/>
          <w:sz w:val="32"/>
          <w:szCs w:val="32"/>
        </w:rPr>
      </w:pPr>
      <w:r>
        <w:rPr>
          <w:rFonts w:hint="eastAsia" w:asciiTheme="minorEastAsia" w:hAnsiTheme="minorEastAsia" w:eastAsiaTheme="minorEastAsia"/>
          <w:sz w:val="32"/>
          <w:szCs w:val="32"/>
        </w:rPr>
        <w:t>2019年度“三公”经费财政拨款支出决算中，公务接待费支出决算</w:t>
      </w:r>
      <w:r>
        <w:rPr>
          <w:rFonts w:asciiTheme="minorEastAsia" w:hAnsiTheme="minorEastAsia" w:eastAsiaTheme="minorEastAsia"/>
          <w:sz w:val="32"/>
          <w:szCs w:val="32"/>
        </w:rPr>
        <w:t>1.05</w:t>
      </w:r>
      <w:r>
        <w:rPr>
          <w:rFonts w:hint="eastAsia" w:asciiTheme="minorEastAsia" w:hAnsiTheme="minorEastAsia" w:eastAsiaTheme="minorEastAsia"/>
          <w:sz w:val="32"/>
          <w:szCs w:val="32"/>
        </w:rPr>
        <w:t>万元，占7</w:t>
      </w:r>
      <w:r>
        <w:rPr>
          <w:rFonts w:asciiTheme="minorEastAsia" w:hAnsiTheme="minorEastAsia" w:eastAsiaTheme="minorEastAsia"/>
          <w:sz w:val="32"/>
          <w:szCs w:val="32"/>
        </w:rPr>
        <w:t>.00</w:t>
      </w:r>
      <w:r>
        <w:rPr>
          <w:rFonts w:hint="eastAsia" w:asciiTheme="minorEastAsia" w:hAnsiTheme="minorEastAsia" w:eastAsiaTheme="minorEastAsia"/>
          <w:sz w:val="32"/>
          <w:szCs w:val="32"/>
        </w:rPr>
        <w:t>%；因公出国（境）费支出决算0万元；公务用车购置费及运行维护费支出决算</w:t>
      </w:r>
      <w:r>
        <w:rPr>
          <w:rFonts w:asciiTheme="minorEastAsia" w:hAnsiTheme="minorEastAsia" w:eastAsiaTheme="minorEastAsia"/>
          <w:sz w:val="32"/>
          <w:szCs w:val="32"/>
        </w:rPr>
        <w:t>14.01</w:t>
      </w:r>
      <w:r>
        <w:rPr>
          <w:rFonts w:hint="eastAsia" w:asciiTheme="minorEastAsia" w:hAnsiTheme="minorEastAsia" w:eastAsiaTheme="minorEastAsia"/>
          <w:sz w:val="32"/>
          <w:szCs w:val="32"/>
        </w:rPr>
        <w:t>万元，占</w:t>
      </w:r>
      <w:r>
        <w:rPr>
          <w:rFonts w:asciiTheme="minorEastAsia" w:hAnsiTheme="minorEastAsia" w:eastAsiaTheme="minorEastAsia"/>
          <w:sz w:val="32"/>
          <w:szCs w:val="32"/>
        </w:rPr>
        <w:t>93.00</w:t>
      </w:r>
      <w:r>
        <w:rPr>
          <w:rFonts w:hint="eastAsia" w:asciiTheme="minorEastAsia" w:hAnsiTheme="minorEastAsia" w:eastAsiaTheme="minorEastAsia"/>
          <w:sz w:val="32"/>
          <w:szCs w:val="32"/>
        </w:rPr>
        <w:t>%。其中：</w:t>
      </w:r>
    </w:p>
    <w:p>
      <w:pPr>
        <w:pStyle w:val="11"/>
        <w:snapToGrid w:val="0"/>
        <w:spacing w:line="360" w:lineRule="auto"/>
        <w:ind w:firstLine="640" w:firstLineChars="200"/>
        <w:jc w:val="both"/>
        <w:rPr>
          <w:rFonts w:asciiTheme="minorEastAsia" w:hAnsiTheme="minorEastAsia" w:eastAsiaTheme="minorEastAsia"/>
          <w:sz w:val="32"/>
          <w:szCs w:val="32"/>
        </w:rPr>
      </w:pPr>
      <w:r>
        <w:rPr>
          <w:rFonts w:hint="eastAsia" w:asciiTheme="minorEastAsia" w:hAnsiTheme="minorEastAsia" w:eastAsiaTheme="minorEastAsia"/>
          <w:sz w:val="32"/>
          <w:szCs w:val="32"/>
        </w:rPr>
        <w:t>1、因公出国（境）费支出决算为0万元。</w:t>
      </w:r>
      <w:r>
        <w:rPr>
          <w:rFonts w:asciiTheme="minorEastAsia" w:hAnsiTheme="minorEastAsia" w:eastAsiaTheme="minorEastAsia"/>
          <w:sz w:val="32"/>
          <w:szCs w:val="32"/>
        </w:rPr>
        <w:t xml:space="preserve"> </w:t>
      </w:r>
    </w:p>
    <w:p>
      <w:pPr>
        <w:pStyle w:val="11"/>
        <w:snapToGrid w:val="0"/>
        <w:spacing w:line="360" w:lineRule="auto"/>
        <w:ind w:firstLine="640" w:firstLineChars="200"/>
        <w:jc w:val="both"/>
        <w:rPr>
          <w:rFonts w:asciiTheme="minorEastAsia" w:hAnsiTheme="minorEastAsia" w:eastAsiaTheme="minorEastAsia"/>
          <w:sz w:val="32"/>
          <w:szCs w:val="32"/>
        </w:rPr>
      </w:pPr>
      <w:r>
        <w:rPr>
          <w:rFonts w:hint="eastAsia" w:asciiTheme="minorEastAsia" w:hAnsiTheme="minorEastAsia" w:eastAsiaTheme="minorEastAsia"/>
          <w:sz w:val="32"/>
          <w:szCs w:val="32"/>
        </w:rPr>
        <w:t>2、公务接待费支出决算为</w:t>
      </w:r>
      <w:r>
        <w:rPr>
          <w:rFonts w:asciiTheme="minorEastAsia" w:hAnsiTheme="minorEastAsia" w:eastAsiaTheme="minorEastAsia"/>
          <w:sz w:val="32"/>
          <w:szCs w:val="32"/>
        </w:rPr>
        <w:t>1.05</w:t>
      </w:r>
      <w:r>
        <w:rPr>
          <w:rFonts w:hint="eastAsia" w:asciiTheme="minorEastAsia" w:hAnsiTheme="minorEastAsia" w:eastAsiaTheme="minorEastAsia"/>
          <w:sz w:val="32"/>
          <w:szCs w:val="32"/>
        </w:rPr>
        <w:t>万元，全年共接待来访团组</w:t>
      </w:r>
      <w:r>
        <w:rPr>
          <w:rFonts w:asciiTheme="minorEastAsia" w:hAnsiTheme="minorEastAsia" w:eastAsiaTheme="minorEastAsia"/>
          <w:sz w:val="32"/>
          <w:szCs w:val="32"/>
        </w:rPr>
        <w:t>16</w:t>
      </w:r>
      <w:r>
        <w:rPr>
          <w:rFonts w:hint="eastAsia" w:asciiTheme="minorEastAsia" w:hAnsiTheme="minorEastAsia" w:eastAsiaTheme="minorEastAsia"/>
          <w:sz w:val="32"/>
          <w:szCs w:val="32"/>
        </w:rPr>
        <w:t>个、来宾</w:t>
      </w:r>
      <w:r>
        <w:rPr>
          <w:rFonts w:asciiTheme="minorEastAsia" w:hAnsiTheme="minorEastAsia" w:eastAsiaTheme="minorEastAsia"/>
          <w:sz w:val="32"/>
          <w:szCs w:val="32"/>
        </w:rPr>
        <w:t>78</w:t>
      </w:r>
      <w:r>
        <w:rPr>
          <w:rFonts w:hint="eastAsia" w:asciiTheme="minorEastAsia" w:hAnsiTheme="minorEastAsia" w:eastAsiaTheme="minorEastAsia"/>
          <w:sz w:val="32"/>
          <w:szCs w:val="32"/>
        </w:rPr>
        <w:t>人次，主要是上级领导指导检查工作和其他县市纪检单位工作联系等发生的接待支出。</w:t>
      </w:r>
    </w:p>
    <w:p>
      <w:pPr>
        <w:pStyle w:val="11"/>
        <w:snapToGrid w:val="0"/>
        <w:spacing w:line="360" w:lineRule="auto"/>
        <w:ind w:firstLine="640" w:firstLineChars="200"/>
        <w:jc w:val="both"/>
        <w:rPr>
          <w:rFonts w:hint="eastAsia" w:asciiTheme="minorEastAsia" w:hAnsiTheme="minorEastAsia" w:eastAsiaTheme="minorEastAsia"/>
          <w:sz w:val="32"/>
          <w:szCs w:val="32"/>
        </w:rPr>
      </w:pPr>
      <w:r>
        <w:rPr>
          <w:rFonts w:hint="eastAsia" w:asciiTheme="minorEastAsia" w:hAnsiTheme="minorEastAsia" w:eastAsiaTheme="minorEastAsia"/>
          <w:sz w:val="32"/>
          <w:szCs w:val="32"/>
        </w:rPr>
        <w:t>3、公务用车购置费及运行维护费支出决算为</w:t>
      </w:r>
      <w:r>
        <w:rPr>
          <w:rFonts w:asciiTheme="minorEastAsia" w:hAnsiTheme="minorEastAsia" w:eastAsiaTheme="minorEastAsia"/>
          <w:sz w:val="32"/>
          <w:szCs w:val="32"/>
        </w:rPr>
        <w:t>14.01</w:t>
      </w:r>
      <w:r>
        <w:rPr>
          <w:rFonts w:hint="eastAsia" w:asciiTheme="minorEastAsia" w:hAnsiTheme="minorEastAsia" w:eastAsiaTheme="minorEastAsia"/>
          <w:sz w:val="32"/>
          <w:szCs w:val="32"/>
        </w:rPr>
        <w:t>万元，主要是车辆维修维护、购买保险和油料等支出。</w:t>
      </w:r>
    </w:p>
    <w:p>
      <w:pPr>
        <w:pStyle w:val="11"/>
        <w:snapToGrid w:val="0"/>
        <w:spacing w:line="360" w:lineRule="auto"/>
        <w:ind w:firstLine="640" w:firstLineChars="200"/>
        <w:jc w:val="both"/>
        <w:rPr>
          <w:rFonts w:hint="eastAsia" w:asciiTheme="minorEastAsia" w:hAnsiTheme="minorEastAsia" w:eastAsiaTheme="minorEastAsia"/>
          <w:sz w:val="32"/>
          <w:szCs w:val="32"/>
        </w:rPr>
      </w:pPr>
      <w:r>
        <w:rPr>
          <w:rFonts w:hint="eastAsia" w:asciiTheme="minorEastAsia" w:hAnsiTheme="minorEastAsia" w:eastAsiaTheme="minorEastAsia"/>
          <w:sz w:val="32"/>
          <w:szCs w:val="32"/>
        </w:rPr>
        <w:t>至2019年12月31日，本单位公务用车保有量为</w:t>
      </w:r>
      <w:r>
        <w:rPr>
          <w:rFonts w:hint="eastAsia" w:asciiTheme="minorEastAsia" w:hAnsiTheme="minorEastAsia" w:eastAsiaTheme="minorEastAsia"/>
          <w:sz w:val="32"/>
          <w:szCs w:val="32"/>
          <w:lang w:val="en-US" w:eastAsia="zh-CN"/>
        </w:rPr>
        <w:t>6</w:t>
      </w:r>
      <w:r>
        <w:rPr>
          <w:rFonts w:hint="eastAsia" w:asciiTheme="minorEastAsia" w:hAnsiTheme="minorEastAsia" w:eastAsiaTheme="minorEastAsia"/>
          <w:sz w:val="32"/>
          <w:szCs w:val="32"/>
        </w:rPr>
        <w:t>辆，当年新增公务用车为0辆。</w:t>
      </w:r>
    </w:p>
    <w:p>
      <w:pPr>
        <w:pStyle w:val="11"/>
        <w:snapToGrid w:val="0"/>
        <w:spacing w:line="360" w:lineRule="auto"/>
        <w:ind w:firstLine="640" w:firstLineChars="200"/>
        <w:jc w:val="both"/>
        <w:rPr>
          <w:rFonts w:hAnsi="黑体"/>
          <w:sz w:val="32"/>
          <w:szCs w:val="32"/>
        </w:rPr>
      </w:pPr>
      <w:r>
        <w:rPr>
          <w:rFonts w:hint="eastAsia" w:hAnsi="黑体"/>
          <w:sz w:val="32"/>
          <w:szCs w:val="32"/>
        </w:rPr>
        <w:t>八、政府性基金预算收入支出决算情况</w:t>
      </w:r>
    </w:p>
    <w:p>
      <w:pPr>
        <w:pStyle w:val="11"/>
        <w:snapToGrid w:val="0"/>
        <w:spacing w:line="360" w:lineRule="auto"/>
        <w:ind w:firstLine="630"/>
        <w:jc w:val="both"/>
        <w:rPr>
          <w:rFonts w:asciiTheme="minorEastAsia" w:hAnsiTheme="minorEastAsia" w:eastAsiaTheme="minorEastAsia"/>
          <w:sz w:val="32"/>
          <w:szCs w:val="32"/>
        </w:rPr>
      </w:pPr>
      <w:r>
        <w:rPr>
          <w:rFonts w:hint="eastAsia" w:asciiTheme="minorEastAsia" w:hAnsiTheme="minorEastAsia" w:eastAsiaTheme="minorEastAsia"/>
          <w:sz w:val="32"/>
          <w:szCs w:val="32"/>
        </w:rPr>
        <w:t>2019年度我委无政府性基金收支。</w:t>
      </w:r>
    </w:p>
    <w:p>
      <w:pPr>
        <w:pStyle w:val="11"/>
        <w:snapToGrid w:val="0"/>
        <w:spacing w:line="360" w:lineRule="auto"/>
        <w:ind w:firstLine="640" w:firstLineChars="200"/>
        <w:jc w:val="both"/>
        <w:rPr>
          <w:rFonts w:hAnsi="黑体"/>
          <w:sz w:val="32"/>
          <w:szCs w:val="32"/>
        </w:rPr>
      </w:pPr>
      <w:r>
        <w:rPr>
          <w:rFonts w:hint="eastAsia" w:hAnsi="黑体"/>
          <w:sz w:val="32"/>
          <w:szCs w:val="32"/>
        </w:rPr>
        <w:t>九、关于2019年度预算绩效情况说明</w:t>
      </w:r>
    </w:p>
    <w:p>
      <w:pPr>
        <w:widowControl/>
        <w:shd w:val="clear" w:color="auto" w:fill="FFFFFF"/>
        <w:snapToGrid w:val="0"/>
        <w:spacing w:line="360" w:lineRule="auto"/>
        <w:ind w:firstLine="640"/>
        <w:rPr>
          <w:rFonts w:cs="黑体" w:asciiTheme="minorEastAsia" w:hAnsiTheme="minorEastAsia"/>
          <w:color w:val="000000"/>
          <w:kern w:val="0"/>
          <w:sz w:val="32"/>
          <w:szCs w:val="32"/>
        </w:rPr>
      </w:pPr>
      <w:r>
        <w:rPr>
          <w:rFonts w:hint="eastAsia" w:cs="黑体" w:asciiTheme="minorEastAsia" w:hAnsiTheme="minorEastAsia"/>
          <w:color w:val="000000"/>
          <w:kern w:val="0"/>
          <w:sz w:val="32"/>
          <w:szCs w:val="32"/>
        </w:rPr>
        <w:t>详见附件。</w:t>
      </w:r>
    </w:p>
    <w:p>
      <w:pPr>
        <w:pStyle w:val="11"/>
        <w:snapToGrid w:val="0"/>
        <w:spacing w:line="360" w:lineRule="auto"/>
        <w:ind w:firstLine="640" w:firstLineChars="200"/>
        <w:jc w:val="both"/>
        <w:rPr>
          <w:rFonts w:hAnsi="黑体"/>
          <w:sz w:val="32"/>
          <w:szCs w:val="32"/>
        </w:rPr>
      </w:pPr>
      <w:r>
        <w:rPr>
          <w:rFonts w:hint="eastAsia" w:hAnsi="黑体"/>
          <w:sz w:val="32"/>
          <w:szCs w:val="32"/>
        </w:rPr>
        <w:t>十、其他重要事项情况说明</w:t>
      </w:r>
    </w:p>
    <w:p>
      <w:pPr>
        <w:snapToGrid w:val="0"/>
        <w:spacing w:line="360" w:lineRule="auto"/>
        <w:ind w:firstLine="480" w:firstLineChars="150"/>
        <w:rPr>
          <w:rFonts w:cs="黑体" w:asciiTheme="minorEastAsia" w:hAnsiTheme="minorEastAsia"/>
          <w:color w:val="000000"/>
          <w:kern w:val="0"/>
          <w:sz w:val="32"/>
          <w:szCs w:val="32"/>
        </w:rPr>
      </w:pPr>
      <w:r>
        <w:rPr>
          <w:rFonts w:hint="eastAsia" w:cs="黑体" w:asciiTheme="minorEastAsia" w:hAnsiTheme="minorEastAsia"/>
          <w:color w:val="000000"/>
          <w:kern w:val="0"/>
          <w:sz w:val="32"/>
          <w:szCs w:val="32"/>
        </w:rPr>
        <w:t>（一）机关运行经费支出情况</w:t>
      </w:r>
    </w:p>
    <w:p>
      <w:pPr>
        <w:pStyle w:val="11"/>
        <w:snapToGrid w:val="0"/>
        <w:spacing w:line="360" w:lineRule="auto"/>
        <w:ind w:firstLine="800" w:firstLineChars="250"/>
        <w:jc w:val="both"/>
        <w:rPr>
          <w:rFonts w:asciiTheme="minorEastAsia" w:hAnsiTheme="minorEastAsia" w:eastAsiaTheme="minorEastAsia"/>
          <w:sz w:val="32"/>
          <w:szCs w:val="32"/>
        </w:rPr>
      </w:pPr>
      <w:r>
        <w:rPr>
          <w:rFonts w:hint="eastAsia" w:asciiTheme="minorEastAsia" w:hAnsiTheme="minorEastAsia" w:eastAsiaTheme="minorEastAsia"/>
          <w:sz w:val="32"/>
          <w:szCs w:val="32"/>
        </w:rPr>
        <w:t>本部门2019年度机关运行经费支出</w:t>
      </w:r>
      <w:r>
        <w:rPr>
          <w:rFonts w:asciiTheme="minorEastAsia" w:hAnsiTheme="minorEastAsia" w:eastAsiaTheme="minorEastAsia"/>
          <w:sz w:val="32"/>
          <w:szCs w:val="32"/>
        </w:rPr>
        <w:t>365.34</w:t>
      </w:r>
      <w:r>
        <w:rPr>
          <w:rFonts w:hint="eastAsia" w:asciiTheme="minorEastAsia" w:hAnsiTheme="minorEastAsia" w:eastAsiaTheme="minorEastAsia"/>
          <w:sz w:val="32"/>
          <w:szCs w:val="32"/>
        </w:rPr>
        <w:t>万元，比年初预算数增加</w:t>
      </w:r>
      <w:r>
        <w:rPr>
          <w:rFonts w:asciiTheme="minorEastAsia" w:hAnsiTheme="minorEastAsia" w:eastAsiaTheme="minorEastAsia"/>
          <w:sz w:val="32"/>
          <w:szCs w:val="32"/>
        </w:rPr>
        <w:t>29.27</w:t>
      </w:r>
      <w:r>
        <w:rPr>
          <w:rFonts w:hint="eastAsia" w:asciiTheme="minorEastAsia" w:hAnsiTheme="minorEastAsia" w:eastAsiaTheme="minorEastAsia"/>
          <w:sz w:val="32"/>
          <w:szCs w:val="32"/>
        </w:rPr>
        <w:t>万元，增长</w:t>
      </w:r>
      <w:r>
        <w:rPr>
          <w:rFonts w:asciiTheme="minorEastAsia" w:hAnsiTheme="minorEastAsia" w:eastAsiaTheme="minorEastAsia"/>
          <w:sz w:val="32"/>
          <w:szCs w:val="32"/>
        </w:rPr>
        <w:t>1.09</w:t>
      </w:r>
      <w:r>
        <w:rPr>
          <w:rFonts w:hint="eastAsia" w:asciiTheme="minorEastAsia" w:hAnsiTheme="minorEastAsia" w:eastAsiaTheme="minorEastAsia"/>
          <w:sz w:val="32"/>
          <w:szCs w:val="32"/>
        </w:rPr>
        <w:t>%。主要原因是职能增加，执纪监督问责的工作力度和强度加大。</w:t>
      </w:r>
    </w:p>
    <w:p>
      <w:pPr>
        <w:snapToGrid w:val="0"/>
        <w:spacing w:line="360" w:lineRule="auto"/>
        <w:ind w:firstLine="640" w:firstLineChars="200"/>
        <w:rPr>
          <w:rFonts w:cs="黑体" w:asciiTheme="minorEastAsia" w:hAnsiTheme="minorEastAsia"/>
          <w:color w:val="000000"/>
          <w:kern w:val="0"/>
          <w:sz w:val="32"/>
          <w:szCs w:val="32"/>
        </w:rPr>
      </w:pPr>
      <w:r>
        <w:rPr>
          <w:rFonts w:hint="eastAsia" w:cs="黑体" w:asciiTheme="minorEastAsia" w:hAnsiTheme="minorEastAsia"/>
          <w:color w:val="000000"/>
          <w:kern w:val="0"/>
          <w:sz w:val="32"/>
          <w:szCs w:val="32"/>
        </w:rPr>
        <w:t>（二）一般性支出情况</w:t>
      </w:r>
    </w:p>
    <w:p>
      <w:pPr>
        <w:widowControl/>
        <w:shd w:val="clear" w:color="auto" w:fill="FFFFFF"/>
        <w:snapToGrid w:val="0"/>
        <w:spacing w:line="360" w:lineRule="auto"/>
        <w:ind w:firstLine="640"/>
        <w:rPr>
          <w:rFonts w:cs="黑体" w:asciiTheme="minorEastAsia" w:hAnsiTheme="minorEastAsia"/>
          <w:color w:val="000000"/>
          <w:kern w:val="0"/>
          <w:sz w:val="32"/>
          <w:szCs w:val="32"/>
        </w:rPr>
      </w:pPr>
      <w:r>
        <w:rPr>
          <w:rFonts w:hint="eastAsia" w:cs="黑体" w:asciiTheme="minorEastAsia" w:hAnsiTheme="minorEastAsia"/>
          <w:color w:val="000000"/>
          <w:kern w:val="0"/>
          <w:sz w:val="32"/>
          <w:szCs w:val="32"/>
        </w:rPr>
        <w:t>2019年本部门开支会议费</w:t>
      </w:r>
      <w:r>
        <w:rPr>
          <w:rFonts w:cs="黑体" w:asciiTheme="minorEastAsia" w:hAnsiTheme="minorEastAsia"/>
          <w:color w:val="000000"/>
          <w:kern w:val="0"/>
          <w:sz w:val="32"/>
          <w:szCs w:val="32"/>
        </w:rPr>
        <w:t>5.47</w:t>
      </w:r>
      <w:r>
        <w:rPr>
          <w:rFonts w:hint="eastAsia" w:cs="黑体" w:asciiTheme="minorEastAsia" w:hAnsiTheme="minorEastAsia"/>
          <w:color w:val="000000"/>
          <w:kern w:val="0"/>
          <w:sz w:val="32"/>
          <w:szCs w:val="32"/>
        </w:rPr>
        <w:t>万元，包括会议的资料费、会场租赁费及会议生活费等支出,其中：纪委全会</w:t>
      </w:r>
      <w:r>
        <w:rPr>
          <w:rFonts w:cs="黑体" w:asciiTheme="minorEastAsia" w:hAnsiTheme="minorEastAsia"/>
          <w:color w:val="000000"/>
          <w:kern w:val="0"/>
          <w:sz w:val="32"/>
          <w:szCs w:val="32"/>
        </w:rPr>
        <w:t>78</w:t>
      </w:r>
      <w:r>
        <w:rPr>
          <w:rFonts w:hint="eastAsia" w:cs="黑体" w:asciiTheme="minorEastAsia" w:hAnsiTheme="minorEastAsia"/>
          <w:color w:val="000000"/>
          <w:kern w:val="0"/>
          <w:sz w:val="32"/>
          <w:szCs w:val="32"/>
        </w:rPr>
        <w:t>0人，支出</w:t>
      </w:r>
      <w:r>
        <w:rPr>
          <w:rFonts w:cs="黑体" w:asciiTheme="minorEastAsia" w:hAnsiTheme="minorEastAsia"/>
          <w:color w:val="000000"/>
          <w:kern w:val="0"/>
          <w:sz w:val="32"/>
          <w:szCs w:val="32"/>
        </w:rPr>
        <w:t>3.70</w:t>
      </w:r>
      <w:r>
        <w:rPr>
          <w:rFonts w:hint="eastAsia" w:cs="黑体" w:asciiTheme="minorEastAsia" w:hAnsiTheme="minorEastAsia"/>
          <w:color w:val="000000"/>
          <w:kern w:val="0"/>
          <w:sz w:val="32"/>
          <w:szCs w:val="32"/>
        </w:rPr>
        <w:t>万元；警示教育大会218人，支出0.8</w:t>
      </w:r>
      <w:r>
        <w:rPr>
          <w:rFonts w:cs="黑体" w:asciiTheme="minorEastAsia" w:hAnsiTheme="minorEastAsia"/>
          <w:color w:val="000000"/>
          <w:kern w:val="0"/>
          <w:sz w:val="32"/>
          <w:szCs w:val="32"/>
        </w:rPr>
        <w:t>0</w:t>
      </w:r>
      <w:r>
        <w:rPr>
          <w:rFonts w:hint="eastAsia" w:cs="黑体" w:asciiTheme="minorEastAsia" w:hAnsiTheme="minorEastAsia"/>
          <w:color w:val="000000"/>
          <w:kern w:val="0"/>
          <w:sz w:val="32"/>
          <w:szCs w:val="32"/>
        </w:rPr>
        <w:t>万元；廉政教育大会160人，开支</w:t>
      </w:r>
      <w:r>
        <w:rPr>
          <w:rFonts w:cs="黑体" w:asciiTheme="minorEastAsia" w:hAnsiTheme="minorEastAsia"/>
          <w:color w:val="000000"/>
          <w:kern w:val="0"/>
          <w:sz w:val="32"/>
          <w:szCs w:val="32"/>
        </w:rPr>
        <w:t>0.41</w:t>
      </w:r>
      <w:r>
        <w:rPr>
          <w:rFonts w:hint="eastAsia" w:cs="黑体" w:asciiTheme="minorEastAsia" w:hAnsiTheme="minorEastAsia"/>
          <w:color w:val="000000"/>
          <w:kern w:val="0"/>
          <w:sz w:val="32"/>
          <w:szCs w:val="32"/>
        </w:rPr>
        <w:t>万元；纪检干部培训会议费等支出0</w:t>
      </w:r>
      <w:r>
        <w:rPr>
          <w:rFonts w:cs="黑体" w:asciiTheme="minorEastAsia" w:hAnsiTheme="minorEastAsia"/>
          <w:color w:val="000000"/>
          <w:kern w:val="0"/>
          <w:sz w:val="32"/>
          <w:szCs w:val="32"/>
        </w:rPr>
        <w:t>.56</w:t>
      </w:r>
      <w:r>
        <w:rPr>
          <w:rFonts w:hint="eastAsia" w:cs="黑体" w:asciiTheme="minorEastAsia" w:hAnsiTheme="minorEastAsia"/>
          <w:color w:val="000000"/>
          <w:kern w:val="0"/>
          <w:sz w:val="32"/>
          <w:szCs w:val="32"/>
        </w:rPr>
        <w:t>万元。</w:t>
      </w:r>
    </w:p>
    <w:p>
      <w:pPr>
        <w:snapToGrid w:val="0"/>
        <w:spacing w:line="360" w:lineRule="auto"/>
        <w:ind w:firstLine="640" w:firstLineChars="200"/>
        <w:rPr>
          <w:rFonts w:cs="黑体" w:asciiTheme="minorEastAsia" w:hAnsiTheme="minorEastAsia"/>
          <w:color w:val="000000"/>
          <w:kern w:val="0"/>
          <w:sz w:val="32"/>
          <w:szCs w:val="32"/>
        </w:rPr>
      </w:pPr>
      <w:r>
        <w:rPr>
          <w:rFonts w:hint="eastAsia" w:cs="黑体" w:asciiTheme="minorEastAsia" w:hAnsiTheme="minorEastAsia"/>
          <w:color w:val="000000"/>
          <w:kern w:val="0"/>
          <w:sz w:val="32"/>
          <w:szCs w:val="32"/>
        </w:rPr>
        <w:t>（三）政府采购支出情况</w:t>
      </w:r>
    </w:p>
    <w:p>
      <w:pPr>
        <w:snapToGrid w:val="0"/>
        <w:spacing w:line="360" w:lineRule="auto"/>
        <w:ind w:firstLine="640" w:firstLineChars="200"/>
        <w:rPr>
          <w:rFonts w:cs="黑体" w:asciiTheme="minorEastAsia" w:hAnsiTheme="minorEastAsia"/>
          <w:i/>
          <w:color w:val="FF0000"/>
          <w:kern w:val="0"/>
          <w:sz w:val="32"/>
          <w:szCs w:val="32"/>
        </w:rPr>
      </w:pPr>
      <w:r>
        <w:rPr>
          <w:rFonts w:hint="eastAsia" w:cs="黑体" w:asciiTheme="minorEastAsia" w:hAnsiTheme="minorEastAsia"/>
          <w:color w:val="000000"/>
          <w:kern w:val="0"/>
          <w:sz w:val="32"/>
          <w:szCs w:val="32"/>
        </w:rPr>
        <w:t>本部门2019年度政府采购支出总额</w:t>
      </w:r>
      <w:r>
        <w:rPr>
          <w:rFonts w:cs="黑体" w:asciiTheme="minorEastAsia" w:hAnsiTheme="minorEastAsia"/>
          <w:color w:val="000000"/>
          <w:kern w:val="0"/>
          <w:sz w:val="32"/>
          <w:szCs w:val="32"/>
        </w:rPr>
        <w:t>333.56</w:t>
      </w:r>
      <w:r>
        <w:rPr>
          <w:rFonts w:hint="eastAsia" w:cs="黑体" w:asciiTheme="minorEastAsia" w:hAnsiTheme="minorEastAsia"/>
          <w:color w:val="000000"/>
          <w:kern w:val="0"/>
          <w:sz w:val="32"/>
          <w:szCs w:val="32"/>
        </w:rPr>
        <w:t>万元，其中：政府采购货物支出</w:t>
      </w:r>
      <w:r>
        <w:rPr>
          <w:rFonts w:cs="黑体" w:asciiTheme="minorEastAsia" w:hAnsiTheme="minorEastAsia"/>
          <w:color w:val="000000"/>
          <w:kern w:val="0"/>
          <w:sz w:val="32"/>
          <w:szCs w:val="32"/>
        </w:rPr>
        <w:t>132.09</w:t>
      </w:r>
      <w:r>
        <w:rPr>
          <w:rFonts w:hint="eastAsia" w:cs="黑体" w:asciiTheme="minorEastAsia" w:hAnsiTheme="minorEastAsia"/>
          <w:color w:val="000000"/>
          <w:kern w:val="0"/>
          <w:sz w:val="32"/>
          <w:szCs w:val="32"/>
        </w:rPr>
        <w:t>万元,主要包括办公设备、计算机设备、家具用具等；政府采购工程支出</w:t>
      </w:r>
      <w:r>
        <w:rPr>
          <w:rFonts w:cs="黑体" w:asciiTheme="minorEastAsia" w:hAnsiTheme="minorEastAsia"/>
          <w:color w:val="000000"/>
          <w:kern w:val="0"/>
          <w:sz w:val="32"/>
          <w:szCs w:val="32"/>
        </w:rPr>
        <w:t>201.47</w:t>
      </w:r>
      <w:r>
        <w:rPr>
          <w:rFonts w:hint="eastAsia" w:cs="黑体" w:asciiTheme="minorEastAsia" w:hAnsiTheme="minorEastAsia"/>
          <w:color w:val="000000"/>
          <w:kern w:val="0"/>
          <w:sz w:val="32"/>
          <w:szCs w:val="32"/>
        </w:rPr>
        <w:t>万元，主要包括纪委食堂改造、智慧档案室建设、谈话室装修改造工程等。</w:t>
      </w:r>
    </w:p>
    <w:p>
      <w:pPr>
        <w:snapToGrid w:val="0"/>
        <w:spacing w:line="360" w:lineRule="auto"/>
        <w:ind w:firstLine="480" w:firstLineChars="150"/>
        <w:rPr>
          <w:rFonts w:cs="黑体" w:asciiTheme="minorEastAsia" w:hAnsiTheme="minorEastAsia"/>
          <w:color w:val="000000"/>
          <w:kern w:val="0"/>
          <w:sz w:val="32"/>
          <w:szCs w:val="32"/>
        </w:rPr>
      </w:pPr>
      <w:r>
        <w:rPr>
          <w:rFonts w:hint="eastAsia" w:cs="黑体" w:asciiTheme="minorEastAsia" w:hAnsiTheme="minorEastAsia"/>
          <w:color w:val="000000"/>
          <w:kern w:val="0"/>
          <w:sz w:val="32"/>
          <w:szCs w:val="32"/>
        </w:rPr>
        <w:t>（四）国有资产占用情况</w:t>
      </w:r>
    </w:p>
    <w:p>
      <w:pPr>
        <w:snapToGrid w:val="0"/>
        <w:spacing w:line="360" w:lineRule="auto"/>
        <w:ind w:firstLine="640" w:firstLineChars="200"/>
        <w:rPr>
          <w:rFonts w:cs="黑体" w:asciiTheme="minorEastAsia" w:hAnsiTheme="minorEastAsia"/>
          <w:color w:val="000000"/>
          <w:kern w:val="0"/>
          <w:sz w:val="32"/>
          <w:szCs w:val="32"/>
        </w:rPr>
      </w:pPr>
      <w:r>
        <w:rPr>
          <w:rFonts w:hint="eastAsia" w:cs="黑体" w:asciiTheme="minorEastAsia" w:hAnsiTheme="minorEastAsia"/>
          <w:color w:val="000000"/>
          <w:kern w:val="0"/>
          <w:sz w:val="32"/>
          <w:szCs w:val="32"/>
        </w:rPr>
        <w:t>截至2019年12月31日，本单位共有车辆</w:t>
      </w:r>
      <w:r>
        <w:rPr>
          <w:rFonts w:cs="黑体" w:asciiTheme="minorEastAsia" w:hAnsiTheme="minorEastAsia"/>
          <w:color w:val="000000"/>
          <w:kern w:val="0"/>
          <w:sz w:val="32"/>
          <w:szCs w:val="32"/>
        </w:rPr>
        <w:t>6</w:t>
      </w:r>
      <w:r>
        <w:rPr>
          <w:rFonts w:hint="eastAsia" w:cs="黑体" w:asciiTheme="minorEastAsia" w:hAnsiTheme="minorEastAsia"/>
          <w:color w:val="000000"/>
          <w:kern w:val="0"/>
          <w:sz w:val="32"/>
          <w:szCs w:val="32"/>
        </w:rPr>
        <w:t>辆，全部为执纪执法用车辆。单位价值50万元以上通用设备0台（套）；单位价值100万元以上专用设备0台（套）。</w:t>
      </w:r>
      <w:bookmarkStart w:id="0" w:name="_GoBack"/>
      <w:bookmarkEnd w:id="0"/>
      <w:r>
        <w:rPr>
          <w:rFonts w:cs="黑体" w:asciiTheme="minorEastAsia" w:hAnsiTheme="minorEastAsia"/>
          <w:color w:val="000000"/>
          <w:kern w:val="0"/>
          <w:sz w:val="32"/>
          <w:szCs w:val="32"/>
        </w:rPr>
        <w:br w:type="page"/>
      </w:r>
    </w:p>
    <w:p>
      <w:pPr>
        <w:snapToGrid w:val="0"/>
        <w:spacing w:line="360" w:lineRule="auto"/>
        <w:ind w:firstLine="640" w:firstLineChars="200"/>
        <w:rPr>
          <w:rFonts w:cs="黑体" w:asciiTheme="minorEastAsia" w:hAnsiTheme="minorEastAsia"/>
          <w:color w:val="000000"/>
          <w:kern w:val="0"/>
          <w:sz w:val="32"/>
          <w:szCs w:val="32"/>
        </w:rPr>
      </w:pPr>
    </w:p>
    <w:p>
      <w:pPr>
        <w:pStyle w:val="11"/>
        <w:snapToGrid w:val="0"/>
        <w:spacing w:line="360" w:lineRule="auto"/>
        <w:jc w:val="center"/>
        <w:rPr>
          <w:sz w:val="72"/>
          <w:szCs w:val="72"/>
        </w:rPr>
      </w:pPr>
    </w:p>
    <w:p>
      <w:pPr>
        <w:pStyle w:val="11"/>
        <w:snapToGrid w:val="0"/>
        <w:spacing w:line="360" w:lineRule="auto"/>
        <w:jc w:val="center"/>
        <w:rPr>
          <w:sz w:val="72"/>
          <w:szCs w:val="72"/>
        </w:rPr>
      </w:pPr>
    </w:p>
    <w:p>
      <w:pPr>
        <w:pStyle w:val="11"/>
        <w:snapToGrid w:val="0"/>
        <w:spacing w:line="360" w:lineRule="auto"/>
        <w:jc w:val="center"/>
        <w:rPr>
          <w:sz w:val="72"/>
          <w:szCs w:val="72"/>
        </w:rPr>
      </w:pPr>
    </w:p>
    <w:p>
      <w:pPr>
        <w:pStyle w:val="11"/>
        <w:snapToGrid w:val="0"/>
        <w:spacing w:line="360" w:lineRule="auto"/>
        <w:jc w:val="center"/>
        <w:rPr>
          <w:sz w:val="72"/>
          <w:szCs w:val="72"/>
        </w:rPr>
      </w:pPr>
    </w:p>
    <w:p>
      <w:pPr>
        <w:pStyle w:val="11"/>
        <w:snapToGrid w:val="0"/>
        <w:spacing w:line="360" w:lineRule="auto"/>
        <w:jc w:val="center"/>
        <w:rPr>
          <w:sz w:val="72"/>
          <w:szCs w:val="72"/>
        </w:rPr>
      </w:pPr>
    </w:p>
    <w:p>
      <w:pPr>
        <w:pStyle w:val="11"/>
        <w:snapToGrid w:val="0"/>
        <w:spacing w:line="360" w:lineRule="auto"/>
        <w:jc w:val="center"/>
        <w:rPr>
          <w:sz w:val="72"/>
          <w:szCs w:val="72"/>
        </w:rPr>
      </w:pPr>
    </w:p>
    <w:p>
      <w:pPr>
        <w:pStyle w:val="11"/>
        <w:snapToGrid w:val="0"/>
        <w:spacing w:line="360" w:lineRule="auto"/>
        <w:jc w:val="center"/>
        <w:rPr>
          <w:sz w:val="72"/>
          <w:szCs w:val="72"/>
        </w:rPr>
      </w:pPr>
      <w:r>
        <w:rPr>
          <w:rFonts w:hint="eastAsia"/>
          <w:sz w:val="72"/>
          <w:szCs w:val="72"/>
        </w:rPr>
        <w:t>第四部分</w:t>
      </w:r>
    </w:p>
    <w:p>
      <w:pPr>
        <w:snapToGrid w:val="0"/>
        <w:spacing w:line="360" w:lineRule="auto"/>
        <w:jc w:val="center"/>
        <w:rPr>
          <w:rFonts w:ascii="黑体" w:eastAsia="黑体" w:cs="黑体"/>
          <w:color w:val="000000"/>
          <w:kern w:val="0"/>
          <w:sz w:val="70"/>
          <w:szCs w:val="70"/>
        </w:rPr>
      </w:pPr>
    </w:p>
    <w:p>
      <w:pPr>
        <w:snapToGrid w:val="0"/>
        <w:spacing w:line="360" w:lineRule="auto"/>
        <w:jc w:val="center"/>
        <w:rPr>
          <w:rFonts w:ascii="黑体" w:eastAsia="黑体" w:cs="黑体"/>
          <w:color w:val="000000"/>
          <w:kern w:val="0"/>
          <w:sz w:val="70"/>
          <w:szCs w:val="70"/>
        </w:rPr>
      </w:pPr>
      <w:r>
        <w:rPr>
          <w:rFonts w:hint="eastAsia" w:ascii="黑体" w:eastAsia="黑体" w:cs="黑体"/>
          <w:color w:val="000000"/>
          <w:kern w:val="0"/>
          <w:sz w:val="70"/>
          <w:szCs w:val="70"/>
        </w:rPr>
        <w:t>名词解释</w:t>
      </w:r>
    </w:p>
    <w:p>
      <w:pPr>
        <w:widowControl/>
        <w:snapToGrid w:val="0"/>
        <w:spacing w:line="360" w:lineRule="auto"/>
        <w:jc w:val="left"/>
        <w:rPr>
          <w:rFonts w:ascii="黑体" w:eastAsia="黑体" w:cs="黑体"/>
          <w:color w:val="000000"/>
          <w:kern w:val="0"/>
          <w:sz w:val="70"/>
          <w:szCs w:val="70"/>
        </w:rPr>
      </w:pPr>
      <w:r>
        <w:rPr>
          <w:rFonts w:ascii="黑体" w:eastAsia="黑体" w:cs="黑体"/>
          <w:color w:val="000000"/>
          <w:kern w:val="0"/>
          <w:sz w:val="70"/>
          <w:szCs w:val="70"/>
        </w:rPr>
        <w:br w:type="page"/>
      </w:r>
    </w:p>
    <w:p>
      <w:pPr>
        <w:snapToGrid w:val="0"/>
        <w:spacing w:line="360" w:lineRule="auto"/>
        <w:ind w:firstLine="640" w:firstLineChars="200"/>
        <w:jc w:val="left"/>
        <w:rPr>
          <w:rFonts w:cs="黑体" w:asciiTheme="minorEastAsia" w:hAnsiTheme="minorEastAsia"/>
          <w:color w:val="000000"/>
          <w:kern w:val="0"/>
          <w:sz w:val="32"/>
          <w:szCs w:val="32"/>
        </w:rPr>
      </w:pPr>
    </w:p>
    <w:p>
      <w:pPr>
        <w:widowControl/>
        <w:shd w:val="clear" w:color="auto" w:fill="FFFFFF"/>
        <w:snapToGrid w:val="0"/>
        <w:spacing w:line="360" w:lineRule="auto"/>
        <w:jc w:val="center"/>
        <w:rPr>
          <w:rFonts w:asciiTheme="minorEastAsia" w:hAnsiTheme="minorEastAsia"/>
          <w:sz w:val="28"/>
          <w:szCs w:val="28"/>
        </w:rPr>
      </w:pPr>
      <w:r>
        <w:rPr>
          <w:rFonts w:hint="eastAsia" w:asciiTheme="minorEastAsia" w:hAnsiTheme="minorEastAsia"/>
          <w:sz w:val="28"/>
          <w:szCs w:val="28"/>
        </w:rPr>
        <w:t>一、 名词解释</w:t>
      </w:r>
    </w:p>
    <w:p>
      <w:pPr>
        <w:widowControl/>
        <w:snapToGrid w:val="0"/>
        <w:spacing w:line="360" w:lineRule="auto"/>
        <w:ind w:firstLine="560" w:firstLineChars="200"/>
        <w:rPr>
          <w:color w:val="333333"/>
          <w:sz w:val="28"/>
          <w:szCs w:val="28"/>
        </w:rPr>
      </w:pPr>
      <w:r>
        <w:rPr>
          <w:rFonts w:hint="eastAsia"/>
          <w:color w:val="333333"/>
          <w:sz w:val="28"/>
          <w:szCs w:val="28"/>
        </w:rPr>
        <w:t>一、财政拨款收入：指财政部门核拨给单位的财政预算资金。</w:t>
      </w:r>
    </w:p>
    <w:p>
      <w:pPr>
        <w:widowControl/>
        <w:snapToGrid w:val="0"/>
        <w:spacing w:line="360" w:lineRule="auto"/>
        <w:ind w:firstLine="560" w:firstLineChars="200"/>
        <w:rPr>
          <w:rFonts w:ascii="黑体" w:eastAsia="黑体" w:cs="黑体"/>
          <w:color w:val="000000"/>
          <w:kern w:val="0"/>
          <w:sz w:val="70"/>
          <w:szCs w:val="70"/>
        </w:rPr>
      </w:pPr>
      <w:r>
        <w:rPr>
          <w:rFonts w:hint="eastAsia"/>
          <w:color w:val="333333"/>
          <w:sz w:val="28"/>
          <w:szCs w:val="28"/>
        </w:rPr>
        <w:t>二、  事业收入：指事业单位开展专业业务活动及辅助活动所取得的收入。</w:t>
      </w:r>
    </w:p>
    <w:p>
      <w:pPr>
        <w:pStyle w:val="5"/>
        <w:shd w:val="clear" w:color="auto" w:fill="FFFFFF"/>
        <w:snapToGrid w:val="0"/>
        <w:spacing w:before="0" w:beforeAutospacing="0" w:after="0" w:afterAutospacing="0" w:line="360" w:lineRule="auto"/>
        <w:ind w:firstLine="560" w:firstLineChars="200"/>
        <w:jc w:val="both"/>
        <w:rPr>
          <w:color w:val="333333"/>
          <w:sz w:val="28"/>
          <w:szCs w:val="28"/>
        </w:rPr>
      </w:pPr>
      <w:r>
        <w:rPr>
          <w:rFonts w:hint="eastAsia"/>
          <w:color w:val="333333"/>
          <w:sz w:val="28"/>
          <w:szCs w:val="28"/>
        </w:rPr>
        <w:t>三、附属单位上缴收入：指事业单位附属独立核算单位按有关规定上缴的收入。</w:t>
      </w:r>
    </w:p>
    <w:p>
      <w:pPr>
        <w:pStyle w:val="5"/>
        <w:shd w:val="clear" w:color="auto" w:fill="FFFFFF"/>
        <w:snapToGrid w:val="0"/>
        <w:spacing w:before="0" w:beforeAutospacing="0" w:after="0" w:afterAutospacing="0" w:line="360" w:lineRule="auto"/>
        <w:ind w:firstLine="560" w:firstLineChars="200"/>
        <w:jc w:val="both"/>
        <w:rPr>
          <w:color w:val="333333"/>
          <w:sz w:val="28"/>
          <w:szCs w:val="28"/>
        </w:rPr>
      </w:pPr>
      <w:r>
        <w:rPr>
          <w:rFonts w:hint="eastAsia"/>
          <w:color w:val="333333"/>
          <w:sz w:val="28"/>
          <w:szCs w:val="28"/>
        </w:rPr>
        <w:t>四、其他收入：指单位取得的除上述“财政拨款收入”、“事业收入”、“附属单位上缴收入”等以外的收入。</w:t>
      </w:r>
    </w:p>
    <w:p>
      <w:pPr>
        <w:pStyle w:val="5"/>
        <w:shd w:val="clear" w:color="auto" w:fill="FFFFFF"/>
        <w:snapToGrid w:val="0"/>
        <w:spacing w:before="0" w:beforeAutospacing="0" w:after="0" w:afterAutospacing="0" w:line="360" w:lineRule="auto"/>
        <w:ind w:firstLine="560" w:firstLineChars="200"/>
        <w:jc w:val="both"/>
        <w:rPr>
          <w:color w:val="333333"/>
          <w:sz w:val="28"/>
          <w:szCs w:val="28"/>
        </w:rPr>
      </w:pPr>
      <w:r>
        <w:rPr>
          <w:rFonts w:hint="eastAsia"/>
          <w:color w:val="333333"/>
          <w:sz w:val="28"/>
          <w:szCs w:val="28"/>
        </w:rPr>
        <w:t>五、年初结转和结余：指以前年度尚未完成、结转到本年仍按有关规定继续使用的资金。</w:t>
      </w:r>
    </w:p>
    <w:p>
      <w:pPr>
        <w:pStyle w:val="5"/>
        <w:shd w:val="clear" w:color="auto" w:fill="FFFFFF"/>
        <w:snapToGrid w:val="0"/>
        <w:spacing w:before="0" w:beforeAutospacing="0" w:after="0" w:afterAutospacing="0" w:line="360" w:lineRule="auto"/>
        <w:ind w:firstLine="560" w:firstLineChars="200"/>
        <w:jc w:val="both"/>
        <w:rPr>
          <w:color w:val="333333"/>
          <w:sz w:val="28"/>
          <w:szCs w:val="28"/>
        </w:rPr>
      </w:pPr>
      <w:r>
        <w:rPr>
          <w:rFonts w:hint="eastAsia"/>
          <w:color w:val="333333"/>
          <w:sz w:val="28"/>
          <w:szCs w:val="28"/>
        </w:rPr>
        <w:t>六、用事业基金弥补收支差额：指事业单位在当年的“财政拨款收入”、“事业收入”、“经营收入”和“其他收入”不足以安排当年支出的情况下，使用以前年度积累的事业基金（即事业单位以前各年度收支相抵后，按国家规定提取、用于弥补以后年度收支差额的基金）弥补本年收支缺口的资金。</w:t>
      </w:r>
    </w:p>
    <w:p>
      <w:pPr>
        <w:pStyle w:val="5"/>
        <w:shd w:val="clear" w:color="auto" w:fill="FFFFFF"/>
        <w:snapToGrid w:val="0"/>
        <w:spacing w:before="0" w:beforeAutospacing="0" w:after="0" w:afterAutospacing="0" w:line="360" w:lineRule="auto"/>
        <w:ind w:firstLine="560" w:firstLineChars="200"/>
        <w:jc w:val="both"/>
        <w:rPr>
          <w:color w:val="333333"/>
          <w:sz w:val="28"/>
          <w:szCs w:val="28"/>
        </w:rPr>
      </w:pPr>
      <w:r>
        <w:rPr>
          <w:rFonts w:hint="eastAsia"/>
          <w:color w:val="333333"/>
          <w:sz w:val="28"/>
          <w:szCs w:val="28"/>
        </w:rPr>
        <w:t>七、结余分配：指事业单位按规定提取的职工福利基金、事业基金和缴纳的所得税，以及建设单位按规定应交回的基本建设竣工项目结余资金。</w:t>
      </w:r>
    </w:p>
    <w:p>
      <w:pPr>
        <w:pStyle w:val="5"/>
        <w:shd w:val="clear" w:color="auto" w:fill="FFFFFF"/>
        <w:snapToGrid w:val="0"/>
        <w:spacing w:before="0" w:beforeAutospacing="0" w:after="0" w:afterAutospacing="0" w:line="360" w:lineRule="auto"/>
        <w:ind w:firstLine="560" w:firstLineChars="200"/>
        <w:jc w:val="both"/>
        <w:rPr>
          <w:color w:val="333333"/>
          <w:sz w:val="28"/>
          <w:szCs w:val="28"/>
        </w:rPr>
      </w:pPr>
      <w:r>
        <w:rPr>
          <w:rFonts w:hint="eastAsia"/>
          <w:color w:val="333333"/>
          <w:sz w:val="28"/>
          <w:szCs w:val="28"/>
        </w:rPr>
        <w:t>八、年末结转和结余：指本年度或以前年度预算安排、因客观条件发生变化无法按原计划实施，需延迟到以后年度按有关规定继续使用的资金。</w:t>
      </w:r>
    </w:p>
    <w:p>
      <w:pPr>
        <w:pStyle w:val="5"/>
        <w:shd w:val="clear" w:color="auto" w:fill="FFFFFF"/>
        <w:snapToGrid w:val="0"/>
        <w:spacing w:before="0" w:beforeAutospacing="0" w:after="0" w:afterAutospacing="0" w:line="360" w:lineRule="auto"/>
        <w:ind w:firstLine="560" w:firstLineChars="200"/>
        <w:jc w:val="both"/>
        <w:rPr>
          <w:color w:val="333333"/>
          <w:sz w:val="28"/>
          <w:szCs w:val="28"/>
        </w:rPr>
      </w:pPr>
      <w:r>
        <w:rPr>
          <w:rFonts w:hint="eastAsia"/>
          <w:color w:val="333333"/>
          <w:sz w:val="28"/>
          <w:szCs w:val="28"/>
        </w:rPr>
        <w:t>九、基本支出：指为保障机构正常运转、完成日常工作任务而发生的人员支出和公用支出。</w:t>
      </w:r>
    </w:p>
    <w:p>
      <w:pPr>
        <w:pStyle w:val="5"/>
        <w:shd w:val="clear" w:color="auto" w:fill="FFFFFF"/>
        <w:snapToGrid w:val="0"/>
        <w:spacing w:before="0" w:beforeAutospacing="0" w:after="0" w:afterAutospacing="0" w:line="360" w:lineRule="auto"/>
        <w:ind w:firstLine="560" w:firstLineChars="200"/>
        <w:jc w:val="both"/>
        <w:rPr>
          <w:color w:val="333333"/>
          <w:sz w:val="28"/>
          <w:szCs w:val="28"/>
        </w:rPr>
      </w:pPr>
      <w:r>
        <w:rPr>
          <w:rFonts w:hint="eastAsia"/>
          <w:color w:val="333333"/>
          <w:sz w:val="28"/>
          <w:szCs w:val="28"/>
        </w:rPr>
        <w:t>十、项目支出：指在基本支出之外，为完成特定行政任务和事业发展目标所发生的支出。</w:t>
      </w:r>
    </w:p>
    <w:p>
      <w:pPr>
        <w:pStyle w:val="5"/>
        <w:shd w:val="clear" w:color="auto" w:fill="FFFFFF"/>
        <w:snapToGrid w:val="0"/>
        <w:spacing w:before="0" w:beforeAutospacing="0" w:after="0" w:afterAutospacing="0" w:line="360" w:lineRule="auto"/>
        <w:ind w:firstLine="560" w:firstLineChars="200"/>
        <w:jc w:val="both"/>
        <w:rPr>
          <w:color w:val="333333"/>
          <w:sz w:val="28"/>
          <w:szCs w:val="28"/>
        </w:rPr>
      </w:pPr>
      <w:r>
        <w:rPr>
          <w:rFonts w:hint="eastAsia"/>
          <w:color w:val="333333"/>
          <w:sz w:val="28"/>
          <w:szCs w:val="28"/>
        </w:rPr>
        <w:t>十一、“三公”经费：指省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安全奖励费用等支出；公务接待费反映单位按规定开支的各类公务接待（含外宾接待）支出。</w:t>
      </w:r>
    </w:p>
    <w:p>
      <w:pPr>
        <w:widowControl/>
        <w:snapToGrid w:val="0"/>
        <w:spacing w:line="360" w:lineRule="auto"/>
        <w:ind w:firstLine="560" w:firstLineChars="200"/>
        <w:rPr>
          <w:rFonts w:asciiTheme="minorEastAsia" w:hAnsiTheme="minorEastAsia"/>
          <w:i/>
          <w:color w:val="FF0000"/>
          <w:sz w:val="32"/>
          <w:szCs w:val="32"/>
        </w:rPr>
      </w:pPr>
      <w:r>
        <w:rPr>
          <w:rFonts w:hint="eastAsia"/>
          <w:color w:val="333333"/>
          <w:sz w:val="28"/>
          <w:szCs w:val="28"/>
        </w:rPr>
        <w:t>十二、机关运行经费：指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 </w:t>
      </w:r>
      <w:r>
        <w:rPr>
          <w:rFonts w:asciiTheme="minorEastAsia" w:hAnsiTheme="minorEastAsia"/>
          <w:i/>
          <w:color w:val="FF0000"/>
          <w:sz w:val="32"/>
          <w:szCs w:val="32"/>
        </w:rPr>
        <w:br w:type="page"/>
      </w:r>
    </w:p>
    <w:p>
      <w:pPr>
        <w:pStyle w:val="11"/>
        <w:snapToGrid w:val="0"/>
        <w:spacing w:line="360" w:lineRule="auto"/>
        <w:jc w:val="center"/>
        <w:rPr>
          <w:sz w:val="72"/>
          <w:szCs w:val="72"/>
        </w:rPr>
      </w:pPr>
    </w:p>
    <w:p>
      <w:pPr>
        <w:pStyle w:val="11"/>
        <w:snapToGrid w:val="0"/>
        <w:spacing w:line="360" w:lineRule="auto"/>
        <w:jc w:val="center"/>
        <w:rPr>
          <w:sz w:val="72"/>
          <w:szCs w:val="72"/>
        </w:rPr>
      </w:pPr>
    </w:p>
    <w:p>
      <w:pPr>
        <w:pStyle w:val="11"/>
        <w:snapToGrid w:val="0"/>
        <w:spacing w:line="360" w:lineRule="auto"/>
        <w:jc w:val="center"/>
        <w:rPr>
          <w:sz w:val="72"/>
          <w:szCs w:val="72"/>
        </w:rPr>
      </w:pPr>
    </w:p>
    <w:p>
      <w:pPr>
        <w:pStyle w:val="11"/>
        <w:snapToGrid w:val="0"/>
        <w:spacing w:line="360" w:lineRule="auto"/>
        <w:jc w:val="center"/>
        <w:rPr>
          <w:sz w:val="72"/>
          <w:szCs w:val="72"/>
        </w:rPr>
      </w:pPr>
    </w:p>
    <w:p>
      <w:pPr>
        <w:pStyle w:val="11"/>
        <w:snapToGrid w:val="0"/>
        <w:spacing w:line="360" w:lineRule="auto"/>
        <w:jc w:val="center"/>
        <w:rPr>
          <w:sz w:val="72"/>
          <w:szCs w:val="72"/>
        </w:rPr>
      </w:pPr>
    </w:p>
    <w:p>
      <w:pPr>
        <w:pStyle w:val="11"/>
        <w:snapToGrid w:val="0"/>
        <w:spacing w:line="360" w:lineRule="auto"/>
        <w:jc w:val="center"/>
        <w:rPr>
          <w:sz w:val="72"/>
          <w:szCs w:val="72"/>
        </w:rPr>
      </w:pPr>
    </w:p>
    <w:p>
      <w:pPr>
        <w:pStyle w:val="11"/>
        <w:snapToGrid w:val="0"/>
        <w:spacing w:line="360" w:lineRule="auto"/>
        <w:jc w:val="center"/>
        <w:rPr>
          <w:sz w:val="72"/>
          <w:szCs w:val="72"/>
        </w:rPr>
      </w:pPr>
      <w:r>
        <w:rPr>
          <w:rFonts w:hint="eastAsia"/>
          <w:sz w:val="72"/>
          <w:szCs w:val="72"/>
        </w:rPr>
        <w:t>第五部分</w:t>
      </w:r>
    </w:p>
    <w:p>
      <w:pPr>
        <w:snapToGrid w:val="0"/>
        <w:spacing w:line="360" w:lineRule="auto"/>
        <w:jc w:val="center"/>
        <w:rPr>
          <w:rFonts w:ascii="黑体" w:eastAsia="黑体" w:cs="黑体"/>
          <w:color w:val="000000"/>
          <w:kern w:val="0"/>
          <w:sz w:val="70"/>
          <w:szCs w:val="70"/>
        </w:rPr>
      </w:pPr>
    </w:p>
    <w:p>
      <w:pPr>
        <w:snapToGrid w:val="0"/>
        <w:spacing w:line="360" w:lineRule="auto"/>
        <w:jc w:val="center"/>
        <w:rPr>
          <w:rFonts w:ascii="黑体" w:eastAsia="黑体" w:cs="黑体"/>
          <w:color w:val="000000"/>
          <w:kern w:val="0"/>
          <w:sz w:val="70"/>
          <w:szCs w:val="70"/>
        </w:rPr>
      </w:pPr>
      <w:r>
        <w:rPr>
          <w:rFonts w:hint="eastAsia" w:ascii="黑体" w:eastAsia="黑体" w:cs="黑体"/>
          <w:color w:val="000000"/>
          <w:kern w:val="0"/>
          <w:sz w:val="70"/>
          <w:szCs w:val="70"/>
        </w:rPr>
        <w:t>附件</w:t>
      </w:r>
    </w:p>
    <w:p>
      <w:pPr>
        <w:snapToGrid w:val="0"/>
        <w:spacing w:line="360" w:lineRule="auto"/>
        <w:jc w:val="center"/>
        <w:rPr>
          <w:rFonts w:ascii="黑体" w:eastAsia="黑体" w:cs="黑体"/>
          <w:color w:val="000000"/>
          <w:kern w:val="0"/>
          <w:sz w:val="70"/>
          <w:szCs w:val="70"/>
        </w:rPr>
      </w:pPr>
    </w:p>
    <w:p>
      <w:pPr>
        <w:widowControl/>
        <w:shd w:val="clear" w:color="auto" w:fill="FFFFFF"/>
        <w:snapToGrid w:val="0"/>
        <w:spacing w:line="360" w:lineRule="auto"/>
        <w:ind w:firstLine="700" w:firstLineChars="250"/>
        <w:jc w:val="left"/>
        <w:rPr>
          <w:rFonts w:asciiTheme="minorEastAsia" w:hAnsiTheme="minorEastAsia"/>
          <w:sz w:val="28"/>
          <w:szCs w:val="28"/>
        </w:rPr>
      </w:pPr>
      <w:r>
        <w:rPr>
          <w:rFonts w:hint="eastAsia" w:asciiTheme="minorEastAsia" w:hAnsiTheme="minorEastAsia"/>
          <w:sz w:val="28"/>
          <w:szCs w:val="28"/>
        </w:rPr>
        <w:t>1、2019年度部门整体支出绩效评价报告</w:t>
      </w:r>
    </w:p>
    <w:p>
      <w:pPr>
        <w:spacing w:line="560" w:lineRule="exact"/>
        <w:jc w:val="center"/>
        <w:rPr>
          <w:rFonts w:ascii="宋体" w:hAnsi="宋体"/>
          <w:b/>
          <w:bCs/>
          <w:sz w:val="36"/>
          <w:szCs w:val="32"/>
        </w:rPr>
      </w:pPr>
      <w:r>
        <w:rPr>
          <w:rFonts w:hint="eastAsia" w:ascii="宋体" w:hAnsi="宋体"/>
          <w:b/>
          <w:bCs/>
          <w:sz w:val="36"/>
          <w:szCs w:val="32"/>
        </w:rPr>
        <w:t>中共衡南县纪委</w:t>
      </w:r>
    </w:p>
    <w:p>
      <w:pPr>
        <w:spacing w:line="560" w:lineRule="exact"/>
        <w:jc w:val="center"/>
        <w:rPr>
          <w:rFonts w:ascii="宋体" w:hAnsi="宋体"/>
          <w:b/>
          <w:bCs/>
          <w:sz w:val="36"/>
          <w:szCs w:val="32"/>
        </w:rPr>
      </w:pPr>
      <w:r>
        <w:rPr>
          <w:rFonts w:hint="eastAsia" w:ascii="宋体" w:hAnsi="宋体"/>
          <w:b/>
          <w:bCs/>
          <w:sz w:val="36"/>
          <w:szCs w:val="32"/>
        </w:rPr>
        <w:t>2019年度整体支出绩效评价报告</w:t>
      </w:r>
    </w:p>
    <w:p>
      <w:pPr>
        <w:spacing w:line="560" w:lineRule="exact"/>
        <w:ind w:firstLine="560" w:firstLineChars="200"/>
        <w:rPr>
          <w:rFonts w:ascii="宋体" w:hAnsi="宋体"/>
          <w:sz w:val="28"/>
          <w:szCs w:val="28"/>
        </w:rPr>
      </w:pPr>
    </w:p>
    <w:p>
      <w:pPr>
        <w:spacing w:line="520" w:lineRule="exact"/>
        <w:ind w:firstLine="560" w:firstLineChars="200"/>
        <w:rPr>
          <w:rFonts w:ascii="宋体" w:hAnsi="宋体"/>
          <w:sz w:val="28"/>
          <w:szCs w:val="28"/>
        </w:rPr>
      </w:pPr>
      <w:r>
        <w:rPr>
          <w:rFonts w:hint="eastAsia" w:ascii="宋体" w:hAnsi="宋体"/>
          <w:sz w:val="28"/>
          <w:szCs w:val="28"/>
        </w:rPr>
        <w:t>为加强财政预算资金管理，进一步规范预算资金使用，提高财政资金使用效益，根据衡南县《关于填报2020年预算绩效目标的通知》要求，我单位积极组织，对2019年度本单位整体支出进行了绩效自评，现将具体绩效评价情况报告如下：</w:t>
      </w:r>
    </w:p>
    <w:p>
      <w:pPr>
        <w:spacing w:line="520" w:lineRule="exact"/>
        <w:ind w:firstLine="560" w:firstLineChars="200"/>
        <w:rPr>
          <w:rFonts w:ascii="宋体" w:hAnsi="宋体"/>
          <w:b/>
          <w:sz w:val="28"/>
          <w:szCs w:val="28"/>
        </w:rPr>
      </w:pPr>
      <w:r>
        <w:rPr>
          <w:rFonts w:hint="eastAsia" w:ascii="宋体" w:hAnsi="宋体"/>
          <w:b/>
          <w:sz w:val="28"/>
          <w:szCs w:val="28"/>
        </w:rPr>
        <w:t>一、部门基本情况</w:t>
      </w:r>
    </w:p>
    <w:p>
      <w:pPr>
        <w:spacing w:line="520" w:lineRule="exact"/>
        <w:ind w:firstLine="560" w:firstLineChars="200"/>
        <w:rPr>
          <w:rFonts w:ascii="宋体" w:hAnsi="宋体"/>
          <w:sz w:val="28"/>
          <w:szCs w:val="28"/>
        </w:rPr>
      </w:pPr>
      <w:r>
        <w:rPr>
          <w:rFonts w:hint="eastAsia" w:ascii="宋体" w:hAnsi="宋体"/>
          <w:sz w:val="28"/>
          <w:szCs w:val="28"/>
        </w:rPr>
        <w:t>中共衡南县纪委为全额财政拨款单位，纳入财政会计集中核算和国库集中支付体系，财务制度执行《行政单位会计制度》。</w:t>
      </w:r>
    </w:p>
    <w:p>
      <w:pPr>
        <w:spacing w:line="520" w:lineRule="exact"/>
        <w:ind w:firstLine="560" w:firstLineChars="200"/>
        <w:rPr>
          <w:rFonts w:ascii="宋体" w:hAnsi="宋体"/>
          <w:sz w:val="28"/>
          <w:szCs w:val="28"/>
        </w:rPr>
      </w:pPr>
      <w:r>
        <w:rPr>
          <w:rFonts w:hint="eastAsia" w:ascii="宋体" w:hAnsi="宋体"/>
          <w:sz w:val="28"/>
          <w:szCs w:val="28"/>
        </w:rPr>
        <w:t>（一）机构设置情况</w:t>
      </w:r>
    </w:p>
    <w:p>
      <w:pPr>
        <w:spacing w:line="520" w:lineRule="exact"/>
        <w:ind w:firstLine="560" w:firstLineChars="200"/>
        <w:rPr>
          <w:rFonts w:ascii="宋体" w:hAnsi="宋体"/>
          <w:sz w:val="28"/>
          <w:szCs w:val="28"/>
        </w:rPr>
      </w:pPr>
      <w:r>
        <w:rPr>
          <w:rFonts w:hint="eastAsia" w:ascii="宋体" w:hAnsi="宋体"/>
          <w:sz w:val="28"/>
          <w:szCs w:val="28"/>
        </w:rPr>
        <w:t>主要工作职责：中共衡南县纪律检查委员会（以下简称县纪委）机关与衡南县监察委合署办公，一个机构两块牌子，下设16个内设室（部）、12个派驻纪检监察组。在县委、县人大和市纪委、市监察委的双重领导下进行工作。</w:t>
      </w:r>
    </w:p>
    <w:p>
      <w:pPr>
        <w:spacing w:line="520" w:lineRule="exact"/>
        <w:ind w:firstLine="560" w:firstLineChars="200"/>
        <w:rPr>
          <w:rFonts w:ascii="宋体" w:hAnsi="宋体"/>
          <w:sz w:val="28"/>
          <w:szCs w:val="28"/>
        </w:rPr>
      </w:pPr>
      <w:r>
        <w:rPr>
          <w:rFonts w:hint="eastAsia" w:ascii="宋体" w:hAnsi="宋体"/>
          <w:sz w:val="28"/>
          <w:szCs w:val="28"/>
        </w:rPr>
        <w:t>（二）部门职责情况</w:t>
      </w:r>
    </w:p>
    <w:p>
      <w:pPr>
        <w:spacing w:line="520" w:lineRule="exact"/>
        <w:ind w:firstLine="560" w:firstLineChars="200"/>
        <w:rPr>
          <w:rFonts w:ascii="宋体" w:hAnsi="宋体"/>
          <w:sz w:val="28"/>
          <w:szCs w:val="28"/>
        </w:rPr>
      </w:pPr>
      <w:r>
        <w:rPr>
          <w:rFonts w:hint="eastAsia" w:ascii="宋体" w:hAnsi="宋体"/>
          <w:sz w:val="28"/>
          <w:szCs w:val="28"/>
        </w:rPr>
        <w:t>1</w:t>
      </w:r>
      <w:r>
        <w:rPr>
          <w:rFonts w:ascii="宋体" w:hAnsi="宋体"/>
          <w:sz w:val="28"/>
          <w:szCs w:val="28"/>
        </w:rPr>
        <w:t>.</w:t>
      </w:r>
      <w:r>
        <w:rPr>
          <w:rFonts w:hint="eastAsia" w:ascii="宋体" w:hAnsi="宋体"/>
          <w:sz w:val="28"/>
          <w:szCs w:val="28"/>
        </w:rPr>
        <w:t>负责党的纪律检查工作。贯彻落实党中央关于纪律检查工作的决定，落实市委和县委关于纪律检查工作的要求，维护党的章程和其他党内法规，检查党的路线方针政策和决议的执行情况，协助县委推进全面从严治党、加强党风建设和组织协调反腐败工作。</w:t>
      </w:r>
    </w:p>
    <w:p>
      <w:pPr>
        <w:spacing w:line="520" w:lineRule="exact"/>
        <w:ind w:firstLine="560" w:firstLineChars="200"/>
        <w:rPr>
          <w:rFonts w:ascii="宋体" w:hAnsi="宋体"/>
          <w:sz w:val="28"/>
          <w:szCs w:val="28"/>
        </w:rPr>
      </w:pPr>
      <w:r>
        <w:rPr>
          <w:rFonts w:hint="eastAsia" w:ascii="宋体" w:hAnsi="宋体"/>
          <w:sz w:val="28"/>
          <w:szCs w:val="28"/>
        </w:rPr>
        <w:t>2</w:t>
      </w:r>
      <w:r>
        <w:rPr>
          <w:rFonts w:ascii="宋体" w:hAnsi="宋体"/>
          <w:sz w:val="28"/>
          <w:szCs w:val="28"/>
        </w:rPr>
        <w:t>.</w:t>
      </w:r>
      <w:r>
        <w:rPr>
          <w:rFonts w:hint="eastAsia" w:ascii="宋体" w:hAnsi="宋体"/>
          <w:sz w:val="28"/>
          <w:szCs w:val="28"/>
        </w:rPr>
        <w:t>依照党的章程和其他党内法规履行监督、执纪、问责职责。</w:t>
      </w:r>
    </w:p>
    <w:p>
      <w:pPr>
        <w:spacing w:line="520" w:lineRule="exact"/>
        <w:ind w:firstLine="560" w:firstLineChars="200"/>
        <w:rPr>
          <w:rFonts w:ascii="宋体" w:hAnsi="宋体"/>
          <w:sz w:val="28"/>
          <w:szCs w:val="28"/>
        </w:rPr>
      </w:pPr>
      <w:r>
        <w:rPr>
          <w:rFonts w:hint="eastAsia" w:ascii="宋体" w:hAnsi="宋体"/>
          <w:sz w:val="28"/>
          <w:szCs w:val="28"/>
        </w:rPr>
        <w:t>3</w:t>
      </w:r>
      <w:r>
        <w:rPr>
          <w:rFonts w:ascii="宋体" w:hAnsi="宋体"/>
          <w:sz w:val="28"/>
          <w:szCs w:val="28"/>
        </w:rPr>
        <w:t>.</w:t>
      </w:r>
      <w:r>
        <w:rPr>
          <w:rFonts w:hint="eastAsia" w:ascii="宋体" w:hAnsi="宋体"/>
          <w:sz w:val="28"/>
          <w:szCs w:val="28"/>
        </w:rPr>
        <w:t>负责全县监察工作。贯彻落实中央关于监察工作的决定，按照市纪委市监委和县委关于监察工作的要求，维护宪法法律，依法对县委管理的行使公权力的公职人员进行监察，调查职务违法和职务犯罪，开展廉政建设和反腐败工作。</w:t>
      </w:r>
    </w:p>
    <w:p>
      <w:pPr>
        <w:spacing w:line="520" w:lineRule="exact"/>
        <w:ind w:firstLine="560" w:firstLineChars="200"/>
        <w:rPr>
          <w:rFonts w:ascii="宋体" w:hAnsi="宋体"/>
          <w:sz w:val="28"/>
          <w:szCs w:val="28"/>
        </w:rPr>
      </w:pPr>
      <w:r>
        <w:rPr>
          <w:rFonts w:hint="eastAsia" w:ascii="宋体" w:hAnsi="宋体"/>
          <w:sz w:val="28"/>
          <w:szCs w:val="28"/>
        </w:rPr>
        <w:t>4</w:t>
      </w:r>
      <w:r>
        <w:rPr>
          <w:rFonts w:ascii="宋体" w:hAnsi="宋体"/>
          <w:sz w:val="28"/>
          <w:szCs w:val="28"/>
        </w:rPr>
        <w:t>.</w:t>
      </w:r>
      <w:r>
        <w:rPr>
          <w:rFonts w:hint="eastAsia" w:ascii="宋体" w:hAnsi="宋体"/>
          <w:sz w:val="28"/>
          <w:szCs w:val="28"/>
        </w:rPr>
        <w:t>依照法律规定履行监督、调查、处置职责。</w:t>
      </w:r>
    </w:p>
    <w:p>
      <w:pPr>
        <w:spacing w:line="520" w:lineRule="exact"/>
        <w:ind w:firstLine="560" w:firstLineChars="200"/>
        <w:rPr>
          <w:rFonts w:ascii="宋体" w:hAnsi="宋体"/>
          <w:sz w:val="28"/>
          <w:szCs w:val="28"/>
        </w:rPr>
      </w:pPr>
      <w:r>
        <w:rPr>
          <w:rFonts w:hint="eastAsia" w:ascii="宋体" w:hAnsi="宋体"/>
          <w:sz w:val="28"/>
          <w:szCs w:val="28"/>
        </w:rPr>
        <w:t>5</w:t>
      </w:r>
      <w:r>
        <w:rPr>
          <w:rFonts w:ascii="宋体" w:hAnsi="宋体"/>
          <w:sz w:val="28"/>
          <w:szCs w:val="28"/>
        </w:rPr>
        <w:t>.</w:t>
      </w:r>
      <w:r>
        <w:rPr>
          <w:rFonts w:hint="eastAsia" w:ascii="宋体" w:hAnsi="宋体"/>
          <w:sz w:val="28"/>
          <w:szCs w:val="28"/>
        </w:rPr>
        <w:t>负责组织协调全面从严治党、党风廉政建设和反腐败宣传教育工作。</w:t>
      </w:r>
    </w:p>
    <w:p>
      <w:pPr>
        <w:spacing w:line="520" w:lineRule="exact"/>
        <w:ind w:firstLine="560" w:firstLineChars="200"/>
        <w:rPr>
          <w:rFonts w:ascii="宋体" w:hAnsi="宋体"/>
          <w:sz w:val="28"/>
          <w:szCs w:val="28"/>
        </w:rPr>
      </w:pPr>
      <w:r>
        <w:rPr>
          <w:rFonts w:hint="eastAsia" w:ascii="宋体" w:hAnsi="宋体"/>
          <w:sz w:val="28"/>
          <w:szCs w:val="28"/>
        </w:rPr>
        <w:t>6</w:t>
      </w:r>
      <w:r>
        <w:rPr>
          <w:rFonts w:ascii="宋体" w:hAnsi="宋体"/>
          <w:sz w:val="28"/>
          <w:szCs w:val="28"/>
        </w:rPr>
        <w:t>.</w:t>
      </w:r>
      <w:r>
        <w:rPr>
          <w:rFonts w:hint="eastAsia" w:ascii="宋体" w:hAnsi="宋体"/>
          <w:sz w:val="28"/>
          <w:szCs w:val="28"/>
        </w:rPr>
        <w:t>完成市纪委市监委和县委交办的其他任务。</w:t>
      </w:r>
    </w:p>
    <w:p>
      <w:pPr>
        <w:spacing w:line="520" w:lineRule="exact"/>
        <w:ind w:firstLine="560" w:firstLineChars="200"/>
        <w:rPr>
          <w:rFonts w:ascii="宋体" w:hAnsi="宋体"/>
          <w:color w:val="000000"/>
          <w:sz w:val="28"/>
          <w:szCs w:val="28"/>
        </w:rPr>
      </w:pPr>
      <w:r>
        <w:rPr>
          <w:rFonts w:hint="eastAsia" w:ascii="宋体" w:hAnsi="宋体"/>
          <w:color w:val="000000"/>
          <w:sz w:val="28"/>
          <w:szCs w:val="28"/>
        </w:rPr>
        <w:t>（三）人员编制情况</w:t>
      </w:r>
    </w:p>
    <w:p>
      <w:pPr>
        <w:spacing w:line="520" w:lineRule="exact"/>
        <w:ind w:firstLine="560" w:firstLineChars="200"/>
        <w:rPr>
          <w:rFonts w:ascii="宋体" w:hAnsi="宋体"/>
          <w:color w:val="000000"/>
          <w:sz w:val="28"/>
          <w:szCs w:val="28"/>
        </w:rPr>
      </w:pPr>
      <w:r>
        <w:rPr>
          <w:rFonts w:hint="eastAsia" w:ascii="宋体" w:hAnsi="宋体"/>
          <w:color w:val="000000"/>
          <w:sz w:val="28"/>
          <w:szCs w:val="28"/>
        </w:rPr>
        <w:t>我单位应有编制1</w:t>
      </w:r>
      <w:r>
        <w:rPr>
          <w:rFonts w:ascii="宋体" w:hAnsi="宋体"/>
          <w:color w:val="000000"/>
          <w:sz w:val="28"/>
          <w:szCs w:val="28"/>
        </w:rPr>
        <w:t>26</w:t>
      </w:r>
      <w:r>
        <w:rPr>
          <w:rFonts w:hint="eastAsia" w:ascii="宋体" w:hAnsi="宋体"/>
          <w:color w:val="000000"/>
          <w:sz w:val="28"/>
          <w:szCs w:val="28"/>
        </w:rPr>
        <w:t>人，2</w:t>
      </w:r>
      <w:r>
        <w:rPr>
          <w:rFonts w:ascii="宋体" w:hAnsi="宋体"/>
          <w:color w:val="000000"/>
          <w:sz w:val="28"/>
          <w:szCs w:val="28"/>
        </w:rPr>
        <w:t>019</w:t>
      </w:r>
      <w:r>
        <w:rPr>
          <w:rFonts w:hint="eastAsia" w:ascii="宋体" w:hAnsi="宋体"/>
          <w:color w:val="000000"/>
          <w:sz w:val="28"/>
          <w:szCs w:val="28"/>
        </w:rPr>
        <w:t>年年初在编在岗人员1</w:t>
      </w:r>
      <w:r>
        <w:rPr>
          <w:rFonts w:ascii="宋体" w:hAnsi="宋体"/>
          <w:color w:val="000000"/>
          <w:sz w:val="28"/>
          <w:szCs w:val="28"/>
        </w:rPr>
        <w:t>06</w:t>
      </w:r>
      <w:r>
        <w:rPr>
          <w:rFonts w:hint="eastAsia" w:ascii="宋体" w:hAnsi="宋体"/>
          <w:color w:val="000000"/>
          <w:sz w:val="28"/>
          <w:szCs w:val="28"/>
        </w:rPr>
        <w:t>人，2019年末在编在岗人员为</w:t>
      </w:r>
      <w:r>
        <w:rPr>
          <w:rFonts w:ascii="宋体" w:hAnsi="宋体"/>
          <w:color w:val="000000"/>
          <w:sz w:val="28"/>
          <w:szCs w:val="28"/>
        </w:rPr>
        <w:t>110</w:t>
      </w:r>
      <w:r>
        <w:rPr>
          <w:rFonts w:hint="eastAsia" w:ascii="宋体" w:hAnsi="宋体"/>
          <w:color w:val="000000"/>
          <w:sz w:val="28"/>
          <w:szCs w:val="28"/>
        </w:rPr>
        <w:t>人，其中行政编制</w:t>
      </w:r>
      <w:r>
        <w:rPr>
          <w:rFonts w:ascii="宋体" w:hAnsi="宋体"/>
          <w:color w:val="000000"/>
          <w:sz w:val="28"/>
          <w:szCs w:val="28"/>
        </w:rPr>
        <w:t>102</w:t>
      </w:r>
      <w:r>
        <w:rPr>
          <w:rFonts w:hint="eastAsia" w:ascii="宋体" w:hAnsi="宋体"/>
          <w:color w:val="000000"/>
          <w:sz w:val="28"/>
          <w:szCs w:val="28"/>
        </w:rPr>
        <w:t>人，事业编制</w:t>
      </w:r>
      <w:r>
        <w:rPr>
          <w:rFonts w:ascii="宋体" w:hAnsi="宋体"/>
          <w:color w:val="000000"/>
          <w:sz w:val="28"/>
          <w:szCs w:val="28"/>
        </w:rPr>
        <w:t>8</w:t>
      </w:r>
      <w:r>
        <w:rPr>
          <w:rFonts w:hint="eastAsia" w:ascii="宋体" w:hAnsi="宋体"/>
          <w:color w:val="000000"/>
          <w:sz w:val="28"/>
          <w:szCs w:val="28"/>
        </w:rPr>
        <w:t>人。</w:t>
      </w:r>
    </w:p>
    <w:p>
      <w:pPr>
        <w:spacing w:line="520" w:lineRule="exact"/>
        <w:ind w:firstLine="560" w:firstLineChars="200"/>
        <w:rPr>
          <w:rFonts w:ascii="宋体" w:hAnsi="宋体"/>
          <w:b/>
          <w:sz w:val="28"/>
          <w:szCs w:val="28"/>
        </w:rPr>
      </w:pPr>
      <w:r>
        <w:rPr>
          <w:rFonts w:hint="eastAsia" w:ascii="宋体" w:hAnsi="宋体"/>
          <w:b/>
          <w:sz w:val="28"/>
          <w:szCs w:val="28"/>
        </w:rPr>
        <w:t>二、部门整体支出管理及使用情况</w:t>
      </w:r>
    </w:p>
    <w:p>
      <w:pPr>
        <w:spacing w:line="520" w:lineRule="exact"/>
        <w:ind w:firstLine="560" w:firstLineChars="200"/>
        <w:rPr>
          <w:rFonts w:ascii="宋体" w:hAnsi="宋体"/>
          <w:color w:val="000000"/>
          <w:sz w:val="28"/>
          <w:szCs w:val="28"/>
        </w:rPr>
      </w:pPr>
      <w:r>
        <w:rPr>
          <w:rFonts w:hint="eastAsia" w:ascii="宋体" w:hAnsi="宋体"/>
          <w:color w:val="000000"/>
          <w:sz w:val="28"/>
          <w:szCs w:val="28"/>
        </w:rPr>
        <w:t>（一）部门预算收支情况</w:t>
      </w:r>
    </w:p>
    <w:p>
      <w:pPr>
        <w:spacing w:line="520" w:lineRule="exact"/>
        <w:ind w:firstLine="560" w:firstLineChars="200"/>
        <w:rPr>
          <w:rFonts w:ascii="宋体" w:hAnsi="宋体"/>
          <w:color w:val="000000"/>
          <w:sz w:val="28"/>
          <w:szCs w:val="28"/>
        </w:rPr>
      </w:pPr>
      <w:r>
        <w:rPr>
          <w:rFonts w:hint="eastAsia" w:ascii="宋体" w:hAnsi="宋体"/>
          <w:color w:val="000000"/>
          <w:sz w:val="28"/>
          <w:szCs w:val="28"/>
        </w:rPr>
        <w:t>我单位2019年各项支出预算批复经费包干数为</w:t>
      </w:r>
      <w:r>
        <w:rPr>
          <w:rFonts w:ascii="宋体" w:hAnsi="宋体"/>
          <w:color w:val="000000"/>
          <w:sz w:val="28"/>
          <w:szCs w:val="28"/>
        </w:rPr>
        <w:t>1303.73</w:t>
      </w:r>
      <w:r>
        <w:rPr>
          <w:rFonts w:hint="eastAsia" w:ascii="宋体" w:hAnsi="宋体"/>
          <w:color w:val="000000"/>
          <w:sz w:val="28"/>
          <w:szCs w:val="28"/>
        </w:rPr>
        <w:t>万元，其中工资福利支出</w:t>
      </w:r>
      <w:r>
        <w:rPr>
          <w:rFonts w:ascii="宋体" w:hAnsi="宋体"/>
          <w:color w:val="000000"/>
          <w:sz w:val="28"/>
          <w:szCs w:val="28"/>
        </w:rPr>
        <w:t>837.71</w:t>
      </w:r>
      <w:r>
        <w:rPr>
          <w:rFonts w:hint="eastAsia" w:ascii="宋体" w:hAnsi="宋体"/>
          <w:color w:val="000000"/>
          <w:sz w:val="28"/>
          <w:szCs w:val="28"/>
        </w:rPr>
        <w:t>万元，一般商品服务支出</w:t>
      </w:r>
      <w:r>
        <w:rPr>
          <w:rFonts w:ascii="宋体" w:hAnsi="宋体"/>
          <w:color w:val="000000"/>
          <w:sz w:val="28"/>
          <w:szCs w:val="28"/>
        </w:rPr>
        <w:t>252.00</w:t>
      </w:r>
      <w:r>
        <w:rPr>
          <w:rFonts w:hint="eastAsia" w:ascii="宋体" w:hAnsi="宋体"/>
          <w:color w:val="000000"/>
          <w:sz w:val="28"/>
          <w:szCs w:val="28"/>
        </w:rPr>
        <w:t>万元，对个人和家庭补助</w:t>
      </w:r>
      <w:r>
        <w:rPr>
          <w:rFonts w:ascii="宋体" w:hAnsi="宋体"/>
          <w:color w:val="000000"/>
          <w:sz w:val="28"/>
          <w:szCs w:val="28"/>
        </w:rPr>
        <w:t>1.02</w:t>
      </w:r>
      <w:r>
        <w:rPr>
          <w:rFonts w:hint="eastAsia" w:ascii="宋体" w:hAnsi="宋体"/>
          <w:color w:val="000000"/>
          <w:sz w:val="28"/>
          <w:szCs w:val="28"/>
        </w:rPr>
        <w:t>万元，专项经费</w:t>
      </w:r>
      <w:r>
        <w:rPr>
          <w:rFonts w:ascii="宋体" w:hAnsi="宋体"/>
          <w:color w:val="000000"/>
          <w:sz w:val="28"/>
          <w:szCs w:val="28"/>
        </w:rPr>
        <w:t>213.00</w:t>
      </w:r>
      <w:r>
        <w:rPr>
          <w:rFonts w:hint="eastAsia" w:ascii="宋体" w:hAnsi="宋体"/>
          <w:color w:val="000000"/>
          <w:sz w:val="28"/>
          <w:szCs w:val="28"/>
        </w:rPr>
        <w:t>万元。</w:t>
      </w:r>
    </w:p>
    <w:p>
      <w:pPr>
        <w:spacing w:line="520" w:lineRule="exact"/>
        <w:ind w:firstLine="560" w:firstLineChars="200"/>
        <w:rPr>
          <w:rFonts w:ascii="宋体" w:hAnsi="宋体"/>
          <w:color w:val="000000"/>
          <w:sz w:val="28"/>
          <w:szCs w:val="28"/>
        </w:rPr>
      </w:pPr>
      <w:r>
        <w:rPr>
          <w:rFonts w:hint="eastAsia" w:ascii="宋体" w:hAnsi="宋体"/>
          <w:color w:val="000000"/>
          <w:sz w:val="28"/>
          <w:szCs w:val="28"/>
        </w:rPr>
        <w:t>经财政部门调整预算，2019年部门收入决算数为</w:t>
      </w:r>
      <w:r>
        <w:rPr>
          <w:rFonts w:ascii="宋体" w:hAnsi="宋体"/>
          <w:color w:val="000000"/>
          <w:sz w:val="28"/>
          <w:szCs w:val="28"/>
        </w:rPr>
        <w:t>2603.34</w:t>
      </w:r>
      <w:r>
        <w:rPr>
          <w:rFonts w:hint="eastAsia" w:ascii="宋体" w:hAnsi="宋体"/>
          <w:color w:val="000000"/>
          <w:sz w:val="28"/>
          <w:szCs w:val="28"/>
        </w:rPr>
        <w:t>万元，支出决算数为2</w:t>
      </w:r>
      <w:r>
        <w:rPr>
          <w:rFonts w:ascii="宋体" w:hAnsi="宋体"/>
          <w:color w:val="000000"/>
          <w:sz w:val="28"/>
          <w:szCs w:val="28"/>
        </w:rPr>
        <w:t>532.27</w:t>
      </w:r>
      <w:r>
        <w:rPr>
          <w:rFonts w:hint="eastAsia" w:ascii="MS Gothic" w:hAnsi="MS Gothic" w:eastAsia="MS Gothic" w:cs="MS Gothic"/>
          <w:color w:val="000000"/>
          <w:sz w:val="28"/>
          <w:szCs w:val="28"/>
        </w:rPr>
        <w:t>‬</w:t>
      </w:r>
      <w:r>
        <w:rPr>
          <w:rFonts w:hint="eastAsia" w:ascii="宋体" w:hAnsi="宋体"/>
          <w:color w:val="000000"/>
          <w:sz w:val="28"/>
          <w:szCs w:val="28"/>
        </w:rPr>
        <w:t>万元，当年预算结转为</w:t>
      </w:r>
      <w:r>
        <w:rPr>
          <w:rFonts w:ascii="宋体" w:hAnsi="宋体"/>
          <w:color w:val="000000"/>
          <w:sz w:val="28"/>
          <w:szCs w:val="28"/>
        </w:rPr>
        <w:t>71.07</w:t>
      </w:r>
      <w:r>
        <w:rPr>
          <w:rFonts w:hint="eastAsia" w:ascii="宋体" w:hAnsi="宋体"/>
          <w:color w:val="000000"/>
          <w:sz w:val="28"/>
          <w:szCs w:val="28"/>
        </w:rPr>
        <w:t>万元（支出下移）。</w:t>
      </w:r>
    </w:p>
    <w:p>
      <w:pPr>
        <w:spacing w:line="520" w:lineRule="exact"/>
        <w:ind w:firstLine="560" w:firstLineChars="200"/>
        <w:rPr>
          <w:rFonts w:ascii="宋体" w:hAnsi="宋体"/>
          <w:color w:val="000000"/>
          <w:sz w:val="28"/>
          <w:szCs w:val="28"/>
        </w:rPr>
      </w:pPr>
      <w:r>
        <w:rPr>
          <w:rFonts w:hint="eastAsia" w:ascii="宋体" w:hAnsi="宋体"/>
          <w:color w:val="000000"/>
          <w:sz w:val="28"/>
          <w:szCs w:val="28"/>
        </w:rPr>
        <w:t>（二）支出分类情况</w:t>
      </w:r>
    </w:p>
    <w:p>
      <w:pPr>
        <w:spacing w:line="520" w:lineRule="exact"/>
        <w:ind w:firstLine="560" w:firstLineChars="200"/>
        <w:rPr>
          <w:rFonts w:ascii="宋体" w:hAnsi="宋体"/>
          <w:color w:val="000000"/>
          <w:sz w:val="28"/>
          <w:szCs w:val="28"/>
        </w:rPr>
      </w:pPr>
      <w:r>
        <w:rPr>
          <w:rFonts w:hint="eastAsia" w:ascii="宋体" w:hAnsi="宋体"/>
          <w:color w:val="000000"/>
          <w:sz w:val="28"/>
          <w:szCs w:val="28"/>
        </w:rPr>
        <w:t>我单位基本支出范围和主要用途包括人员经费和日常公用经费，具体包括：工资福利支出、对个人和家庭的补助、一般商品和服务支出、资本性支出等。2019年度决算总支出2</w:t>
      </w:r>
      <w:r>
        <w:rPr>
          <w:rFonts w:ascii="宋体" w:hAnsi="宋体"/>
          <w:color w:val="000000"/>
          <w:sz w:val="28"/>
          <w:szCs w:val="28"/>
        </w:rPr>
        <w:t>532.27</w:t>
      </w:r>
      <w:r>
        <w:rPr>
          <w:rFonts w:hint="eastAsia" w:ascii="宋体" w:hAnsi="宋体"/>
          <w:color w:val="000000"/>
          <w:sz w:val="28"/>
          <w:szCs w:val="28"/>
        </w:rPr>
        <w:t>万元，基本支出的管理和使用情况如下：工资福利支出1</w:t>
      </w:r>
      <w:r>
        <w:rPr>
          <w:rFonts w:ascii="宋体" w:hAnsi="宋体"/>
          <w:color w:val="000000"/>
          <w:sz w:val="28"/>
          <w:szCs w:val="28"/>
        </w:rPr>
        <w:t>487.81</w:t>
      </w:r>
      <w:r>
        <w:rPr>
          <w:rFonts w:hint="eastAsia" w:ascii="宋体" w:hAnsi="宋体"/>
          <w:color w:val="000000"/>
          <w:sz w:val="28"/>
          <w:szCs w:val="28"/>
        </w:rPr>
        <w:t>万元、对个人和家庭的补助2</w:t>
      </w:r>
      <w:r>
        <w:rPr>
          <w:rFonts w:ascii="宋体" w:hAnsi="宋体"/>
          <w:color w:val="000000"/>
          <w:sz w:val="28"/>
          <w:szCs w:val="28"/>
        </w:rPr>
        <w:t>1.13</w:t>
      </w:r>
      <w:r>
        <w:rPr>
          <w:rFonts w:hint="eastAsia" w:ascii="宋体" w:hAnsi="宋体"/>
          <w:color w:val="000000"/>
          <w:sz w:val="28"/>
          <w:szCs w:val="28"/>
        </w:rPr>
        <w:t>万元、一般商品和服务支出6</w:t>
      </w:r>
      <w:r>
        <w:rPr>
          <w:rFonts w:ascii="宋体" w:hAnsi="宋体"/>
          <w:color w:val="000000"/>
          <w:sz w:val="28"/>
          <w:szCs w:val="28"/>
        </w:rPr>
        <w:t>89.77</w:t>
      </w:r>
      <w:r>
        <w:rPr>
          <w:rFonts w:hint="eastAsia" w:ascii="宋体" w:hAnsi="宋体"/>
          <w:color w:val="000000"/>
          <w:sz w:val="28"/>
          <w:szCs w:val="28"/>
        </w:rPr>
        <w:t>万元、资本性支出3</w:t>
      </w:r>
      <w:r>
        <w:rPr>
          <w:rFonts w:ascii="宋体" w:hAnsi="宋体"/>
          <w:color w:val="000000"/>
          <w:sz w:val="28"/>
          <w:szCs w:val="28"/>
        </w:rPr>
        <w:t>33.56</w:t>
      </w:r>
      <w:r>
        <w:rPr>
          <w:rFonts w:hint="eastAsia" w:ascii="宋体" w:hAnsi="宋体"/>
          <w:color w:val="000000"/>
          <w:sz w:val="28"/>
          <w:szCs w:val="28"/>
        </w:rPr>
        <w:t>万元。</w:t>
      </w:r>
    </w:p>
    <w:p>
      <w:pPr>
        <w:spacing w:line="520" w:lineRule="exact"/>
        <w:ind w:firstLine="560" w:firstLineChars="200"/>
        <w:rPr>
          <w:rFonts w:ascii="宋体" w:hAnsi="宋体"/>
          <w:color w:val="000000"/>
          <w:sz w:val="28"/>
          <w:szCs w:val="28"/>
        </w:rPr>
      </w:pPr>
      <w:r>
        <w:rPr>
          <w:rFonts w:hint="eastAsia" w:ascii="宋体" w:hAnsi="宋体"/>
          <w:color w:val="000000"/>
          <w:sz w:val="28"/>
          <w:szCs w:val="28"/>
        </w:rPr>
        <w:t>（三）“三公”经费情况</w:t>
      </w:r>
    </w:p>
    <w:p>
      <w:pPr>
        <w:spacing w:line="520" w:lineRule="exact"/>
        <w:ind w:firstLine="560" w:firstLineChars="200"/>
        <w:rPr>
          <w:rFonts w:ascii="宋体" w:hAnsi="宋体"/>
          <w:color w:val="000000"/>
          <w:sz w:val="28"/>
          <w:szCs w:val="28"/>
        </w:rPr>
      </w:pPr>
      <w:r>
        <w:rPr>
          <w:rFonts w:hint="eastAsia" w:ascii="宋体" w:hAnsi="宋体"/>
          <w:color w:val="000000"/>
          <w:sz w:val="28"/>
          <w:szCs w:val="28"/>
        </w:rPr>
        <w:t>我委2019年我单位“三公”经费预算控制数为</w:t>
      </w:r>
      <w:r>
        <w:rPr>
          <w:rFonts w:ascii="宋体" w:hAnsi="宋体"/>
          <w:color w:val="000000"/>
          <w:sz w:val="28"/>
          <w:szCs w:val="28"/>
        </w:rPr>
        <w:t>31.00</w:t>
      </w:r>
      <w:r>
        <w:rPr>
          <w:rFonts w:hint="eastAsia" w:ascii="宋体" w:hAnsi="宋体"/>
          <w:color w:val="000000"/>
          <w:sz w:val="28"/>
          <w:szCs w:val="28"/>
        </w:rPr>
        <w:t>万元，其中因公出国（境）费为0元，公务用车购置及运行维护费为</w:t>
      </w:r>
      <w:r>
        <w:rPr>
          <w:rFonts w:ascii="宋体" w:hAnsi="宋体"/>
          <w:color w:val="000000"/>
          <w:sz w:val="28"/>
          <w:szCs w:val="28"/>
        </w:rPr>
        <w:t>21</w:t>
      </w:r>
      <w:r>
        <w:rPr>
          <w:rFonts w:hint="eastAsia" w:ascii="宋体" w:hAnsi="宋体"/>
          <w:color w:val="000000"/>
          <w:sz w:val="28"/>
          <w:szCs w:val="28"/>
        </w:rPr>
        <w:t>万元，公务接待费预算为</w:t>
      </w:r>
      <w:r>
        <w:rPr>
          <w:rFonts w:ascii="宋体" w:hAnsi="宋体"/>
          <w:color w:val="000000"/>
          <w:sz w:val="28"/>
          <w:szCs w:val="28"/>
        </w:rPr>
        <w:t>10</w:t>
      </w:r>
      <w:r>
        <w:rPr>
          <w:rFonts w:hint="eastAsia" w:ascii="宋体" w:hAnsi="宋体"/>
          <w:color w:val="000000"/>
          <w:sz w:val="28"/>
          <w:szCs w:val="28"/>
        </w:rPr>
        <w:t>万元。2019年实际支出1</w:t>
      </w:r>
      <w:r>
        <w:rPr>
          <w:rFonts w:ascii="宋体" w:hAnsi="宋体"/>
          <w:color w:val="000000"/>
          <w:sz w:val="28"/>
          <w:szCs w:val="28"/>
        </w:rPr>
        <w:t>5.06</w:t>
      </w:r>
      <w:r>
        <w:rPr>
          <w:rFonts w:hint="eastAsia" w:ascii="宋体" w:hAnsi="宋体"/>
          <w:color w:val="000000"/>
          <w:sz w:val="28"/>
          <w:szCs w:val="28"/>
        </w:rPr>
        <w:t>万元，均控制在预算范围内，其中：因公出国（境）费为0元，公务用车运行维护费为1</w:t>
      </w:r>
      <w:r>
        <w:rPr>
          <w:rFonts w:ascii="宋体" w:hAnsi="宋体"/>
          <w:color w:val="000000"/>
          <w:sz w:val="28"/>
          <w:szCs w:val="28"/>
        </w:rPr>
        <w:t>4.01</w:t>
      </w:r>
      <w:r>
        <w:rPr>
          <w:rFonts w:hint="eastAsia" w:ascii="宋体" w:hAnsi="宋体"/>
          <w:color w:val="000000"/>
          <w:sz w:val="28"/>
          <w:szCs w:val="28"/>
        </w:rPr>
        <w:t>元，公务接待费支出为</w:t>
      </w:r>
      <w:r>
        <w:rPr>
          <w:rFonts w:ascii="宋体" w:hAnsi="宋体"/>
          <w:color w:val="000000"/>
          <w:sz w:val="28"/>
          <w:szCs w:val="28"/>
        </w:rPr>
        <w:t>1.05</w:t>
      </w:r>
      <w:r>
        <w:rPr>
          <w:rFonts w:hint="eastAsia" w:ascii="宋体" w:hAnsi="宋体"/>
          <w:color w:val="000000"/>
          <w:sz w:val="28"/>
          <w:szCs w:val="28"/>
        </w:rPr>
        <w:t>万元。</w:t>
      </w:r>
    </w:p>
    <w:p>
      <w:pPr>
        <w:spacing w:line="520" w:lineRule="exact"/>
        <w:ind w:firstLine="560" w:firstLineChars="200"/>
        <w:rPr>
          <w:rFonts w:ascii="宋体" w:hAnsi="宋体"/>
          <w:b/>
          <w:sz w:val="28"/>
          <w:szCs w:val="28"/>
        </w:rPr>
      </w:pPr>
      <w:r>
        <w:rPr>
          <w:rFonts w:hint="eastAsia" w:ascii="宋体" w:hAnsi="宋体"/>
          <w:b/>
          <w:sz w:val="28"/>
          <w:szCs w:val="28"/>
        </w:rPr>
        <w:t>三、部门整体支出绩效评价情况</w:t>
      </w:r>
    </w:p>
    <w:p>
      <w:pPr>
        <w:spacing w:line="520" w:lineRule="exact"/>
        <w:ind w:firstLine="560" w:firstLineChars="200"/>
        <w:rPr>
          <w:rFonts w:ascii="宋体" w:hAnsi="宋体"/>
          <w:color w:val="000000"/>
          <w:sz w:val="28"/>
          <w:szCs w:val="28"/>
        </w:rPr>
      </w:pPr>
      <w:r>
        <w:rPr>
          <w:rFonts w:hint="eastAsia" w:ascii="宋体" w:hAnsi="宋体"/>
          <w:color w:val="000000"/>
          <w:sz w:val="28"/>
          <w:szCs w:val="28"/>
        </w:rPr>
        <w:t>（一）绩效目标设定：年初制定本部门绩效目标考核办法，与部门履职挂钩，对考核指标进行了具体细化，分到各内设科室及派驻纪检组。</w:t>
      </w:r>
    </w:p>
    <w:p>
      <w:pPr>
        <w:spacing w:line="520" w:lineRule="exact"/>
        <w:ind w:firstLine="560" w:firstLineChars="200"/>
        <w:rPr>
          <w:rFonts w:ascii="宋体" w:hAnsi="宋体"/>
          <w:color w:val="000000"/>
          <w:sz w:val="28"/>
          <w:szCs w:val="28"/>
        </w:rPr>
      </w:pPr>
      <w:r>
        <w:rPr>
          <w:rFonts w:hint="eastAsia" w:ascii="宋体" w:hAnsi="宋体"/>
          <w:color w:val="000000"/>
          <w:sz w:val="28"/>
          <w:szCs w:val="28"/>
        </w:rPr>
        <w:t>（二）预算配置：2019年实际在职人数（</w:t>
      </w:r>
      <w:r>
        <w:rPr>
          <w:rFonts w:ascii="宋体" w:hAnsi="宋体"/>
          <w:color w:val="000000"/>
          <w:sz w:val="28"/>
          <w:szCs w:val="28"/>
        </w:rPr>
        <w:t>110</w:t>
      </w:r>
      <w:r>
        <w:rPr>
          <w:rFonts w:hint="eastAsia" w:ascii="宋体" w:hAnsi="宋体"/>
          <w:color w:val="000000"/>
          <w:sz w:val="28"/>
          <w:szCs w:val="28"/>
        </w:rPr>
        <w:t>人），未超出编制人数（1</w:t>
      </w:r>
      <w:r>
        <w:rPr>
          <w:rFonts w:ascii="宋体" w:hAnsi="宋体"/>
          <w:color w:val="000000"/>
          <w:sz w:val="28"/>
          <w:szCs w:val="28"/>
        </w:rPr>
        <w:t>26</w:t>
      </w:r>
      <w:r>
        <w:rPr>
          <w:rFonts w:hint="eastAsia" w:ascii="宋体" w:hAnsi="宋体"/>
          <w:color w:val="000000"/>
          <w:sz w:val="28"/>
          <w:szCs w:val="28"/>
        </w:rPr>
        <w:t>人）；严控“三公经费”开支,“三公”均未超出预算范围。</w:t>
      </w:r>
    </w:p>
    <w:p>
      <w:pPr>
        <w:spacing w:line="520" w:lineRule="exact"/>
        <w:ind w:firstLine="560" w:firstLineChars="200"/>
        <w:rPr>
          <w:rFonts w:ascii="宋体" w:hAnsi="宋体"/>
          <w:color w:val="000000"/>
          <w:sz w:val="28"/>
          <w:szCs w:val="28"/>
        </w:rPr>
      </w:pPr>
      <w:r>
        <w:rPr>
          <w:rFonts w:hint="eastAsia" w:ascii="宋体" w:hAnsi="宋体"/>
          <w:color w:val="000000"/>
          <w:sz w:val="28"/>
          <w:szCs w:val="28"/>
        </w:rPr>
        <w:t>（三）预算管理：为进一步加强部门预算管理，制定了县纪委部门预算管理和财务管理制度，坚持厉行节约，严格控制支出，建立健全财务管理制度，对各项资金的使用严把审核审批监督关，重大开支实行纪委常委会议研究决定，确保各项开支严格符合国家财经纪律要求。</w:t>
      </w:r>
    </w:p>
    <w:p>
      <w:pPr>
        <w:spacing w:line="520" w:lineRule="exact"/>
        <w:ind w:firstLine="560" w:firstLineChars="200"/>
        <w:rPr>
          <w:rFonts w:ascii="宋体" w:hAnsi="宋体"/>
          <w:b/>
          <w:sz w:val="28"/>
          <w:szCs w:val="28"/>
        </w:rPr>
      </w:pPr>
      <w:r>
        <w:rPr>
          <w:rFonts w:hint="eastAsia" w:ascii="宋体" w:hAnsi="宋体"/>
          <w:b/>
          <w:sz w:val="28"/>
          <w:szCs w:val="28"/>
        </w:rPr>
        <w:t>四、存在的问题</w:t>
      </w:r>
    </w:p>
    <w:p>
      <w:pPr>
        <w:spacing w:line="520" w:lineRule="exact"/>
        <w:ind w:firstLine="560" w:firstLineChars="200"/>
        <w:rPr>
          <w:rFonts w:ascii="宋体" w:hAnsi="宋体"/>
          <w:color w:val="000000"/>
          <w:sz w:val="28"/>
          <w:szCs w:val="28"/>
        </w:rPr>
      </w:pPr>
      <w:r>
        <w:rPr>
          <w:rFonts w:hint="eastAsia" w:ascii="宋体" w:hAnsi="宋体"/>
          <w:color w:val="000000"/>
          <w:sz w:val="28"/>
          <w:szCs w:val="28"/>
        </w:rPr>
        <w:t>2019年纪委监委因体制改革及纪委监委职能的扩大，人员经费和日常公用经费大幅增加，且未纳入年初预算，另外还有部分不可预计经费的追加，导致预算执行存在偏差。一方面人员经费缺口大，主要体现为：社保经费、住房公积金等职工福利经费财政预算严重不足。另一方面公用经费支出项目增多，且具有不确定性，财政预算追加不足，更不能全额保障。</w:t>
      </w:r>
    </w:p>
    <w:p>
      <w:pPr>
        <w:spacing w:line="520" w:lineRule="exact"/>
        <w:ind w:firstLine="560" w:firstLineChars="200"/>
        <w:rPr>
          <w:rFonts w:ascii="宋体" w:hAnsi="宋体"/>
          <w:b/>
          <w:sz w:val="28"/>
          <w:szCs w:val="28"/>
        </w:rPr>
      </w:pPr>
      <w:r>
        <w:rPr>
          <w:rFonts w:hint="eastAsia" w:ascii="宋体" w:hAnsi="宋体"/>
          <w:b/>
          <w:sz w:val="28"/>
          <w:szCs w:val="28"/>
        </w:rPr>
        <w:t>五、改进措施和建议</w:t>
      </w:r>
    </w:p>
    <w:p>
      <w:pPr>
        <w:spacing w:line="520" w:lineRule="exact"/>
        <w:ind w:firstLine="560" w:firstLineChars="200"/>
        <w:rPr>
          <w:rFonts w:ascii="宋体" w:hAnsi="宋体"/>
          <w:color w:val="000000"/>
          <w:sz w:val="28"/>
          <w:szCs w:val="28"/>
        </w:rPr>
      </w:pPr>
      <w:r>
        <w:rPr>
          <w:rFonts w:hint="eastAsia" w:ascii="宋体" w:hAnsi="宋体"/>
          <w:color w:val="000000"/>
          <w:sz w:val="28"/>
          <w:szCs w:val="28"/>
        </w:rPr>
        <w:t>（一）细化预算编制工作，认真做好预算的编制。本着“勤俭节约、保障运转”的原则进行预算的编制。</w:t>
      </w:r>
    </w:p>
    <w:p>
      <w:pPr>
        <w:spacing w:line="520" w:lineRule="exact"/>
        <w:ind w:firstLine="560" w:firstLineChars="200"/>
        <w:rPr>
          <w:rFonts w:ascii="宋体" w:hAnsi="宋体"/>
          <w:color w:val="000000"/>
          <w:sz w:val="28"/>
          <w:szCs w:val="28"/>
        </w:rPr>
      </w:pPr>
      <w:r>
        <w:rPr>
          <w:rFonts w:hint="eastAsia" w:ascii="宋体" w:hAnsi="宋体"/>
          <w:color w:val="000000"/>
          <w:sz w:val="28"/>
          <w:szCs w:val="28"/>
        </w:rPr>
        <w:t>（二）加强财务管理，严格财务审核，提高财务的精细化管理。</w:t>
      </w:r>
    </w:p>
    <w:p>
      <w:pPr>
        <w:spacing w:line="520" w:lineRule="exact"/>
        <w:ind w:firstLine="560" w:firstLineChars="200"/>
        <w:rPr>
          <w:rFonts w:ascii="宋体" w:hAnsi="宋体"/>
          <w:color w:val="000000"/>
          <w:sz w:val="28"/>
          <w:szCs w:val="28"/>
        </w:rPr>
      </w:pPr>
      <w:r>
        <w:rPr>
          <w:rFonts w:hint="eastAsia" w:ascii="宋体" w:hAnsi="宋体"/>
          <w:color w:val="000000"/>
          <w:sz w:val="28"/>
          <w:szCs w:val="28"/>
        </w:rPr>
        <w:t>（三）严控三公经费支出，严格控制规模和比例、审核审批流程，进一步细化三公经费的管理，压缩“三公”经费支出。</w:t>
      </w:r>
    </w:p>
    <w:p>
      <w:pPr>
        <w:spacing w:line="520" w:lineRule="exact"/>
        <w:ind w:right="480" w:firstLine="560" w:firstLineChars="200"/>
        <w:rPr>
          <w:rFonts w:ascii="宋体" w:hAnsi="宋体"/>
          <w:sz w:val="28"/>
          <w:szCs w:val="28"/>
        </w:rPr>
      </w:pPr>
    </w:p>
    <w:p>
      <w:pPr>
        <w:wordWrap w:val="0"/>
        <w:spacing w:line="520" w:lineRule="exact"/>
        <w:ind w:right="509" w:firstLine="560" w:firstLineChars="200"/>
        <w:jc w:val="right"/>
        <w:rPr>
          <w:rFonts w:ascii="宋体" w:hAnsi="宋体"/>
          <w:sz w:val="28"/>
          <w:szCs w:val="28"/>
        </w:rPr>
      </w:pPr>
      <w:r>
        <w:rPr>
          <w:rFonts w:hint="eastAsia" w:ascii="宋体" w:hAnsi="宋体"/>
          <w:sz w:val="28"/>
          <w:szCs w:val="28"/>
        </w:rPr>
        <w:t xml:space="preserve">中共衡南县纪委 </w:t>
      </w:r>
    </w:p>
    <w:p>
      <w:pPr>
        <w:spacing w:line="520" w:lineRule="exact"/>
        <w:ind w:right="509" w:firstLine="560" w:firstLineChars="200"/>
        <w:jc w:val="right"/>
        <w:rPr>
          <w:rFonts w:ascii="宋体" w:hAnsi="宋体"/>
          <w:sz w:val="28"/>
          <w:szCs w:val="28"/>
        </w:rPr>
      </w:pPr>
      <w:r>
        <w:rPr>
          <w:rFonts w:hint="eastAsia" w:ascii="宋体" w:hAnsi="宋体"/>
          <w:sz w:val="28"/>
          <w:szCs w:val="28"/>
        </w:rPr>
        <w:t>2020年</w:t>
      </w:r>
      <w:r>
        <w:rPr>
          <w:rFonts w:ascii="宋体" w:hAnsi="宋体"/>
          <w:sz w:val="28"/>
          <w:szCs w:val="28"/>
        </w:rPr>
        <w:t>6</w:t>
      </w:r>
      <w:r>
        <w:rPr>
          <w:rFonts w:hint="eastAsia" w:ascii="宋体" w:hAnsi="宋体"/>
          <w:sz w:val="28"/>
          <w:szCs w:val="28"/>
        </w:rPr>
        <w:t>月</w:t>
      </w:r>
      <w:r>
        <w:rPr>
          <w:rFonts w:ascii="宋体" w:hAnsi="宋体"/>
          <w:sz w:val="28"/>
          <w:szCs w:val="28"/>
        </w:rPr>
        <w:t>21</w:t>
      </w:r>
      <w:r>
        <w:rPr>
          <w:rFonts w:hint="eastAsia" w:ascii="宋体" w:hAnsi="宋体"/>
          <w:sz w:val="28"/>
          <w:szCs w:val="28"/>
        </w:rPr>
        <w:t>日</w:t>
      </w:r>
    </w:p>
    <w:p>
      <w:pPr>
        <w:widowControl/>
        <w:shd w:val="clear" w:color="auto" w:fill="FFFFFF"/>
        <w:snapToGrid w:val="0"/>
        <w:spacing w:line="360" w:lineRule="auto"/>
        <w:ind w:firstLine="700" w:firstLineChars="250"/>
        <w:jc w:val="left"/>
        <w:rPr>
          <w:rFonts w:asciiTheme="minorEastAsia" w:hAnsiTheme="minorEastAsia"/>
          <w:sz w:val="28"/>
          <w:szCs w:val="28"/>
        </w:rPr>
      </w:pPr>
    </w:p>
    <w:sectPr>
      <w:pgSz w:w="11906" w:h="16838"/>
      <w:pgMar w:top="1134" w:right="1134" w:bottom="1134" w:left="1134"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ongolian Baiti">
    <w:panose1 w:val="03000500000000000000"/>
    <w:charset w:val="00"/>
    <w:family w:val="script"/>
    <w:pitch w:val="default"/>
    <w:sig w:usb0="80000023" w:usb1="00000000" w:usb2="00020000" w:usb3="00000000" w:csb0="00000001" w:csb1="00000000"/>
  </w:font>
  <w:font w:name="仿宋_GB2312">
    <w:altName w:val="仿宋"/>
    <w:panose1 w:val="02010609030101010101"/>
    <w:charset w:val="86"/>
    <w:family w:val="modern"/>
    <w:pitch w:val="default"/>
    <w:sig w:usb0="00000000" w:usb1="00000000" w:usb2="00000010" w:usb3="00000000" w:csb0="00040000" w:csb1="00000000"/>
  </w:font>
  <w:font w:name="MS Gothic">
    <w:panose1 w:val="020B0609070205080204"/>
    <w:charset w:val="80"/>
    <w:family w:val="modern"/>
    <w:pitch w:val="default"/>
    <w:sig w:usb0="E00002FF" w:usb1="6AC7FDFB" w:usb2="08000012" w:usb3="00000000" w:csb0="4002009F" w:csb1="DFD7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06F9"/>
    <w:rsid w:val="0000676E"/>
    <w:rsid w:val="00013ADB"/>
    <w:rsid w:val="0001657F"/>
    <w:rsid w:val="0002229B"/>
    <w:rsid w:val="000273BD"/>
    <w:rsid w:val="000415B7"/>
    <w:rsid w:val="000435EE"/>
    <w:rsid w:val="00046640"/>
    <w:rsid w:val="000471C1"/>
    <w:rsid w:val="0005601E"/>
    <w:rsid w:val="00060BE4"/>
    <w:rsid w:val="00062CF3"/>
    <w:rsid w:val="000658A3"/>
    <w:rsid w:val="00073CDB"/>
    <w:rsid w:val="00074155"/>
    <w:rsid w:val="00084F8D"/>
    <w:rsid w:val="000872E9"/>
    <w:rsid w:val="0009252D"/>
    <w:rsid w:val="000A0C1B"/>
    <w:rsid w:val="000A3F69"/>
    <w:rsid w:val="000B0698"/>
    <w:rsid w:val="000B2D06"/>
    <w:rsid w:val="000B630E"/>
    <w:rsid w:val="000C3269"/>
    <w:rsid w:val="000C38FA"/>
    <w:rsid w:val="000D1436"/>
    <w:rsid w:val="000D373C"/>
    <w:rsid w:val="000D4A65"/>
    <w:rsid w:val="000E0256"/>
    <w:rsid w:val="000E4632"/>
    <w:rsid w:val="000E5C00"/>
    <w:rsid w:val="000F5EF4"/>
    <w:rsid w:val="001038CD"/>
    <w:rsid w:val="001070A4"/>
    <w:rsid w:val="0011644D"/>
    <w:rsid w:val="00133910"/>
    <w:rsid w:val="00133A50"/>
    <w:rsid w:val="00133A9B"/>
    <w:rsid w:val="00141FD6"/>
    <w:rsid w:val="001434C3"/>
    <w:rsid w:val="00150AEE"/>
    <w:rsid w:val="0015257D"/>
    <w:rsid w:val="00152C6D"/>
    <w:rsid w:val="00157837"/>
    <w:rsid w:val="00162D39"/>
    <w:rsid w:val="00180285"/>
    <w:rsid w:val="001A1EEF"/>
    <w:rsid w:val="001A42EB"/>
    <w:rsid w:val="001A67DB"/>
    <w:rsid w:val="001B3B99"/>
    <w:rsid w:val="001C4524"/>
    <w:rsid w:val="001D51E5"/>
    <w:rsid w:val="001D5C57"/>
    <w:rsid w:val="001D6D48"/>
    <w:rsid w:val="001D78BB"/>
    <w:rsid w:val="001E3E6B"/>
    <w:rsid w:val="001E7C57"/>
    <w:rsid w:val="001F0C3B"/>
    <w:rsid w:val="001F6D77"/>
    <w:rsid w:val="00212D88"/>
    <w:rsid w:val="00214427"/>
    <w:rsid w:val="0022620C"/>
    <w:rsid w:val="00232801"/>
    <w:rsid w:val="0024469C"/>
    <w:rsid w:val="002454D1"/>
    <w:rsid w:val="00250F44"/>
    <w:rsid w:val="00253C02"/>
    <w:rsid w:val="00262D81"/>
    <w:rsid w:val="00265724"/>
    <w:rsid w:val="0027426B"/>
    <w:rsid w:val="00276B38"/>
    <w:rsid w:val="00276F5B"/>
    <w:rsid w:val="00290FF0"/>
    <w:rsid w:val="0029157F"/>
    <w:rsid w:val="002A051B"/>
    <w:rsid w:val="002C598A"/>
    <w:rsid w:val="002D7FC8"/>
    <w:rsid w:val="002E6565"/>
    <w:rsid w:val="00305646"/>
    <w:rsid w:val="0031671E"/>
    <w:rsid w:val="003229DA"/>
    <w:rsid w:val="003479BD"/>
    <w:rsid w:val="00353391"/>
    <w:rsid w:val="00366495"/>
    <w:rsid w:val="003768D5"/>
    <w:rsid w:val="00380A72"/>
    <w:rsid w:val="003872F0"/>
    <w:rsid w:val="003A1A19"/>
    <w:rsid w:val="003A4EE6"/>
    <w:rsid w:val="003B6D48"/>
    <w:rsid w:val="003C0AC2"/>
    <w:rsid w:val="003C10F2"/>
    <w:rsid w:val="003C1B8A"/>
    <w:rsid w:val="003C5F5E"/>
    <w:rsid w:val="003D30EC"/>
    <w:rsid w:val="003D3AEB"/>
    <w:rsid w:val="003D4121"/>
    <w:rsid w:val="003E0207"/>
    <w:rsid w:val="003E0E5D"/>
    <w:rsid w:val="003E18EE"/>
    <w:rsid w:val="003E5CF4"/>
    <w:rsid w:val="00411836"/>
    <w:rsid w:val="004152DE"/>
    <w:rsid w:val="00416339"/>
    <w:rsid w:val="0041778A"/>
    <w:rsid w:val="004232C3"/>
    <w:rsid w:val="00432D80"/>
    <w:rsid w:val="004506F9"/>
    <w:rsid w:val="00456EA1"/>
    <w:rsid w:val="0045726A"/>
    <w:rsid w:val="00457EA3"/>
    <w:rsid w:val="0046572E"/>
    <w:rsid w:val="004717A2"/>
    <w:rsid w:val="00476742"/>
    <w:rsid w:val="00483E2C"/>
    <w:rsid w:val="00491741"/>
    <w:rsid w:val="00492231"/>
    <w:rsid w:val="0049262C"/>
    <w:rsid w:val="004A133A"/>
    <w:rsid w:val="004A6226"/>
    <w:rsid w:val="004C4923"/>
    <w:rsid w:val="004E20B9"/>
    <w:rsid w:val="004F65A4"/>
    <w:rsid w:val="00500E5F"/>
    <w:rsid w:val="00504CBC"/>
    <w:rsid w:val="0051029B"/>
    <w:rsid w:val="005104E4"/>
    <w:rsid w:val="00510891"/>
    <w:rsid w:val="005122EF"/>
    <w:rsid w:val="00514F89"/>
    <w:rsid w:val="00517C33"/>
    <w:rsid w:val="00520C96"/>
    <w:rsid w:val="00522612"/>
    <w:rsid w:val="00523644"/>
    <w:rsid w:val="00526008"/>
    <w:rsid w:val="0054069E"/>
    <w:rsid w:val="00543331"/>
    <w:rsid w:val="00555E56"/>
    <w:rsid w:val="005767CC"/>
    <w:rsid w:val="00584697"/>
    <w:rsid w:val="005872E8"/>
    <w:rsid w:val="005874DE"/>
    <w:rsid w:val="0059098C"/>
    <w:rsid w:val="00590D9F"/>
    <w:rsid w:val="00595D26"/>
    <w:rsid w:val="00596B71"/>
    <w:rsid w:val="005A3CE2"/>
    <w:rsid w:val="005A74E6"/>
    <w:rsid w:val="005C2CA8"/>
    <w:rsid w:val="005D2AD3"/>
    <w:rsid w:val="005D3449"/>
    <w:rsid w:val="005D4D55"/>
    <w:rsid w:val="005E2CFB"/>
    <w:rsid w:val="005F280B"/>
    <w:rsid w:val="005F6B76"/>
    <w:rsid w:val="00601738"/>
    <w:rsid w:val="00602685"/>
    <w:rsid w:val="00606472"/>
    <w:rsid w:val="00612245"/>
    <w:rsid w:val="00622313"/>
    <w:rsid w:val="0062378F"/>
    <w:rsid w:val="006256CD"/>
    <w:rsid w:val="006266CA"/>
    <w:rsid w:val="006325A9"/>
    <w:rsid w:val="0063409A"/>
    <w:rsid w:val="00651EEC"/>
    <w:rsid w:val="00653C9E"/>
    <w:rsid w:val="00657D37"/>
    <w:rsid w:val="00660010"/>
    <w:rsid w:val="0066289B"/>
    <w:rsid w:val="00671140"/>
    <w:rsid w:val="00684370"/>
    <w:rsid w:val="0068651D"/>
    <w:rsid w:val="006949F1"/>
    <w:rsid w:val="006A351B"/>
    <w:rsid w:val="006B005A"/>
    <w:rsid w:val="006B0422"/>
    <w:rsid w:val="006B11BA"/>
    <w:rsid w:val="006B5B67"/>
    <w:rsid w:val="006B5EFE"/>
    <w:rsid w:val="006C1B53"/>
    <w:rsid w:val="006C3082"/>
    <w:rsid w:val="006C5B60"/>
    <w:rsid w:val="006C623B"/>
    <w:rsid w:val="006D05DA"/>
    <w:rsid w:val="006D1FB3"/>
    <w:rsid w:val="006D3565"/>
    <w:rsid w:val="006D7730"/>
    <w:rsid w:val="006E0D25"/>
    <w:rsid w:val="006E131A"/>
    <w:rsid w:val="006E3A91"/>
    <w:rsid w:val="006E5284"/>
    <w:rsid w:val="006E6BF0"/>
    <w:rsid w:val="006E70DB"/>
    <w:rsid w:val="006F3EB5"/>
    <w:rsid w:val="007026CD"/>
    <w:rsid w:val="00702E34"/>
    <w:rsid w:val="007031C3"/>
    <w:rsid w:val="00703FEC"/>
    <w:rsid w:val="00704395"/>
    <w:rsid w:val="00720F4B"/>
    <w:rsid w:val="00720FF1"/>
    <w:rsid w:val="007246E2"/>
    <w:rsid w:val="00730AF0"/>
    <w:rsid w:val="007642B9"/>
    <w:rsid w:val="007759E3"/>
    <w:rsid w:val="00796124"/>
    <w:rsid w:val="0079771D"/>
    <w:rsid w:val="007B20A6"/>
    <w:rsid w:val="007B2F2A"/>
    <w:rsid w:val="007B7B92"/>
    <w:rsid w:val="007C0562"/>
    <w:rsid w:val="007C3471"/>
    <w:rsid w:val="007C5CBC"/>
    <w:rsid w:val="007C74F3"/>
    <w:rsid w:val="007D1AF2"/>
    <w:rsid w:val="007D25DD"/>
    <w:rsid w:val="007D4CFD"/>
    <w:rsid w:val="007D78BA"/>
    <w:rsid w:val="007E2F3D"/>
    <w:rsid w:val="007E65C0"/>
    <w:rsid w:val="007E75C1"/>
    <w:rsid w:val="007F0D11"/>
    <w:rsid w:val="007F39E5"/>
    <w:rsid w:val="007F6D2E"/>
    <w:rsid w:val="00802BCD"/>
    <w:rsid w:val="00812ED5"/>
    <w:rsid w:val="00814629"/>
    <w:rsid w:val="00815F81"/>
    <w:rsid w:val="008277D9"/>
    <w:rsid w:val="00833F0B"/>
    <w:rsid w:val="008369E5"/>
    <w:rsid w:val="008505A5"/>
    <w:rsid w:val="00867BA9"/>
    <w:rsid w:val="00872D1E"/>
    <w:rsid w:val="00883735"/>
    <w:rsid w:val="008879F0"/>
    <w:rsid w:val="00890812"/>
    <w:rsid w:val="00893E22"/>
    <w:rsid w:val="008941F7"/>
    <w:rsid w:val="00894CD0"/>
    <w:rsid w:val="008A1333"/>
    <w:rsid w:val="008A3E8D"/>
    <w:rsid w:val="008A6394"/>
    <w:rsid w:val="008A68CD"/>
    <w:rsid w:val="008A7133"/>
    <w:rsid w:val="008C1348"/>
    <w:rsid w:val="008C1A0C"/>
    <w:rsid w:val="008C71C2"/>
    <w:rsid w:val="008E5E5D"/>
    <w:rsid w:val="008E7ACD"/>
    <w:rsid w:val="008F53B1"/>
    <w:rsid w:val="008F7C67"/>
    <w:rsid w:val="00901830"/>
    <w:rsid w:val="009065E6"/>
    <w:rsid w:val="00907633"/>
    <w:rsid w:val="00916529"/>
    <w:rsid w:val="00920D84"/>
    <w:rsid w:val="009210B0"/>
    <w:rsid w:val="009237C4"/>
    <w:rsid w:val="00925B8D"/>
    <w:rsid w:val="00927D14"/>
    <w:rsid w:val="00945203"/>
    <w:rsid w:val="00947416"/>
    <w:rsid w:val="00950252"/>
    <w:rsid w:val="00952155"/>
    <w:rsid w:val="00967F5D"/>
    <w:rsid w:val="009909BC"/>
    <w:rsid w:val="00991D4A"/>
    <w:rsid w:val="009A0F95"/>
    <w:rsid w:val="009B3ADF"/>
    <w:rsid w:val="009C3B52"/>
    <w:rsid w:val="009C7472"/>
    <w:rsid w:val="009D0337"/>
    <w:rsid w:val="009D1F1C"/>
    <w:rsid w:val="009D3013"/>
    <w:rsid w:val="009D3CE8"/>
    <w:rsid w:val="009D6BC3"/>
    <w:rsid w:val="009D73A5"/>
    <w:rsid w:val="009D7BEF"/>
    <w:rsid w:val="009E0765"/>
    <w:rsid w:val="00A06494"/>
    <w:rsid w:val="00A144A8"/>
    <w:rsid w:val="00A219B6"/>
    <w:rsid w:val="00A21C5C"/>
    <w:rsid w:val="00A24D43"/>
    <w:rsid w:val="00A3263F"/>
    <w:rsid w:val="00A33C27"/>
    <w:rsid w:val="00A3548E"/>
    <w:rsid w:val="00A35DD8"/>
    <w:rsid w:val="00A36543"/>
    <w:rsid w:val="00A37DAA"/>
    <w:rsid w:val="00A42218"/>
    <w:rsid w:val="00A50323"/>
    <w:rsid w:val="00A512EC"/>
    <w:rsid w:val="00A54DF6"/>
    <w:rsid w:val="00A66EAB"/>
    <w:rsid w:val="00A70249"/>
    <w:rsid w:val="00A73C9A"/>
    <w:rsid w:val="00A77AE5"/>
    <w:rsid w:val="00AA1AF8"/>
    <w:rsid w:val="00AA69AC"/>
    <w:rsid w:val="00AB340E"/>
    <w:rsid w:val="00AB46AD"/>
    <w:rsid w:val="00AC6C56"/>
    <w:rsid w:val="00AD4D42"/>
    <w:rsid w:val="00AD79FF"/>
    <w:rsid w:val="00AF3E2F"/>
    <w:rsid w:val="00B00A9E"/>
    <w:rsid w:val="00B025D5"/>
    <w:rsid w:val="00B02DF6"/>
    <w:rsid w:val="00B04F08"/>
    <w:rsid w:val="00B06D0B"/>
    <w:rsid w:val="00B11094"/>
    <w:rsid w:val="00B1126D"/>
    <w:rsid w:val="00B144E0"/>
    <w:rsid w:val="00B33BEA"/>
    <w:rsid w:val="00B36C9A"/>
    <w:rsid w:val="00B40618"/>
    <w:rsid w:val="00B41F52"/>
    <w:rsid w:val="00B45D6A"/>
    <w:rsid w:val="00B57C9F"/>
    <w:rsid w:val="00B6063D"/>
    <w:rsid w:val="00B665DE"/>
    <w:rsid w:val="00B71E81"/>
    <w:rsid w:val="00B757BE"/>
    <w:rsid w:val="00B845B3"/>
    <w:rsid w:val="00B85D8B"/>
    <w:rsid w:val="00B910BC"/>
    <w:rsid w:val="00BA78D0"/>
    <w:rsid w:val="00BB524F"/>
    <w:rsid w:val="00BB789A"/>
    <w:rsid w:val="00BD3842"/>
    <w:rsid w:val="00BE3674"/>
    <w:rsid w:val="00BE5112"/>
    <w:rsid w:val="00C2327B"/>
    <w:rsid w:val="00C25272"/>
    <w:rsid w:val="00C3049A"/>
    <w:rsid w:val="00C31B1E"/>
    <w:rsid w:val="00C40E00"/>
    <w:rsid w:val="00C43FE7"/>
    <w:rsid w:val="00C45110"/>
    <w:rsid w:val="00C47CDC"/>
    <w:rsid w:val="00C765DF"/>
    <w:rsid w:val="00C77645"/>
    <w:rsid w:val="00C840B5"/>
    <w:rsid w:val="00C870D5"/>
    <w:rsid w:val="00C87895"/>
    <w:rsid w:val="00C9028E"/>
    <w:rsid w:val="00C91D22"/>
    <w:rsid w:val="00CA49D2"/>
    <w:rsid w:val="00CB72E6"/>
    <w:rsid w:val="00CC2EE8"/>
    <w:rsid w:val="00CD6605"/>
    <w:rsid w:val="00CE04C3"/>
    <w:rsid w:val="00CE508A"/>
    <w:rsid w:val="00CE76A0"/>
    <w:rsid w:val="00CF0B63"/>
    <w:rsid w:val="00CF162E"/>
    <w:rsid w:val="00CF6185"/>
    <w:rsid w:val="00D026FC"/>
    <w:rsid w:val="00D07EC2"/>
    <w:rsid w:val="00D148C6"/>
    <w:rsid w:val="00D35D38"/>
    <w:rsid w:val="00D36013"/>
    <w:rsid w:val="00D36492"/>
    <w:rsid w:val="00D3744A"/>
    <w:rsid w:val="00D45DCD"/>
    <w:rsid w:val="00D47949"/>
    <w:rsid w:val="00D60B3D"/>
    <w:rsid w:val="00D625D7"/>
    <w:rsid w:val="00D830F6"/>
    <w:rsid w:val="00D9313E"/>
    <w:rsid w:val="00DA4F2D"/>
    <w:rsid w:val="00DB0E2D"/>
    <w:rsid w:val="00DB1A77"/>
    <w:rsid w:val="00DB38FC"/>
    <w:rsid w:val="00DC4DF9"/>
    <w:rsid w:val="00DC74D7"/>
    <w:rsid w:val="00DD06FF"/>
    <w:rsid w:val="00DD2DAC"/>
    <w:rsid w:val="00DD5FE9"/>
    <w:rsid w:val="00DD7022"/>
    <w:rsid w:val="00DE330A"/>
    <w:rsid w:val="00DF458A"/>
    <w:rsid w:val="00E00C7A"/>
    <w:rsid w:val="00E05244"/>
    <w:rsid w:val="00E1459E"/>
    <w:rsid w:val="00E252D9"/>
    <w:rsid w:val="00E26E10"/>
    <w:rsid w:val="00E31AA2"/>
    <w:rsid w:val="00E44C64"/>
    <w:rsid w:val="00E55B68"/>
    <w:rsid w:val="00E60E35"/>
    <w:rsid w:val="00E80788"/>
    <w:rsid w:val="00E81063"/>
    <w:rsid w:val="00E86B51"/>
    <w:rsid w:val="00E93539"/>
    <w:rsid w:val="00EB0934"/>
    <w:rsid w:val="00EC3693"/>
    <w:rsid w:val="00ED20C0"/>
    <w:rsid w:val="00ED5AB5"/>
    <w:rsid w:val="00EE12EA"/>
    <w:rsid w:val="00EE7F2F"/>
    <w:rsid w:val="00EF4C89"/>
    <w:rsid w:val="00EF7B99"/>
    <w:rsid w:val="00F129DC"/>
    <w:rsid w:val="00F1606A"/>
    <w:rsid w:val="00F22743"/>
    <w:rsid w:val="00F24C93"/>
    <w:rsid w:val="00F2673D"/>
    <w:rsid w:val="00F26750"/>
    <w:rsid w:val="00F30DAA"/>
    <w:rsid w:val="00F3630D"/>
    <w:rsid w:val="00F44A65"/>
    <w:rsid w:val="00F44AD6"/>
    <w:rsid w:val="00F57D66"/>
    <w:rsid w:val="00F61995"/>
    <w:rsid w:val="00F632A1"/>
    <w:rsid w:val="00F64A05"/>
    <w:rsid w:val="00F71EBE"/>
    <w:rsid w:val="00F73B2E"/>
    <w:rsid w:val="00F74360"/>
    <w:rsid w:val="00F76D3D"/>
    <w:rsid w:val="00F9126E"/>
    <w:rsid w:val="00FA0317"/>
    <w:rsid w:val="00FA4373"/>
    <w:rsid w:val="00FA5304"/>
    <w:rsid w:val="00FA7DE0"/>
    <w:rsid w:val="00FB0CF2"/>
    <w:rsid w:val="00FB462F"/>
    <w:rsid w:val="00FC038C"/>
    <w:rsid w:val="00FC3F7B"/>
    <w:rsid w:val="00FD6046"/>
    <w:rsid w:val="00FE16FA"/>
    <w:rsid w:val="00FE328A"/>
    <w:rsid w:val="00FE4AAB"/>
    <w:rsid w:val="00FE657B"/>
    <w:rsid w:val="03F36CA1"/>
    <w:rsid w:val="0A733E75"/>
    <w:rsid w:val="2A2C24F5"/>
    <w:rsid w:val="2BA279F0"/>
    <w:rsid w:val="362F47B9"/>
    <w:rsid w:val="39F81199"/>
    <w:rsid w:val="720109CB"/>
  </w:rsids>
  <m:mathPr>
    <m:mathFont m:val="Cambria Math"/>
    <m:brkBin m:val="before"/>
    <m:brkBinSub m:val="--"/>
    <m:smallFrac m:val="0"/>
    <m:dispDef/>
    <m:lMargin m:val="0"/>
    <m:rMargin m:val="0"/>
    <m:defJc m:val="centerGroup"/>
    <m:wrapIndent m:val="1440"/>
    <m:intLim m:val="subSup"/>
    <m:naryLim m:val="undOvr"/>
  </m:mathPr>
  <w:themeFontLang w:val="en-US" w:eastAsia="zh-CN" w:bidi="mn-Mong-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7">
    <w:name w:val="Normal Table"/>
    <w:semiHidden/>
    <w:unhideWhenUsed/>
    <w:uiPriority w:val="99"/>
    <w:tblPr>
      <w:tblLayout w:type="fixed"/>
      <w:tblCellMar>
        <w:top w:w="0" w:type="dxa"/>
        <w:left w:w="108" w:type="dxa"/>
        <w:bottom w:w="0" w:type="dxa"/>
        <w:right w:w="108" w:type="dxa"/>
      </w:tblCellMar>
    </w:tblPr>
  </w:style>
  <w:style w:type="paragraph" w:styleId="2">
    <w:name w:val="Balloon Text"/>
    <w:basedOn w:val="1"/>
    <w:link w:val="13"/>
    <w:semiHidden/>
    <w:unhideWhenUsed/>
    <w:uiPriority w:val="99"/>
    <w:rPr>
      <w:sz w:val="18"/>
      <w:szCs w:val="18"/>
    </w:rPr>
  </w:style>
  <w:style w:type="paragraph" w:styleId="3">
    <w:name w:val="footer"/>
    <w:basedOn w:val="1"/>
    <w:link w:val="10"/>
    <w:unhideWhenUsed/>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8">
    <w:name w:val="Table Grid"/>
    <w:basedOn w:val="7"/>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9">
    <w:name w:val="页眉 字符"/>
    <w:basedOn w:val="6"/>
    <w:link w:val="4"/>
    <w:qFormat/>
    <w:uiPriority w:val="99"/>
    <w:rPr>
      <w:sz w:val="18"/>
      <w:szCs w:val="18"/>
    </w:rPr>
  </w:style>
  <w:style w:type="character" w:customStyle="1" w:styleId="10">
    <w:name w:val="页脚 字符"/>
    <w:basedOn w:val="6"/>
    <w:link w:val="3"/>
    <w:uiPriority w:val="99"/>
    <w:rPr>
      <w:sz w:val="18"/>
      <w:szCs w:val="18"/>
    </w:rPr>
  </w:style>
  <w:style w:type="paragraph" w:customStyle="1" w:styleId="11">
    <w:name w:val="Default"/>
    <w:uiPriority w:val="0"/>
    <w:pPr>
      <w:widowControl w:val="0"/>
      <w:autoSpaceDE w:val="0"/>
      <w:autoSpaceDN w:val="0"/>
      <w:adjustRightInd w:val="0"/>
    </w:pPr>
    <w:rPr>
      <w:rFonts w:ascii="黑体" w:eastAsia="黑体" w:cs="黑体" w:hAnsiTheme="minorHAnsi"/>
      <w:color w:val="000000"/>
      <w:sz w:val="24"/>
      <w:szCs w:val="24"/>
      <w:lang w:val="en-US" w:eastAsia="zh-CN" w:bidi="ar-SA"/>
    </w:rPr>
  </w:style>
  <w:style w:type="paragraph" w:styleId="12">
    <w:name w:val="List Paragraph"/>
    <w:basedOn w:val="1"/>
    <w:qFormat/>
    <w:uiPriority w:val="34"/>
    <w:pPr>
      <w:ind w:firstLine="420" w:firstLineChars="200"/>
    </w:pPr>
  </w:style>
  <w:style w:type="character" w:customStyle="1" w:styleId="13">
    <w:name w:val="批注框文本 字符"/>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FB5D0C5-DCC0-4DC6-AF74-774303A554F3}">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18</Pages>
  <Words>1045</Words>
  <Characters>5960</Characters>
  <Lines>49</Lines>
  <Paragraphs>13</Paragraphs>
  <TotalTime>308</TotalTime>
  <ScaleCrop>false</ScaleCrop>
  <LinksUpToDate>false</LinksUpToDate>
  <CharactersWithSpaces>6992</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2020-09-30T07:35:00Z</dcterms:created>
  <dc:creator>李航 null</dc:creator>
  <cp:lastModifiedBy>xiemi</cp:lastModifiedBy>
  <cp:lastPrinted>2020-07-15T07:25:00Z</cp:lastPrinted>
  <dcterms:modified xsi:type="dcterms:W3CDTF">2021-06-23T02:46:02Z</dcterms:modified>
  <cp:revision>343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