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30" w:lineRule="atLeast"/>
        <w:jc w:val="center"/>
        <w:rPr>
          <w:rFonts w:ascii="黑体" w:hAnsi="黑体" w:eastAsia="黑体" w:cs="Arial"/>
          <w:b/>
          <w:bCs/>
          <w:sz w:val="32"/>
          <w:szCs w:val="32"/>
          <w:shd w:val="clear" w:color="auto" w:fill="F6F6F6"/>
        </w:rPr>
      </w:pPr>
      <w:r>
        <w:rPr>
          <w:rFonts w:hint="eastAsia" w:ascii="黑体" w:hAnsi="黑体" w:eastAsia="黑体" w:cs="Arial"/>
          <w:b/>
          <w:bCs/>
          <w:sz w:val="32"/>
          <w:szCs w:val="32"/>
          <w:shd w:val="clear" w:color="auto" w:fill="F6F6F6"/>
        </w:rPr>
        <w:t>衡南县气象局2020年预算公开编制说明</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p>
    <w:p>
      <w:pPr>
        <w:pStyle w:val="4"/>
        <w:widowControl/>
        <w:spacing w:beforeAutospacing="0" w:afterAutospacing="0" w:line="30" w:lineRule="atLeast"/>
        <w:jc w:val="both"/>
        <w:rPr>
          <w:rFonts w:hint="eastAsia" w:cs="Arial" w:asciiTheme="minorEastAsia" w:hAnsiTheme="minorEastAsia"/>
          <w:b/>
          <w:bCs/>
          <w:sz w:val="28"/>
          <w:szCs w:val="28"/>
          <w:shd w:val="clear" w:color="auto" w:fill="F6F6F6"/>
        </w:rPr>
      </w:pPr>
      <w:r>
        <w:rPr>
          <w:rFonts w:hint="eastAsia" w:cs="Arial" w:asciiTheme="minorEastAsia" w:hAnsiTheme="minorEastAsia"/>
          <w:b/>
          <w:bCs/>
          <w:sz w:val="28"/>
          <w:szCs w:val="28"/>
          <w:shd w:val="clear" w:color="auto" w:fill="F6F6F6"/>
        </w:rPr>
        <w:t>第一部分 2020年部门预算说明</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一、部门基本概况</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二、部门预算单位构成</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三、部门收支总体情况</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四、一般公共预算拨款支出</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五、政府性基金预算支出</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六、其他重要事项的情况说明</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七、名词解释</w:t>
      </w:r>
    </w:p>
    <w:p>
      <w:pPr>
        <w:pStyle w:val="4"/>
        <w:widowControl/>
        <w:spacing w:beforeAutospacing="0" w:afterAutospacing="0" w:line="30" w:lineRule="atLeast"/>
        <w:jc w:val="both"/>
        <w:rPr>
          <w:rFonts w:hint="eastAsia" w:cs="Arial" w:asciiTheme="minorEastAsia" w:hAnsiTheme="minorEastAsia"/>
          <w:b/>
          <w:bCs/>
          <w:sz w:val="28"/>
          <w:szCs w:val="28"/>
          <w:shd w:val="clear" w:color="auto" w:fill="F6F6F6"/>
        </w:rPr>
      </w:pPr>
      <w:r>
        <w:rPr>
          <w:rFonts w:hint="eastAsia" w:cs="Arial" w:asciiTheme="minorEastAsia" w:hAnsiTheme="minorEastAsia"/>
          <w:b/>
          <w:bCs/>
          <w:sz w:val="28"/>
          <w:szCs w:val="28"/>
          <w:shd w:val="clear" w:color="auto" w:fill="F6F6F6"/>
        </w:rPr>
        <w:t>第二部分 2020年部门预算表</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 部门收支总表</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 部门收入总表</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3、 部门支出总表</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4、 部门支出总表（分类）</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5、 支出分类（政府预算）</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6、 基本—工资福利</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7、 工资福利（政府预算）</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8、 基本—商品服务</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9、 商品服务（政府预算）</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10、 基本－个人家庭</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11、 个人家庭（政府预算）</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12、 财政拨款收支总表</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13、 一般预算支出表</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14、 一般预算基本支出</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15、 一般支出——工资福利</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16、 工资福利（政府预算）</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17、 一般支出——商品服务</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18、 商品服务（政府预算）</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19、 一般支出——个人家庭</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20、 个人家庭（政府预算）</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21、 经费拨款</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22、 经费拨款（政府预算）</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23、 政府基金</w:t>
      </w:r>
    </w:p>
    <w:p>
      <w:pPr>
        <w:pStyle w:val="4"/>
        <w:widowControl/>
        <w:spacing w:beforeAutospacing="0" w:afterAutospacing="0" w:line="30" w:lineRule="atLeast"/>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24、 政府基金（政府预算）</w:t>
      </w:r>
    </w:p>
    <w:p>
      <w:pPr>
        <w:pStyle w:val="4"/>
        <w:widowControl/>
        <w:spacing w:beforeAutospacing="0" w:afterAutospacing="0" w:line="30" w:lineRule="atLeast"/>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25、 三公经费</w:t>
      </w:r>
    </w:p>
    <w:p>
      <w:pPr>
        <w:pStyle w:val="4"/>
        <w:widowControl/>
        <w:spacing w:beforeAutospacing="0" w:afterAutospacing="0"/>
        <w:jc w:val="both"/>
        <w:rPr>
          <w:rFonts w:hint="eastAsia" w:cs="Arial" w:asciiTheme="minorEastAsia" w:hAnsiTheme="minorEastAsia"/>
          <w:sz w:val="28"/>
          <w:szCs w:val="28"/>
          <w:shd w:val="clear" w:color="auto" w:fill="F6F6F6"/>
        </w:rPr>
      </w:pPr>
    </w:p>
    <w:p>
      <w:pPr>
        <w:pStyle w:val="4"/>
        <w:widowControl/>
        <w:spacing w:beforeAutospacing="0" w:afterAutospacing="0"/>
        <w:jc w:val="both"/>
        <w:rPr>
          <w:rFonts w:hint="eastAsia" w:cs="Arial" w:asciiTheme="minorEastAsia" w:hAnsiTheme="minorEastAsia"/>
          <w:sz w:val="28"/>
          <w:szCs w:val="28"/>
          <w:shd w:val="clear" w:color="auto" w:fill="F6F6F6"/>
        </w:rPr>
      </w:pPr>
    </w:p>
    <w:p>
      <w:pPr>
        <w:pStyle w:val="4"/>
        <w:widowControl/>
        <w:spacing w:beforeAutospacing="0" w:afterAutospacing="0"/>
        <w:jc w:val="both"/>
        <w:rPr>
          <w:rFonts w:hint="eastAsia" w:cs="Arial" w:asciiTheme="minorEastAsia" w:hAnsiTheme="minorEastAsia"/>
          <w:sz w:val="28"/>
          <w:szCs w:val="28"/>
          <w:shd w:val="clear" w:color="auto" w:fill="F6F6F6"/>
        </w:rPr>
      </w:pPr>
    </w:p>
    <w:p>
      <w:pPr>
        <w:pStyle w:val="4"/>
        <w:widowControl/>
        <w:spacing w:beforeAutospacing="0" w:afterAutospacing="0"/>
        <w:jc w:val="both"/>
        <w:rPr>
          <w:rFonts w:hint="eastAsia" w:cs="Arial" w:asciiTheme="minorEastAsia" w:hAnsiTheme="minorEastAsia"/>
          <w:sz w:val="28"/>
          <w:szCs w:val="28"/>
          <w:shd w:val="clear" w:color="auto" w:fill="F6F6F6"/>
        </w:rPr>
      </w:pPr>
    </w:p>
    <w:p>
      <w:pPr>
        <w:pStyle w:val="4"/>
        <w:widowControl/>
        <w:spacing w:beforeAutospacing="0" w:afterAutospacing="0"/>
        <w:jc w:val="both"/>
        <w:rPr>
          <w:rFonts w:hint="eastAsia" w:cs="Arial" w:asciiTheme="minorEastAsia" w:hAnsiTheme="minorEastAsia"/>
          <w:sz w:val="28"/>
          <w:szCs w:val="28"/>
          <w:shd w:val="clear" w:color="auto" w:fill="F6F6F6"/>
        </w:rPr>
      </w:pPr>
    </w:p>
    <w:p>
      <w:pPr>
        <w:pStyle w:val="4"/>
        <w:widowControl/>
        <w:spacing w:beforeAutospacing="0" w:afterAutospacing="0"/>
        <w:jc w:val="both"/>
        <w:rPr>
          <w:rFonts w:hint="eastAsia" w:cs="Arial" w:asciiTheme="minorEastAsia" w:hAnsiTheme="minorEastAsia"/>
          <w:sz w:val="28"/>
          <w:szCs w:val="28"/>
          <w:shd w:val="clear" w:color="auto" w:fill="F6F6F6"/>
        </w:rPr>
      </w:pPr>
    </w:p>
    <w:p>
      <w:pPr>
        <w:pStyle w:val="4"/>
        <w:widowControl/>
        <w:spacing w:beforeAutospacing="0" w:afterAutospacing="0"/>
        <w:jc w:val="both"/>
        <w:rPr>
          <w:rFonts w:hint="eastAsia" w:cs="Arial" w:asciiTheme="minorEastAsia" w:hAnsiTheme="minorEastAsia"/>
          <w:sz w:val="28"/>
          <w:szCs w:val="28"/>
          <w:shd w:val="clear" w:color="auto" w:fill="F6F6F6"/>
        </w:rPr>
      </w:pPr>
    </w:p>
    <w:p>
      <w:pPr>
        <w:pStyle w:val="4"/>
        <w:widowControl/>
        <w:spacing w:beforeAutospacing="0" w:afterAutospacing="0"/>
        <w:jc w:val="both"/>
        <w:rPr>
          <w:rFonts w:hint="eastAsia" w:cs="Arial" w:asciiTheme="minorEastAsia" w:hAnsiTheme="minorEastAsia"/>
          <w:sz w:val="28"/>
          <w:szCs w:val="28"/>
          <w:shd w:val="clear" w:color="auto" w:fill="F6F6F6"/>
        </w:rPr>
      </w:pPr>
    </w:p>
    <w:p>
      <w:pPr>
        <w:pStyle w:val="4"/>
        <w:widowControl/>
        <w:spacing w:beforeAutospacing="0" w:afterAutospacing="0" w:line="30" w:lineRule="atLeast"/>
        <w:jc w:val="both"/>
        <w:rPr>
          <w:rFonts w:hint="eastAsia" w:cs="Arial" w:asciiTheme="minorEastAsia" w:hAnsiTheme="minorEastAsia"/>
          <w:b/>
          <w:bCs/>
          <w:sz w:val="28"/>
          <w:szCs w:val="28"/>
          <w:shd w:val="clear" w:color="auto" w:fill="F6F6F6"/>
        </w:rPr>
      </w:pPr>
      <w:r>
        <w:rPr>
          <w:rFonts w:hint="eastAsia" w:cs="Arial" w:asciiTheme="minorEastAsia" w:hAnsiTheme="minorEastAsia"/>
          <w:b/>
          <w:bCs/>
          <w:sz w:val="28"/>
          <w:szCs w:val="28"/>
          <w:shd w:val="clear" w:color="auto" w:fill="F6F6F6"/>
        </w:rPr>
        <w:t>第一部分 2020年部门预算说明</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一、部门基本情况</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我局是正科级事业单位，设有办公室、气象台、人工降雨办公室、防雷减灾办公室、气象科技服务中心、法规股等。现有干部职工19人（中央气象编制7人、地方气象事业编制6人、临聘人员1人，退休人员5人）。</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（一）履行政府气象主管机构职能</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负责气象灾害防御组织管理。编制本行政区域气象灾害防御规划，完善气象灾害应急预案，组织开展气象灾害应急演练，提高应急救援能力；提出气象灾害防御措施，对重大气象灾害做出评估，为县政府组织防御气象灾害提供决策依据。</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2、负责气候资源开发利用管理。开展本行政区域空中云水资源、风能、太阳能资源和农业、林业、山地等气候资源调查评估。</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3、负责人工影响天气工作管理。制定人工影响天气作业方案，组织实施人工影响天气作业；负责人工影响天气作业资格条件的报批，管理和监督作业使用的高射炮、火箭发射装置、炮弹、火箭弹遵守国家有关武器装备、爆炸物品管理的法律、法规；组织高射炮、火箭发射装置的年检和从事人工影响天气作业人员的培训、考核。</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4、负责气象行政执法工作。在本行政区域内，依法开展防雷和施放气球审批工作；依法保护气象探测环境；依法发布各类气象预报、预警；组织开展气象法制宣传教育，负责监督有关气象法规的实施，对违反《中华人民共和国气象法》有关规定的行为依法进行处罚。</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5、负责保障气象服务工作。将农业气象服务和农村气象灾害防御体系建设纳入政府公共体系范畴，推进乡镇气象工作站的标准化建设和气象协理员、信息员队伍建设。</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（二）气象保障管理</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1、负责重大活动气象保障工作。完善重大活动气象服务管理运行机制和业务服务体系，为重大活动提供优质气象服务保障。</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2、负责气象科技服务。加强面向重点行业的专业专项气象服务，提升专业专项气象服务的科技含量和精细化水平。</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3、负责气候可行性论证。负责对与气候条件密切相关的城乡规划编制、重大区域性经济开发和建设项目进行气候可行性论证，进行气候资源开发利用及管理工作，开展气象灾害风险评估和气象服务效益评估；开展农业、生态、旅游等气候资源开发利用服务，为能源结构调整提供科技支撑。</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4、负责防雷减灾服务工作。负责本行政区域内的易燃易爆场所防雷装置的设计审核和竣工验收；负责对投入使用的防雷装置实行每年检测一次，对爆炸和火灾危险环境场所的防雷装置每半年检测一次。</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（三）公共气象服务管理</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负责农业气象服务体系和农村气象灾害防御体系建设工作。负责气象为农服务组织建设工作，建立政府统一领导、综合协调，相关部门各负其责的气象为农服务组织体系；提高重大农业气象灾害的预测预报能力，加强粮食产量预报和综合评估。</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2、负责重点领域气象服务。提升山洪地质灾害多发重发区域的综合气象观测能力和预警信息发布能力；加强电力、生态等气象服务。</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3、负责决策气象服务。加强面向防灾减灾、应对气候变化、新农村建设等领域的决策气象服务，提高服务的针对性和影响力。</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4、承担民生气象服务。加快推进公共安全和保障民生为重点的社会气象服务能力建设。</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（四）气象现代化建设管理</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1、承担气象预报预测工作。</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2、指导和管理气象活动。负责气象事业发展规划、计划及气象业务建设的组织实施。</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3、负责气象观测自动化建设。承担布局合理、自动化程度高、运行稳定、保障有力的综合气象观测业务建设，开展长期、连续、稳定、高精度的自动观测，增强综合气象观测能力。</w:t>
      </w:r>
    </w:p>
    <w:p>
      <w:pPr>
        <w:pStyle w:val="4"/>
        <w:widowControl/>
        <w:spacing w:beforeAutospacing="0" w:afterAutospacing="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4、负责气象科技创新和人才队伍建设。负责本区域气象科技创新、气象新成果推广应用，负责气象教育培训工作,加强气象应用型、复合型专业人才培养，为气象发展提供智力支撑。</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二、部门预算单位构成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我</w:t>
      </w:r>
      <w:r>
        <w:rPr>
          <w:rFonts w:hint="eastAsia" w:cs="Arial" w:asciiTheme="minorEastAsia" w:hAnsiTheme="minorEastAsia"/>
          <w:sz w:val="28"/>
          <w:szCs w:val="28"/>
          <w:shd w:val="clear" w:color="auto" w:fill="F6F6F6"/>
        </w:rPr>
        <w:t>局</w:t>
      </w:r>
      <w:r>
        <w:rPr>
          <w:rFonts w:cs="Arial" w:asciiTheme="minorEastAsia" w:hAnsiTheme="minorEastAsia"/>
          <w:sz w:val="28"/>
          <w:szCs w:val="28"/>
          <w:shd w:val="clear" w:color="auto" w:fill="F6F6F6"/>
        </w:rPr>
        <w:t>只有本级，没有其他二级预算单位，因此，纳入</w:t>
      </w:r>
      <w:r>
        <w:rPr>
          <w:rFonts w:hint="eastAsia" w:cs="Arial" w:asciiTheme="minorEastAsia" w:hAnsiTheme="minorEastAsia"/>
          <w:sz w:val="28"/>
          <w:szCs w:val="28"/>
          <w:shd w:val="clear" w:color="auto" w:fill="F6F6F6"/>
        </w:rPr>
        <w:t>2020</w:t>
      </w:r>
      <w:r>
        <w:rPr>
          <w:rFonts w:cs="Arial" w:asciiTheme="minorEastAsia" w:hAnsiTheme="minorEastAsia"/>
          <w:sz w:val="28"/>
          <w:szCs w:val="28"/>
          <w:shd w:val="clear" w:color="auto" w:fill="F6F6F6"/>
        </w:rPr>
        <w:t>年部门预算编制范围的只有</w:t>
      </w:r>
      <w:r>
        <w:rPr>
          <w:rFonts w:hint="eastAsia" w:cs="Arial" w:asciiTheme="minorEastAsia" w:hAnsiTheme="minorEastAsia"/>
          <w:sz w:val="28"/>
          <w:szCs w:val="28"/>
          <w:shd w:val="clear" w:color="auto" w:fill="F6F6F6"/>
        </w:rPr>
        <w:t>衡南县气象局</w:t>
      </w:r>
      <w:r>
        <w:rPr>
          <w:rFonts w:cs="Arial" w:asciiTheme="minorEastAsia" w:hAnsiTheme="minorEastAsia"/>
          <w:sz w:val="28"/>
          <w:szCs w:val="28"/>
          <w:shd w:val="clear" w:color="auto" w:fill="F6F6F6"/>
        </w:rPr>
        <w:t>本级。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三、部门收支总体情况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w:t>
      </w:r>
      <w:r>
        <w:rPr>
          <w:rFonts w:hint="eastAsia" w:cs="Arial" w:asciiTheme="minorEastAsia" w:hAnsiTheme="minorEastAsia"/>
          <w:sz w:val="28"/>
          <w:szCs w:val="28"/>
          <w:shd w:val="clear" w:color="auto" w:fill="F6F6F6"/>
        </w:rPr>
        <w:t>2020</w:t>
      </w:r>
      <w:r>
        <w:rPr>
          <w:rFonts w:cs="Arial" w:asciiTheme="minorEastAsia" w:hAnsiTheme="minorEastAsia"/>
          <w:sz w:val="28"/>
          <w:szCs w:val="28"/>
          <w:shd w:val="clear" w:color="auto" w:fill="F6F6F6"/>
        </w:rPr>
        <w:t>年部门预算即我</w:t>
      </w:r>
      <w:r>
        <w:rPr>
          <w:rFonts w:hint="eastAsia" w:cs="Arial" w:asciiTheme="minorEastAsia" w:hAnsiTheme="minorEastAsia"/>
          <w:sz w:val="28"/>
          <w:szCs w:val="28"/>
          <w:shd w:val="clear" w:color="auto" w:fill="F6F6F6"/>
        </w:rPr>
        <w:t>局</w:t>
      </w:r>
      <w:r>
        <w:rPr>
          <w:rFonts w:cs="Arial" w:asciiTheme="minorEastAsia" w:hAnsiTheme="minorEastAsia"/>
          <w:sz w:val="28"/>
          <w:szCs w:val="28"/>
          <w:shd w:val="clear" w:color="auto" w:fill="F6F6F6"/>
        </w:rPr>
        <w:t>本级预算。我</w:t>
      </w:r>
      <w:r>
        <w:rPr>
          <w:rFonts w:hint="eastAsia" w:cs="Arial" w:asciiTheme="minorEastAsia" w:hAnsiTheme="minorEastAsia"/>
          <w:sz w:val="28"/>
          <w:szCs w:val="28"/>
          <w:shd w:val="clear" w:color="auto" w:fill="F6F6F6"/>
        </w:rPr>
        <w:t>局2020</w:t>
      </w:r>
      <w:r>
        <w:rPr>
          <w:rFonts w:cs="Arial" w:asciiTheme="minorEastAsia" w:hAnsiTheme="minorEastAsia"/>
          <w:sz w:val="28"/>
          <w:szCs w:val="28"/>
          <w:shd w:val="clear" w:color="auto" w:fill="F6F6F6"/>
        </w:rPr>
        <w:t>年没有政府性基金预算拨款、国有资本经营预算收入和纳入专户管理的非税收入拨款收入，也没有使用政府性基金预算拨款、国有资本经营预算收入和纳入专户管理的非税收入拨款安排的支出，所以公开的附件21、22、23、24表均为空。收入包括经费拨款，也包括行政事业性收费收入和国有资源有偿使用收入；支出包括保障厅机关及厅属事业单位基本运行的经费，也包括全省财政财务管理及信息化建设等项目经费。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（一）收入预算：</w:t>
      </w:r>
      <w:r>
        <w:rPr>
          <w:rFonts w:hint="eastAsia" w:cs="Arial" w:asciiTheme="minorEastAsia" w:hAnsiTheme="minorEastAsia"/>
          <w:sz w:val="28"/>
          <w:szCs w:val="28"/>
          <w:shd w:val="clear" w:color="auto" w:fill="F6F6F6"/>
        </w:rPr>
        <w:t>2020</w:t>
      </w:r>
      <w:r>
        <w:rPr>
          <w:rFonts w:cs="Arial" w:asciiTheme="minorEastAsia" w:hAnsiTheme="minorEastAsia"/>
          <w:sz w:val="28"/>
          <w:szCs w:val="28"/>
          <w:shd w:val="clear" w:color="auto" w:fill="F6F6F6"/>
        </w:rPr>
        <w:t>年年初预算数</w:t>
      </w:r>
      <w:r>
        <w:rPr>
          <w:rFonts w:hint="eastAsia" w:cs="Arial" w:asciiTheme="minorEastAsia" w:hAnsiTheme="minorEastAsia"/>
          <w:sz w:val="28"/>
          <w:szCs w:val="28"/>
          <w:shd w:val="clear" w:color="auto" w:fill="F6F6F6"/>
        </w:rPr>
        <w:t>84.96</w:t>
      </w:r>
      <w:r>
        <w:rPr>
          <w:rFonts w:cs="Arial" w:asciiTheme="minorEastAsia" w:hAnsiTheme="minorEastAsia"/>
          <w:sz w:val="28"/>
          <w:szCs w:val="28"/>
          <w:shd w:val="clear" w:color="auto" w:fill="F6F6F6"/>
        </w:rPr>
        <w:t>万元，其中，一般公共预算拨款</w:t>
      </w:r>
      <w:r>
        <w:rPr>
          <w:rFonts w:hint="eastAsia" w:cs="Arial" w:asciiTheme="minorEastAsia" w:hAnsiTheme="minorEastAsia"/>
          <w:sz w:val="28"/>
          <w:szCs w:val="28"/>
          <w:shd w:val="clear" w:color="auto" w:fill="F6F6F6"/>
        </w:rPr>
        <w:t>84.96</w:t>
      </w:r>
      <w:r>
        <w:rPr>
          <w:rFonts w:cs="Arial" w:asciiTheme="minorEastAsia" w:hAnsiTheme="minorEastAsia"/>
          <w:sz w:val="28"/>
          <w:szCs w:val="28"/>
          <w:shd w:val="clear" w:color="auto" w:fill="F6F6F6"/>
        </w:rPr>
        <w:t>万元</w:t>
      </w:r>
      <w:r>
        <w:rPr>
          <w:rFonts w:hint="eastAsia" w:cs="Arial" w:asciiTheme="minorEastAsia" w:hAnsiTheme="minorEastAsia"/>
          <w:sz w:val="28"/>
          <w:szCs w:val="28"/>
          <w:shd w:val="clear" w:color="auto" w:fill="F6F6F6"/>
        </w:rPr>
        <w:t>,均为</w:t>
      </w:r>
      <w:r>
        <w:rPr>
          <w:rFonts w:cs="Arial" w:asciiTheme="minorEastAsia" w:hAnsiTheme="minorEastAsia"/>
          <w:sz w:val="28"/>
          <w:szCs w:val="28"/>
          <w:shd w:val="clear" w:color="auto" w:fill="F6F6F6"/>
        </w:rPr>
        <w:t>经费拨款。收入较去年</w:t>
      </w:r>
      <w:r>
        <w:rPr>
          <w:rFonts w:hint="eastAsia" w:cs="Arial" w:asciiTheme="minorEastAsia" w:hAnsiTheme="minorEastAsia"/>
          <w:sz w:val="28"/>
          <w:szCs w:val="28"/>
          <w:shd w:val="clear" w:color="auto" w:fill="F6F6F6"/>
        </w:rPr>
        <w:t>增加0.78</w:t>
      </w:r>
      <w:r>
        <w:rPr>
          <w:rFonts w:cs="Arial" w:asciiTheme="minorEastAsia" w:hAnsiTheme="minorEastAsia"/>
          <w:sz w:val="28"/>
          <w:szCs w:val="28"/>
          <w:shd w:val="clear" w:color="auto" w:fill="F6F6F6"/>
        </w:rPr>
        <w:t>万元，主要是</w:t>
      </w:r>
      <w:r>
        <w:rPr>
          <w:rFonts w:hint="eastAsia" w:cs="Arial" w:asciiTheme="minorEastAsia" w:hAnsiTheme="minorEastAsia"/>
          <w:sz w:val="28"/>
          <w:szCs w:val="28"/>
          <w:shd w:val="clear" w:color="auto" w:fill="F6F6F6"/>
        </w:rPr>
        <w:t>人员</w:t>
      </w:r>
      <w:r>
        <w:rPr>
          <w:rFonts w:cs="Arial" w:asciiTheme="minorEastAsia" w:hAnsiTheme="minorEastAsia"/>
          <w:sz w:val="28"/>
          <w:szCs w:val="28"/>
          <w:shd w:val="clear" w:color="auto" w:fill="F6F6F6"/>
        </w:rPr>
        <w:t>经费拨款</w:t>
      </w:r>
      <w:r>
        <w:rPr>
          <w:rFonts w:hint="eastAsia" w:cs="Arial" w:asciiTheme="minorEastAsia" w:hAnsiTheme="minorEastAsia"/>
          <w:sz w:val="28"/>
          <w:szCs w:val="28"/>
          <w:shd w:val="clear" w:color="auto" w:fill="F6F6F6"/>
        </w:rPr>
        <w:t>增加0.78</w:t>
      </w:r>
      <w:r>
        <w:rPr>
          <w:rFonts w:cs="Arial" w:asciiTheme="minorEastAsia" w:hAnsiTheme="minorEastAsia"/>
          <w:sz w:val="28"/>
          <w:szCs w:val="28"/>
          <w:shd w:val="clear" w:color="auto" w:fill="F6F6F6"/>
        </w:rPr>
        <w:t>万元。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（二）支出预算：</w:t>
      </w:r>
      <w:r>
        <w:rPr>
          <w:rFonts w:hint="eastAsia" w:cs="Arial" w:asciiTheme="minorEastAsia" w:hAnsiTheme="minorEastAsia"/>
          <w:sz w:val="28"/>
          <w:szCs w:val="28"/>
          <w:shd w:val="clear" w:color="auto" w:fill="F6F6F6"/>
        </w:rPr>
        <w:t>2020</w:t>
      </w:r>
      <w:r>
        <w:rPr>
          <w:rFonts w:cs="Arial" w:asciiTheme="minorEastAsia" w:hAnsiTheme="minorEastAsia"/>
          <w:sz w:val="28"/>
          <w:szCs w:val="28"/>
          <w:shd w:val="clear" w:color="auto" w:fill="F6F6F6"/>
        </w:rPr>
        <w:t>年年初预算数</w:t>
      </w:r>
      <w:r>
        <w:rPr>
          <w:rFonts w:hint="eastAsia" w:cs="Arial" w:asciiTheme="minorEastAsia" w:hAnsiTheme="minorEastAsia"/>
          <w:sz w:val="28"/>
          <w:szCs w:val="28"/>
          <w:shd w:val="clear" w:color="auto" w:fill="F6F6F6"/>
        </w:rPr>
        <w:t>84.96</w:t>
      </w:r>
      <w:r>
        <w:rPr>
          <w:rFonts w:cs="Arial" w:asciiTheme="minorEastAsia" w:hAnsiTheme="minorEastAsia"/>
          <w:sz w:val="28"/>
          <w:szCs w:val="28"/>
          <w:shd w:val="clear" w:color="auto" w:fill="F6F6F6"/>
        </w:rPr>
        <w:t>万元，其中，一般公共服务</w:t>
      </w:r>
      <w:r>
        <w:rPr>
          <w:rFonts w:hint="eastAsia" w:cs="Arial" w:asciiTheme="minorEastAsia" w:hAnsiTheme="minorEastAsia"/>
          <w:sz w:val="28"/>
          <w:szCs w:val="28"/>
          <w:shd w:val="clear" w:color="auto" w:fill="F6F6F6"/>
        </w:rPr>
        <w:t>84.96</w:t>
      </w:r>
      <w:r>
        <w:rPr>
          <w:rFonts w:cs="Arial" w:asciiTheme="minorEastAsia" w:hAnsiTheme="minorEastAsia"/>
          <w:sz w:val="28"/>
          <w:szCs w:val="28"/>
          <w:shd w:val="clear" w:color="auto" w:fill="F6F6F6"/>
        </w:rPr>
        <w:t>万元。支出较去年</w:t>
      </w:r>
      <w:r>
        <w:rPr>
          <w:rFonts w:hint="eastAsia" w:cs="Arial" w:asciiTheme="minorEastAsia" w:hAnsiTheme="minorEastAsia"/>
          <w:sz w:val="28"/>
          <w:szCs w:val="28"/>
          <w:shd w:val="clear" w:color="auto" w:fill="F6F6F6"/>
        </w:rPr>
        <w:t>增加0.78</w:t>
      </w:r>
      <w:r>
        <w:rPr>
          <w:rFonts w:cs="Arial" w:asciiTheme="minorEastAsia" w:hAnsiTheme="minorEastAsia"/>
          <w:sz w:val="28"/>
          <w:szCs w:val="28"/>
          <w:shd w:val="clear" w:color="auto" w:fill="F6F6F6"/>
        </w:rPr>
        <w:t>万元，主要是</w:t>
      </w:r>
      <w:r>
        <w:rPr>
          <w:rFonts w:hint="eastAsia" w:cs="Arial" w:asciiTheme="minorEastAsia" w:hAnsiTheme="minorEastAsia"/>
          <w:sz w:val="28"/>
          <w:szCs w:val="28"/>
          <w:shd w:val="clear" w:color="auto" w:fill="F6F6F6"/>
        </w:rPr>
        <w:t>人员经费增加0.78</w:t>
      </w:r>
      <w:r>
        <w:rPr>
          <w:rFonts w:cs="Arial" w:asciiTheme="minorEastAsia" w:hAnsiTheme="minorEastAsia"/>
          <w:sz w:val="28"/>
          <w:szCs w:val="28"/>
          <w:shd w:val="clear" w:color="auto" w:fill="F6F6F6"/>
        </w:rPr>
        <w:t>万元。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四、一般公共预算拨款支出预算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w:t>
      </w:r>
      <w:r>
        <w:rPr>
          <w:rFonts w:hint="eastAsia" w:cs="Arial" w:asciiTheme="minorEastAsia" w:hAnsiTheme="minorEastAsia"/>
          <w:sz w:val="28"/>
          <w:szCs w:val="28"/>
          <w:shd w:val="clear" w:color="auto" w:fill="F6F6F6"/>
        </w:rPr>
        <w:t>2020</w:t>
      </w:r>
      <w:r>
        <w:rPr>
          <w:rFonts w:cs="Arial" w:asciiTheme="minorEastAsia" w:hAnsiTheme="minorEastAsia"/>
          <w:sz w:val="28"/>
          <w:szCs w:val="28"/>
          <w:shd w:val="clear" w:color="auto" w:fill="F6F6F6"/>
        </w:rPr>
        <w:t>年一般公共预算拨款收入</w:t>
      </w:r>
      <w:r>
        <w:rPr>
          <w:rFonts w:hint="eastAsia" w:cs="Arial" w:asciiTheme="minorEastAsia" w:hAnsiTheme="minorEastAsia"/>
          <w:sz w:val="28"/>
          <w:szCs w:val="28"/>
          <w:shd w:val="clear" w:color="auto" w:fill="F6F6F6"/>
        </w:rPr>
        <w:t>84.96</w:t>
      </w:r>
      <w:r>
        <w:rPr>
          <w:rFonts w:cs="Arial" w:asciiTheme="minorEastAsia" w:hAnsiTheme="minorEastAsia"/>
          <w:sz w:val="28"/>
          <w:szCs w:val="28"/>
          <w:shd w:val="clear" w:color="auto" w:fill="F6F6F6"/>
        </w:rPr>
        <w:t>万元，具体安排情况如下：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（一）基本支出：</w:t>
      </w:r>
      <w:r>
        <w:rPr>
          <w:rFonts w:hint="eastAsia" w:cs="Arial" w:asciiTheme="minorEastAsia" w:hAnsiTheme="minorEastAsia"/>
          <w:sz w:val="28"/>
          <w:szCs w:val="28"/>
          <w:shd w:val="clear" w:color="auto" w:fill="F6F6F6"/>
        </w:rPr>
        <w:t>2020</w:t>
      </w:r>
      <w:r>
        <w:rPr>
          <w:rFonts w:cs="Arial" w:asciiTheme="minorEastAsia" w:hAnsiTheme="minorEastAsia"/>
          <w:sz w:val="28"/>
          <w:szCs w:val="28"/>
          <w:shd w:val="clear" w:color="auto" w:fill="F6F6F6"/>
        </w:rPr>
        <w:t>年基本支出年初预算数为</w:t>
      </w:r>
      <w:r>
        <w:rPr>
          <w:rFonts w:hint="eastAsia" w:cs="Arial" w:asciiTheme="minorEastAsia" w:hAnsiTheme="minorEastAsia"/>
          <w:sz w:val="28"/>
          <w:szCs w:val="28"/>
          <w:shd w:val="clear" w:color="auto" w:fill="F6F6F6"/>
        </w:rPr>
        <w:t>52.96</w:t>
      </w:r>
      <w:r>
        <w:rPr>
          <w:rFonts w:cs="Arial" w:asciiTheme="minorEastAsia" w:hAnsiTheme="minorEastAsia"/>
          <w:sz w:val="28"/>
          <w:szCs w:val="28"/>
          <w:shd w:val="clear" w:color="auto" w:fill="F6F6F6"/>
        </w:rPr>
        <w:t>万元，是指为保障单位机构正常运转、完成日常工作任务而发生的各项支出，包括用于基本工资、津贴补贴等人员经费以及办公费、水电费、办公设备购置等日常公用经费。 </w:t>
      </w:r>
    </w:p>
    <w:p>
      <w:pPr>
        <w:pStyle w:val="4"/>
        <w:widowControl/>
        <w:spacing w:beforeAutospacing="0" w:afterAutospacing="0"/>
        <w:ind w:firstLine="630"/>
        <w:jc w:val="both"/>
        <w:rPr>
          <w:rFonts w:hint="eastAsia" w:cs="Arial" w:asciiTheme="minorEastAsia" w:hAnsiTheme="minorEastAsia"/>
          <w:sz w:val="28"/>
          <w:szCs w:val="28"/>
          <w:shd w:val="clear" w:color="auto" w:fill="F6F6F6"/>
        </w:rPr>
      </w:pPr>
      <w:r>
        <w:rPr>
          <w:rFonts w:cs="Arial" w:asciiTheme="minorEastAsia" w:hAnsiTheme="minorEastAsia"/>
          <w:sz w:val="28"/>
          <w:szCs w:val="28"/>
          <w:shd w:val="clear" w:color="auto" w:fill="F6F6F6"/>
        </w:rPr>
        <w:t>（二）项目支出：</w:t>
      </w:r>
      <w:r>
        <w:rPr>
          <w:rFonts w:hint="eastAsia" w:cs="Arial" w:asciiTheme="minorEastAsia" w:hAnsiTheme="minorEastAsia"/>
          <w:sz w:val="28"/>
          <w:szCs w:val="28"/>
          <w:shd w:val="clear" w:color="auto" w:fill="F6F6F6"/>
        </w:rPr>
        <w:t>2020</w:t>
      </w:r>
      <w:r>
        <w:rPr>
          <w:rFonts w:cs="Arial" w:asciiTheme="minorEastAsia" w:hAnsiTheme="minorEastAsia"/>
          <w:sz w:val="28"/>
          <w:szCs w:val="28"/>
          <w:shd w:val="clear" w:color="auto" w:fill="F6F6F6"/>
        </w:rPr>
        <w:t>年项目支出年初预算数为</w:t>
      </w:r>
      <w:r>
        <w:rPr>
          <w:rFonts w:hint="eastAsia" w:cs="Arial" w:asciiTheme="minorEastAsia" w:hAnsiTheme="minorEastAsia"/>
          <w:sz w:val="28"/>
          <w:szCs w:val="28"/>
          <w:shd w:val="clear" w:color="auto" w:fill="F6F6F6"/>
        </w:rPr>
        <w:t>32</w:t>
      </w:r>
      <w:r>
        <w:rPr>
          <w:rFonts w:cs="Arial" w:asciiTheme="minorEastAsia" w:hAnsiTheme="minorEastAsia"/>
          <w:sz w:val="28"/>
          <w:szCs w:val="28"/>
          <w:shd w:val="clear" w:color="auto" w:fill="F6F6F6"/>
        </w:rPr>
        <w:t>万元，是指单位为完成特定行政工作任务或事业发展目标而发生的支出，包括有关业务工作经费和运行维护经费。其中：</w:t>
      </w:r>
      <w:r>
        <w:rPr>
          <w:rFonts w:hint="eastAsia" w:cs="Arial" w:asciiTheme="minorEastAsia" w:hAnsiTheme="minorEastAsia"/>
          <w:sz w:val="28"/>
          <w:szCs w:val="28"/>
          <w:shd w:val="clear" w:color="auto" w:fill="F6F6F6"/>
        </w:rPr>
        <w:t>气象为农服务基地维持经费7万；天气预报影视制作2万；气象信息预警系统建设维持费8万；人工降雨5万；防雷建设及安全监管工作经费10万。</w:t>
      </w:r>
    </w:p>
    <w:p>
      <w:pPr>
        <w:pStyle w:val="4"/>
        <w:widowControl/>
        <w:spacing w:beforeAutospacing="0" w:afterAutospacing="0"/>
        <w:ind w:firstLine="560" w:firstLineChars="200"/>
        <w:jc w:val="both"/>
        <w:rPr>
          <w:rFonts w:hint="eastAsia" w:cs="Arial" w:asciiTheme="minorEastAsia" w:hAnsiTheme="minorEastAsia"/>
          <w:sz w:val="28"/>
          <w:szCs w:val="28"/>
          <w:shd w:val="clear" w:color="auto" w:fill="F6F6F6"/>
          <w:lang w:eastAsia="zh-CN"/>
        </w:rPr>
      </w:pPr>
      <w:r>
        <w:rPr>
          <w:rFonts w:hint="eastAsia" w:cs="Arial" w:asciiTheme="minorEastAsia" w:hAnsiTheme="minorEastAsia"/>
          <w:sz w:val="28"/>
          <w:szCs w:val="28"/>
          <w:shd w:val="clear" w:color="auto" w:fill="F6F6F6"/>
          <w:lang w:eastAsia="zh-CN"/>
        </w:rPr>
        <w:t>五、政府性基金预算</w:t>
      </w:r>
    </w:p>
    <w:p>
      <w:pPr>
        <w:pStyle w:val="4"/>
        <w:widowControl/>
        <w:spacing w:beforeAutospacing="0" w:afterAutospacing="0"/>
        <w:ind w:firstLine="630"/>
        <w:jc w:val="both"/>
        <w:rPr>
          <w:rFonts w:hint="eastAsia" w:cs="Arial" w:asciiTheme="minorEastAsia" w:hAnsiTheme="minorEastAsia"/>
          <w:sz w:val="28"/>
          <w:szCs w:val="28"/>
          <w:shd w:val="clear" w:color="auto" w:fill="F6F6F6"/>
          <w:lang w:eastAsia="zh-CN"/>
        </w:rPr>
      </w:pPr>
      <w:r>
        <w:rPr>
          <w:rFonts w:hint="eastAsia" w:cs="Arial" w:asciiTheme="minorEastAsia" w:hAnsiTheme="minorEastAsia"/>
          <w:sz w:val="28"/>
          <w:szCs w:val="28"/>
          <w:shd w:val="clear" w:color="auto" w:fill="F6F6F6"/>
          <w:lang w:eastAsia="zh-CN"/>
        </w:rPr>
        <w:t>本年度本单位无政府性基金预算支出。</w:t>
      </w:r>
    </w:p>
    <w:p>
      <w:pPr>
        <w:pStyle w:val="4"/>
        <w:widowControl/>
        <w:spacing w:beforeAutospacing="0" w:afterAutospacing="0"/>
        <w:ind w:firstLine="630"/>
        <w:jc w:val="both"/>
        <w:rPr>
          <w:rFonts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lang w:eastAsia="zh-CN"/>
        </w:rPr>
        <w:t>六</w:t>
      </w:r>
      <w:r>
        <w:rPr>
          <w:rFonts w:cs="Arial" w:asciiTheme="minorEastAsia" w:hAnsiTheme="minorEastAsia"/>
          <w:sz w:val="28"/>
          <w:szCs w:val="28"/>
          <w:shd w:val="clear" w:color="auto" w:fill="F6F6F6"/>
        </w:rPr>
        <w:t>、其他重要事项的情况说明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1、机关运行经费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w:t>
      </w:r>
      <w:r>
        <w:rPr>
          <w:rFonts w:hint="eastAsia" w:cs="Arial" w:asciiTheme="minorEastAsia" w:hAnsiTheme="minorEastAsia"/>
          <w:sz w:val="28"/>
          <w:szCs w:val="28"/>
          <w:shd w:val="clear" w:color="auto" w:fill="F6F6F6"/>
        </w:rPr>
        <w:t>2020</w:t>
      </w:r>
      <w:r>
        <w:rPr>
          <w:rFonts w:cs="Arial" w:asciiTheme="minorEastAsia" w:hAnsiTheme="minorEastAsia"/>
          <w:sz w:val="28"/>
          <w:szCs w:val="28"/>
          <w:shd w:val="clear" w:color="auto" w:fill="F6F6F6"/>
        </w:rPr>
        <w:t>年</w:t>
      </w:r>
      <w:r>
        <w:rPr>
          <w:rFonts w:hint="eastAsia" w:cs="Arial" w:asciiTheme="minorEastAsia" w:hAnsiTheme="minorEastAsia"/>
          <w:sz w:val="28"/>
          <w:szCs w:val="28"/>
          <w:shd w:val="clear" w:color="auto" w:fill="F6F6F6"/>
        </w:rPr>
        <w:t>局</w:t>
      </w:r>
      <w:r>
        <w:rPr>
          <w:rFonts w:cs="Arial" w:asciiTheme="minorEastAsia" w:hAnsiTheme="minorEastAsia"/>
          <w:sz w:val="28"/>
          <w:szCs w:val="28"/>
          <w:shd w:val="clear" w:color="auto" w:fill="F6F6F6"/>
        </w:rPr>
        <w:t>本级机关运行经费当年一般公共预算拨款</w:t>
      </w:r>
      <w:r>
        <w:rPr>
          <w:rFonts w:hint="eastAsia" w:cs="Arial" w:asciiTheme="minorEastAsia" w:hAnsiTheme="minorEastAsia"/>
          <w:sz w:val="28"/>
          <w:szCs w:val="28"/>
          <w:shd w:val="clear" w:color="auto" w:fill="F6F6F6"/>
        </w:rPr>
        <w:t>3.6</w:t>
      </w:r>
      <w:r>
        <w:rPr>
          <w:rFonts w:cs="Arial" w:asciiTheme="minorEastAsia" w:hAnsiTheme="minorEastAsia"/>
          <w:sz w:val="28"/>
          <w:szCs w:val="28"/>
          <w:shd w:val="clear" w:color="auto" w:fill="F6F6F6"/>
        </w:rPr>
        <w:t>万元，</w:t>
      </w:r>
      <w:r>
        <w:rPr>
          <w:rFonts w:hint="eastAsia" w:cs="Arial" w:asciiTheme="minorEastAsia" w:hAnsiTheme="minorEastAsia"/>
          <w:sz w:val="28"/>
          <w:szCs w:val="28"/>
          <w:shd w:val="clear" w:color="auto" w:fill="F6F6F6"/>
        </w:rPr>
        <w:t>与</w:t>
      </w:r>
      <w:r>
        <w:rPr>
          <w:rFonts w:cs="Arial" w:asciiTheme="minorEastAsia" w:hAnsiTheme="minorEastAsia"/>
          <w:sz w:val="28"/>
          <w:szCs w:val="28"/>
          <w:shd w:val="clear" w:color="auto" w:fill="F6F6F6"/>
        </w:rPr>
        <w:t>201</w:t>
      </w:r>
      <w:r>
        <w:rPr>
          <w:rFonts w:hint="eastAsia" w:cs="Arial" w:asciiTheme="minorEastAsia" w:hAnsiTheme="minorEastAsia"/>
          <w:sz w:val="28"/>
          <w:szCs w:val="28"/>
          <w:shd w:val="clear" w:color="auto" w:fill="F6F6F6"/>
        </w:rPr>
        <w:t>9</w:t>
      </w:r>
      <w:r>
        <w:rPr>
          <w:rFonts w:cs="Arial" w:asciiTheme="minorEastAsia" w:hAnsiTheme="minorEastAsia"/>
          <w:sz w:val="28"/>
          <w:szCs w:val="28"/>
          <w:shd w:val="clear" w:color="auto" w:fill="F6F6F6"/>
        </w:rPr>
        <w:t>年预算</w:t>
      </w:r>
      <w:r>
        <w:rPr>
          <w:rFonts w:hint="eastAsia" w:cs="Arial" w:asciiTheme="minorEastAsia" w:hAnsiTheme="minorEastAsia"/>
          <w:sz w:val="28"/>
          <w:szCs w:val="28"/>
          <w:shd w:val="clear" w:color="auto" w:fill="F6F6F6"/>
        </w:rPr>
        <w:t>相同</w:t>
      </w:r>
      <w:r>
        <w:rPr>
          <w:rFonts w:cs="Arial" w:asciiTheme="minorEastAsia" w:hAnsiTheme="minorEastAsia"/>
          <w:sz w:val="28"/>
          <w:szCs w:val="28"/>
          <w:shd w:val="clear" w:color="auto" w:fill="F6F6F6"/>
        </w:rPr>
        <w:t>。 </w:t>
      </w:r>
    </w:p>
    <w:p>
      <w:pPr>
        <w:pStyle w:val="4"/>
        <w:widowControl/>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　　2、“三公”经费预算 </w:t>
      </w:r>
    </w:p>
    <w:p>
      <w:pPr>
        <w:pStyle w:val="4"/>
        <w:widowControl/>
        <w:spacing w:beforeAutospacing="0" w:afterAutospacing="0"/>
        <w:jc w:val="both"/>
        <w:rPr>
          <w:rFonts w:asciiTheme="minorEastAsia" w:hAnsiTheme="minorEastAsia"/>
          <w:sz w:val="28"/>
          <w:szCs w:val="28"/>
        </w:rPr>
      </w:pPr>
      <w:r>
        <w:rPr>
          <w:rFonts w:cs="Arial" w:asciiTheme="minorEastAsia" w:hAnsiTheme="minorEastAsia"/>
          <w:sz w:val="28"/>
          <w:szCs w:val="28"/>
          <w:shd w:val="clear" w:color="auto" w:fill="F6F6F6"/>
        </w:rPr>
        <w:t>　　</w:t>
      </w:r>
      <w:r>
        <w:rPr>
          <w:rFonts w:hint="eastAsia" w:cs="Arial" w:asciiTheme="minorEastAsia" w:hAnsiTheme="minorEastAsia"/>
          <w:sz w:val="28"/>
          <w:szCs w:val="28"/>
          <w:shd w:val="clear" w:color="auto" w:fill="F6F6F6"/>
        </w:rPr>
        <w:t>2020</w:t>
      </w:r>
      <w:r>
        <w:rPr>
          <w:rFonts w:cs="Arial" w:asciiTheme="minorEastAsia" w:hAnsiTheme="minorEastAsia"/>
          <w:sz w:val="28"/>
          <w:szCs w:val="28"/>
          <w:shd w:val="clear" w:color="auto" w:fill="F6F6F6"/>
        </w:rPr>
        <w:t>年“三公”经费预算数为</w:t>
      </w:r>
      <w:r>
        <w:rPr>
          <w:rFonts w:hint="eastAsia" w:cs="Arial" w:asciiTheme="minorEastAsia" w:hAnsiTheme="minorEastAsia"/>
          <w:sz w:val="28"/>
          <w:szCs w:val="28"/>
          <w:shd w:val="clear" w:color="auto" w:fill="F6F6F6"/>
        </w:rPr>
        <w:t>1.4</w:t>
      </w:r>
      <w:r>
        <w:rPr>
          <w:rFonts w:cs="Arial" w:asciiTheme="minorEastAsia" w:hAnsiTheme="minorEastAsia"/>
          <w:sz w:val="28"/>
          <w:szCs w:val="28"/>
          <w:shd w:val="clear" w:color="auto" w:fill="F6F6F6"/>
        </w:rPr>
        <w:t>万元，其中，公务接待费</w:t>
      </w:r>
      <w:r>
        <w:rPr>
          <w:rFonts w:hint="eastAsia" w:cs="Arial" w:asciiTheme="minorEastAsia" w:hAnsiTheme="minorEastAsia"/>
          <w:sz w:val="28"/>
          <w:szCs w:val="28"/>
          <w:shd w:val="clear" w:color="auto" w:fill="F6F6F6"/>
        </w:rPr>
        <w:t>0.5</w:t>
      </w:r>
      <w:r>
        <w:rPr>
          <w:rFonts w:cs="Arial" w:asciiTheme="minorEastAsia" w:hAnsiTheme="minorEastAsia"/>
          <w:sz w:val="28"/>
          <w:szCs w:val="28"/>
          <w:shd w:val="clear" w:color="auto" w:fill="F6F6F6"/>
        </w:rPr>
        <w:t>万元，</w:t>
      </w:r>
      <w:r>
        <w:rPr>
          <w:rFonts w:hint="eastAsia" w:cs="Arial" w:asciiTheme="minorEastAsia" w:hAnsiTheme="minorEastAsia"/>
          <w:sz w:val="28"/>
          <w:szCs w:val="28"/>
          <w:shd w:val="clear" w:color="auto" w:fill="F6F6F6"/>
          <w:lang w:eastAsia="zh-CN"/>
        </w:rPr>
        <w:t>公务用车购置费</w:t>
      </w:r>
      <w:r>
        <w:rPr>
          <w:rFonts w:hint="eastAsia" w:cs="Arial" w:asciiTheme="minorEastAsia" w:hAnsiTheme="minorEastAsia"/>
          <w:sz w:val="28"/>
          <w:szCs w:val="28"/>
          <w:shd w:val="clear" w:color="auto" w:fill="F6F6F6"/>
          <w:lang w:val="en-US" w:eastAsia="zh-CN"/>
        </w:rPr>
        <w:t>0.9万元，公务用车运行维护费0万元。</w:t>
      </w:r>
      <w:r>
        <w:rPr>
          <w:rFonts w:cs="Arial" w:asciiTheme="minorEastAsia" w:hAnsiTheme="minorEastAsia"/>
          <w:sz w:val="28"/>
          <w:szCs w:val="28"/>
          <w:shd w:val="clear" w:color="auto" w:fill="F6F6F6"/>
        </w:rPr>
        <w:t>20</w:t>
      </w:r>
      <w:r>
        <w:rPr>
          <w:rFonts w:hint="eastAsia" w:cs="Arial" w:asciiTheme="minorEastAsia" w:hAnsiTheme="minorEastAsia"/>
          <w:sz w:val="28"/>
          <w:szCs w:val="28"/>
          <w:shd w:val="clear" w:color="auto" w:fill="F6F6F6"/>
        </w:rPr>
        <w:t>20</w:t>
      </w:r>
      <w:r>
        <w:rPr>
          <w:rFonts w:cs="Arial" w:asciiTheme="minorEastAsia" w:hAnsiTheme="minorEastAsia"/>
          <w:sz w:val="28"/>
          <w:szCs w:val="28"/>
          <w:shd w:val="clear" w:color="auto" w:fill="F6F6F6"/>
        </w:rPr>
        <w:t>年“三公”经费预算较201</w:t>
      </w:r>
      <w:r>
        <w:rPr>
          <w:rFonts w:hint="eastAsia" w:cs="Arial" w:asciiTheme="minorEastAsia" w:hAnsiTheme="minorEastAsia"/>
          <w:sz w:val="28"/>
          <w:szCs w:val="28"/>
          <w:shd w:val="clear" w:color="auto" w:fill="F6F6F6"/>
        </w:rPr>
        <w:t>9</w:t>
      </w:r>
      <w:r>
        <w:rPr>
          <w:rFonts w:cs="Arial" w:asciiTheme="minorEastAsia" w:hAnsiTheme="minorEastAsia"/>
          <w:sz w:val="28"/>
          <w:szCs w:val="28"/>
          <w:shd w:val="clear" w:color="auto" w:fill="F6F6F6"/>
        </w:rPr>
        <w:t>年减少</w:t>
      </w:r>
      <w:r>
        <w:rPr>
          <w:rFonts w:hint="eastAsia" w:cs="Arial" w:asciiTheme="minorEastAsia" w:hAnsiTheme="minorEastAsia"/>
          <w:sz w:val="28"/>
          <w:szCs w:val="28"/>
          <w:shd w:val="clear" w:color="auto" w:fill="F6F6F6"/>
        </w:rPr>
        <w:t>0.1</w:t>
      </w:r>
      <w:r>
        <w:rPr>
          <w:rFonts w:cs="Arial" w:asciiTheme="minorEastAsia" w:hAnsiTheme="minorEastAsia"/>
          <w:sz w:val="28"/>
          <w:szCs w:val="28"/>
          <w:shd w:val="clear" w:color="auto" w:fill="F6F6F6"/>
        </w:rPr>
        <w:t>万元，主要是厉行节约，规范管理，进一步压缩三公经费。 </w:t>
      </w:r>
    </w:p>
    <w:p>
      <w:pPr>
        <w:pStyle w:val="4"/>
        <w:widowControl/>
        <w:spacing w:beforeAutospacing="0" w:afterAutospacing="0"/>
        <w:jc w:val="both"/>
        <w:rPr>
          <w:rFonts w:asciiTheme="minorEastAsia" w:hAnsiTheme="minorEastAsia"/>
          <w:sz w:val="28"/>
          <w:szCs w:val="28"/>
        </w:rPr>
      </w:pPr>
      <w:r>
        <w:rPr>
          <w:rFonts w:cs="Arial" w:asciiTheme="minorEastAsia" w:hAnsiTheme="minorEastAsia"/>
          <w:sz w:val="28"/>
          <w:szCs w:val="28"/>
          <w:shd w:val="clear" w:color="auto" w:fill="F6F6F6"/>
        </w:rPr>
        <w:t>　　3、政府采购情况 </w:t>
      </w:r>
    </w:p>
    <w:p>
      <w:pPr>
        <w:pStyle w:val="4"/>
        <w:widowControl/>
        <w:spacing w:beforeAutospacing="0" w:afterAutospacing="0"/>
        <w:jc w:val="both"/>
        <w:rPr>
          <w:rFonts w:asciiTheme="minorEastAsia" w:hAnsiTheme="minorEastAsia"/>
          <w:sz w:val="28"/>
          <w:szCs w:val="28"/>
        </w:rPr>
      </w:pPr>
      <w:r>
        <w:rPr>
          <w:rFonts w:cs="Arial" w:asciiTheme="minorEastAsia" w:hAnsiTheme="minorEastAsia"/>
          <w:sz w:val="28"/>
          <w:szCs w:val="28"/>
          <w:shd w:val="clear" w:color="auto" w:fill="F6F6F6"/>
        </w:rPr>
        <w:t>　　20</w:t>
      </w:r>
      <w:r>
        <w:rPr>
          <w:rFonts w:hint="eastAsia" w:cs="Arial" w:asciiTheme="minorEastAsia" w:hAnsiTheme="minorEastAsia"/>
          <w:sz w:val="28"/>
          <w:szCs w:val="28"/>
          <w:shd w:val="clear" w:color="auto" w:fill="F6F6F6"/>
        </w:rPr>
        <w:t>20</w:t>
      </w:r>
      <w:r>
        <w:rPr>
          <w:rFonts w:cs="Arial" w:asciiTheme="minorEastAsia" w:hAnsiTheme="minorEastAsia"/>
          <w:sz w:val="28"/>
          <w:szCs w:val="28"/>
          <w:shd w:val="clear" w:color="auto" w:fill="F6F6F6"/>
        </w:rPr>
        <w:t>年我</w:t>
      </w:r>
      <w:r>
        <w:rPr>
          <w:rFonts w:hint="eastAsia" w:cs="Arial" w:asciiTheme="minorEastAsia" w:hAnsiTheme="minorEastAsia"/>
          <w:sz w:val="28"/>
          <w:szCs w:val="28"/>
          <w:shd w:val="clear" w:color="auto" w:fill="F6F6F6"/>
        </w:rPr>
        <w:t>局</w:t>
      </w:r>
      <w:r>
        <w:rPr>
          <w:rFonts w:cs="Arial" w:asciiTheme="minorEastAsia" w:hAnsiTheme="minorEastAsia"/>
          <w:sz w:val="28"/>
          <w:szCs w:val="28"/>
          <w:shd w:val="clear" w:color="auto" w:fill="F6F6F6"/>
        </w:rPr>
        <w:t>政府采购预算总额</w:t>
      </w:r>
      <w:r>
        <w:rPr>
          <w:rFonts w:hint="eastAsia" w:cs="Arial" w:asciiTheme="minorEastAsia" w:hAnsiTheme="minorEastAsia"/>
          <w:sz w:val="28"/>
          <w:szCs w:val="28"/>
          <w:shd w:val="clear" w:color="auto" w:fill="F6F6F6"/>
        </w:rPr>
        <w:t>4</w:t>
      </w:r>
      <w:r>
        <w:rPr>
          <w:rFonts w:cs="Arial" w:asciiTheme="minorEastAsia" w:hAnsiTheme="minorEastAsia"/>
          <w:sz w:val="28"/>
          <w:szCs w:val="28"/>
          <w:shd w:val="clear" w:color="auto" w:fill="F6F6F6"/>
        </w:rPr>
        <w:t>万元，其中，政府采购货物预算</w:t>
      </w:r>
      <w:r>
        <w:rPr>
          <w:rFonts w:hint="eastAsia" w:cs="Arial" w:asciiTheme="minorEastAsia" w:hAnsiTheme="minorEastAsia"/>
          <w:sz w:val="28"/>
          <w:szCs w:val="28"/>
          <w:shd w:val="clear" w:color="auto" w:fill="F6F6F6"/>
        </w:rPr>
        <w:t>4</w:t>
      </w:r>
      <w:r>
        <w:rPr>
          <w:rFonts w:cs="Arial" w:asciiTheme="minorEastAsia" w:hAnsiTheme="minorEastAsia"/>
          <w:sz w:val="28"/>
          <w:szCs w:val="28"/>
          <w:shd w:val="clear" w:color="auto" w:fill="F6F6F6"/>
        </w:rPr>
        <w:t>万元。 </w:t>
      </w:r>
    </w:p>
    <w:p>
      <w:pPr>
        <w:pStyle w:val="4"/>
        <w:widowControl/>
        <w:numPr>
          <w:ilvl w:val="0"/>
          <w:numId w:val="1"/>
        </w:numPr>
        <w:spacing w:beforeAutospacing="0" w:afterAutospacing="0"/>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国有资产占用使用情况说明：</w:t>
      </w:r>
      <w:r>
        <w:rPr>
          <w:rFonts w:hint="eastAsia" w:cs="Arial" w:asciiTheme="minorEastAsia" w:hAnsiTheme="minorEastAsia"/>
          <w:sz w:val="28"/>
          <w:szCs w:val="28"/>
          <w:shd w:val="clear" w:color="auto" w:fill="F6F6F6"/>
        </w:rPr>
        <w:t>没有大型单价10万元以上固定资产。</w:t>
      </w:r>
    </w:p>
    <w:p>
      <w:pPr>
        <w:pStyle w:val="4"/>
        <w:widowControl/>
        <w:spacing w:beforeAutospacing="0" w:afterAutospacing="0"/>
        <w:jc w:val="both"/>
        <w:rPr>
          <w:rFonts w:asciiTheme="minorEastAsia" w:hAnsiTheme="minorEastAsia"/>
          <w:sz w:val="28"/>
          <w:szCs w:val="28"/>
        </w:rPr>
      </w:pPr>
      <w:r>
        <w:rPr>
          <w:rFonts w:cs="Arial" w:asciiTheme="minorEastAsia" w:hAnsiTheme="minorEastAsia"/>
          <w:sz w:val="28"/>
          <w:szCs w:val="28"/>
          <w:shd w:val="clear" w:color="auto" w:fill="F6F6F6"/>
        </w:rPr>
        <w:t>　　5、预算绩效目标说明：本部门整体支出和项目支出实行绩效目标管理，纳入</w:t>
      </w:r>
      <w:r>
        <w:rPr>
          <w:rFonts w:hint="eastAsia" w:cs="Arial" w:asciiTheme="minorEastAsia" w:hAnsiTheme="minorEastAsia"/>
          <w:sz w:val="28"/>
          <w:szCs w:val="28"/>
          <w:shd w:val="clear" w:color="auto" w:fill="F6F6F6"/>
        </w:rPr>
        <w:t>2020</w:t>
      </w:r>
      <w:r>
        <w:rPr>
          <w:rFonts w:cs="Arial" w:asciiTheme="minorEastAsia" w:hAnsiTheme="minorEastAsia"/>
          <w:sz w:val="28"/>
          <w:szCs w:val="28"/>
          <w:shd w:val="clear" w:color="auto" w:fill="F6F6F6"/>
        </w:rPr>
        <w:t>年部门整体支出绩效目标的金额为</w:t>
      </w:r>
      <w:r>
        <w:rPr>
          <w:rFonts w:hint="eastAsia" w:cs="Arial" w:asciiTheme="minorEastAsia" w:hAnsiTheme="minorEastAsia"/>
          <w:sz w:val="28"/>
          <w:szCs w:val="28"/>
          <w:shd w:val="clear" w:color="auto" w:fill="F6F6F6"/>
        </w:rPr>
        <w:t>84.96</w:t>
      </w:r>
      <w:r>
        <w:rPr>
          <w:rFonts w:cs="Arial" w:asciiTheme="minorEastAsia" w:hAnsiTheme="minorEastAsia"/>
          <w:sz w:val="28"/>
          <w:szCs w:val="28"/>
          <w:shd w:val="clear" w:color="auto" w:fill="F6F6F6"/>
        </w:rPr>
        <w:t>万元，其中，基本支出</w:t>
      </w:r>
      <w:r>
        <w:rPr>
          <w:rFonts w:hint="eastAsia" w:cs="Arial" w:asciiTheme="minorEastAsia" w:hAnsiTheme="minorEastAsia"/>
          <w:sz w:val="28"/>
          <w:szCs w:val="28"/>
          <w:shd w:val="clear" w:color="auto" w:fill="F6F6F6"/>
        </w:rPr>
        <w:t>52.96</w:t>
      </w:r>
      <w:r>
        <w:rPr>
          <w:rFonts w:cs="Arial" w:asciiTheme="minorEastAsia" w:hAnsiTheme="minorEastAsia"/>
          <w:sz w:val="28"/>
          <w:szCs w:val="28"/>
          <w:shd w:val="clear" w:color="auto" w:fill="F6F6F6"/>
        </w:rPr>
        <w:t>万元，项目支出</w:t>
      </w:r>
      <w:r>
        <w:rPr>
          <w:rFonts w:hint="eastAsia" w:cs="Arial" w:asciiTheme="minorEastAsia" w:hAnsiTheme="minorEastAsia"/>
          <w:sz w:val="28"/>
          <w:szCs w:val="28"/>
          <w:shd w:val="clear" w:color="auto" w:fill="F6F6F6"/>
        </w:rPr>
        <w:t>32</w:t>
      </w:r>
      <w:r>
        <w:rPr>
          <w:rFonts w:cs="Arial" w:asciiTheme="minorEastAsia" w:hAnsiTheme="minorEastAsia"/>
          <w:sz w:val="28"/>
          <w:szCs w:val="28"/>
          <w:shd w:val="clear" w:color="auto" w:fill="F6F6F6"/>
        </w:rPr>
        <w:t>万元。 </w:t>
      </w:r>
    </w:p>
    <w:p>
      <w:pPr>
        <w:pStyle w:val="4"/>
        <w:widowControl/>
        <w:spacing w:beforeAutospacing="0" w:afterAutospacing="0"/>
        <w:jc w:val="both"/>
        <w:rPr>
          <w:rFonts w:asciiTheme="minorEastAsia" w:hAnsiTheme="minorEastAsia"/>
          <w:sz w:val="28"/>
          <w:szCs w:val="28"/>
        </w:rPr>
      </w:pPr>
      <w:r>
        <w:rPr>
          <w:rFonts w:cs="Arial" w:asciiTheme="minorEastAsia" w:hAnsiTheme="minorEastAsia"/>
          <w:sz w:val="28"/>
          <w:szCs w:val="28"/>
          <w:shd w:val="clear" w:color="auto" w:fill="F6F6F6"/>
        </w:rPr>
        <w:t>　　</w:t>
      </w:r>
      <w:r>
        <w:rPr>
          <w:rFonts w:hint="eastAsia" w:cs="Arial" w:asciiTheme="minorEastAsia" w:hAnsiTheme="minorEastAsia"/>
          <w:sz w:val="28"/>
          <w:szCs w:val="28"/>
          <w:shd w:val="clear" w:color="auto" w:fill="F6F6F6"/>
          <w:lang w:eastAsia="zh-CN"/>
        </w:rPr>
        <w:t>七</w:t>
      </w:r>
      <w:r>
        <w:rPr>
          <w:rFonts w:cs="Arial" w:asciiTheme="minorEastAsia" w:hAnsiTheme="minorEastAsia"/>
          <w:sz w:val="28"/>
          <w:szCs w:val="28"/>
          <w:shd w:val="clear" w:color="auto" w:fill="F6F6F6"/>
        </w:rPr>
        <w:t>、名词解释 </w:t>
      </w:r>
    </w:p>
    <w:p>
      <w:pPr>
        <w:pStyle w:val="4"/>
        <w:widowControl/>
        <w:spacing w:beforeAutospacing="0" w:afterAutospacing="0"/>
        <w:jc w:val="both"/>
        <w:rPr>
          <w:rFonts w:asciiTheme="minorEastAsia" w:hAnsiTheme="minorEastAsia"/>
          <w:sz w:val="28"/>
          <w:szCs w:val="28"/>
        </w:rPr>
      </w:pPr>
      <w:r>
        <w:rPr>
          <w:rFonts w:cs="Arial" w:asciiTheme="minorEastAsia" w:hAnsiTheme="minorEastAsia"/>
          <w:sz w:val="28"/>
          <w:szCs w:val="28"/>
          <w:shd w:val="clear" w:color="auto" w:fill="F6F6F6"/>
        </w:rPr>
        <w:t>　　1、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pPr>
        <w:pStyle w:val="4"/>
        <w:widowControl/>
        <w:spacing w:beforeAutospacing="0" w:afterAutospacing="0"/>
        <w:ind w:firstLine="563"/>
        <w:jc w:val="both"/>
        <w:rPr>
          <w:rFonts w:cs="Arial" w:asciiTheme="minorEastAsia" w:hAnsiTheme="minorEastAsia"/>
          <w:sz w:val="28"/>
          <w:szCs w:val="28"/>
          <w:shd w:val="clear" w:color="auto" w:fill="F6F6F6"/>
        </w:rPr>
      </w:pPr>
      <w:r>
        <w:rPr>
          <w:rFonts w:cs="Arial" w:asciiTheme="minorEastAsia" w:hAnsiTheme="minorEastAsia"/>
          <w:sz w:val="28"/>
          <w:szCs w:val="28"/>
          <w:shd w:val="clear" w:color="auto" w:fill="F6F6F6"/>
        </w:rPr>
        <w:t>2、“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pPr>
        <w:pStyle w:val="4"/>
        <w:widowControl/>
        <w:spacing w:beforeAutospacing="0" w:afterAutospacing="0"/>
        <w:ind w:firstLine="563"/>
        <w:jc w:val="both"/>
        <w:rPr>
          <w:rFonts w:hint="eastAsia" w:cs="Arial" w:asciiTheme="minorEastAsia" w:hAnsiTheme="minorEastAsia"/>
          <w:sz w:val="28"/>
          <w:szCs w:val="28"/>
          <w:shd w:val="clear" w:color="auto" w:fill="F6F6F6"/>
        </w:rPr>
      </w:pPr>
    </w:p>
    <w:p>
      <w:pPr>
        <w:pStyle w:val="4"/>
        <w:widowControl/>
        <w:spacing w:beforeAutospacing="0" w:afterAutospacing="0"/>
        <w:ind w:firstLine="563"/>
        <w:jc w:val="both"/>
        <w:rPr>
          <w:rFonts w:hint="eastAsia" w:cs="Arial" w:asciiTheme="minorEastAsia" w:hAnsiTheme="minorEastAsia"/>
          <w:b/>
          <w:bCs/>
          <w:sz w:val="28"/>
          <w:szCs w:val="28"/>
          <w:shd w:val="clear" w:color="auto" w:fill="F6F6F6"/>
        </w:rPr>
      </w:pPr>
      <w:r>
        <w:rPr>
          <w:rFonts w:hint="eastAsia" w:cs="Arial" w:asciiTheme="minorEastAsia" w:hAnsiTheme="minorEastAsia"/>
          <w:b/>
          <w:bCs/>
          <w:sz w:val="28"/>
          <w:szCs w:val="28"/>
          <w:shd w:val="clear" w:color="auto" w:fill="F6F6F6"/>
        </w:rPr>
        <w:t>第二部分：公开表格</w:t>
      </w:r>
    </w:p>
    <w:p>
      <w:pPr>
        <w:pStyle w:val="4"/>
        <w:widowControl/>
        <w:spacing w:beforeAutospacing="0" w:afterAutospacing="0"/>
        <w:ind w:firstLine="563"/>
        <w:jc w:val="both"/>
        <w:rPr>
          <w:rFonts w:hint="eastAsia" w:cs="Arial" w:asciiTheme="minorEastAsia" w:hAnsiTheme="minorEastAsia"/>
          <w:sz w:val="28"/>
          <w:szCs w:val="28"/>
          <w:shd w:val="clear" w:color="auto" w:fill="F6F6F6"/>
        </w:rPr>
      </w:pPr>
      <w:r>
        <w:rPr>
          <w:rFonts w:hint="eastAsia" w:cs="Arial" w:asciiTheme="minorEastAsia" w:hAnsiTheme="minorEastAsia"/>
          <w:sz w:val="28"/>
          <w:szCs w:val="28"/>
          <w:shd w:val="clear" w:color="auto" w:fill="F6F6F6"/>
        </w:rPr>
        <w:t>附件：</w:t>
      </w:r>
      <w:r>
        <w:rPr>
          <w:rFonts w:hint="eastAsia" w:cs="Arial" w:asciiTheme="minorEastAsia" w:hAnsiTheme="minorEastAsia"/>
          <w:sz w:val="28"/>
          <w:szCs w:val="28"/>
          <w:shd w:val="clear" w:color="auto" w:fill="F6F6F6"/>
          <w:lang w:eastAsia="zh-CN"/>
        </w:rPr>
        <w:t>衡南县气象局</w:t>
      </w:r>
      <w:r>
        <w:rPr>
          <w:rFonts w:hint="eastAsia" w:cs="Arial" w:asciiTheme="minorEastAsia" w:hAnsiTheme="minorEastAsia"/>
          <w:sz w:val="28"/>
          <w:szCs w:val="28"/>
          <w:shd w:val="clear" w:color="auto" w:fill="F6F6F6"/>
        </w:rPr>
        <w:t>2020年预算公</w:t>
      </w:r>
      <w:bookmarkStart w:id="0" w:name="_GoBack"/>
      <w:bookmarkEnd w:id="0"/>
      <w:r>
        <w:rPr>
          <w:rFonts w:hint="eastAsia" w:cs="Arial" w:asciiTheme="minorEastAsia" w:hAnsiTheme="minorEastAsia"/>
          <w:sz w:val="28"/>
          <w:szCs w:val="28"/>
          <w:shd w:val="clear" w:color="auto" w:fill="F6F6F6"/>
        </w:rPr>
        <w:t>开表 -（25张表）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9E5EC"/>
    <w:multiLevelType w:val="singleLevel"/>
    <w:tmpl w:val="A3B9E5EC"/>
    <w:lvl w:ilvl="0" w:tentative="0">
      <w:start w:val="4"/>
      <w:numFmt w:val="decimal"/>
      <w:suff w:val="nothing"/>
      <w:lvlText w:val="%1、"/>
      <w:lvlJc w:val="left"/>
      <w:pPr>
        <w:ind w:left="48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D48A1"/>
    <w:rsid w:val="0001012E"/>
    <w:rsid w:val="00045C6B"/>
    <w:rsid w:val="00081B0A"/>
    <w:rsid w:val="000D466A"/>
    <w:rsid w:val="000E349D"/>
    <w:rsid w:val="001011F5"/>
    <w:rsid w:val="00112D55"/>
    <w:rsid w:val="001476EA"/>
    <w:rsid w:val="0015356E"/>
    <w:rsid w:val="001E6E05"/>
    <w:rsid w:val="00293BE0"/>
    <w:rsid w:val="00457CD9"/>
    <w:rsid w:val="004A0D29"/>
    <w:rsid w:val="00557C5A"/>
    <w:rsid w:val="00566580"/>
    <w:rsid w:val="005D48A1"/>
    <w:rsid w:val="006B1DDC"/>
    <w:rsid w:val="006B7234"/>
    <w:rsid w:val="007257E5"/>
    <w:rsid w:val="00755764"/>
    <w:rsid w:val="007B18F7"/>
    <w:rsid w:val="00815FEC"/>
    <w:rsid w:val="00963E3E"/>
    <w:rsid w:val="00980389"/>
    <w:rsid w:val="009A1F60"/>
    <w:rsid w:val="009C247D"/>
    <w:rsid w:val="00A163E0"/>
    <w:rsid w:val="00AF5D61"/>
    <w:rsid w:val="00B86F4C"/>
    <w:rsid w:val="00BE04D8"/>
    <w:rsid w:val="00C56649"/>
    <w:rsid w:val="00D102B7"/>
    <w:rsid w:val="00E13274"/>
    <w:rsid w:val="00E61FCA"/>
    <w:rsid w:val="00ED00BC"/>
    <w:rsid w:val="19C67AA9"/>
    <w:rsid w:val="1DE51EEE"/>
    <w:rsid w:val="1E4A4330"/>
    <w:rsid w:val="22897183"/>
    <w:rsid w:val="352469E0"/>
    <w:rsid w:val="3918481D"/>
    <w:rsid w:val="4FB423E8"/>
    <w:rsid w:val="5C6B397B"/>
    <w:rsid w:val="60B673E6"/>
    <w:rsid w:val="69F83A72"/>
    <w:rsid w:val="6DAF074F"/>
    <w:rsid w:val="6F41331D"/>
    <w:rsid w:val="705D23E2"/>
    <w:rsid w:val="7BF36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0" w:name="HTML Keyboard"/>
    <w:lsdException w:uiPriority="0" w:name="HTML Preformatted"/>
    <w:lsdException w:uiPriority="0" w:name="HTML Sample"/>
    <w:lsdException w:uiPriority="0" w:name="HTML Typewriter"/>
    <w:lsdException w:qFormat="1"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7"/>
    <w:qFormat/>
    <w:uiPriority w:val="0"/>
    <w:pPr>
      <w:tabs>
        <w:tab w:val="center" w:pos="4153"/>
        <w:tab w:val="right" w:pos="8306"/>
      </w:tabs>
      <w:snapToGrid w:val="0"/>
      <w:jc w:val="left"/>
    </w:pPr>
    <w:rPr>
      <w:sz w:val="18"/>
      <w:szCs w:val="18"/>
    </w:rPr>
  </w:style>
  <w:style w:type="paragraph" w:styleId="3">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FollowedHyperlink"/>
    <w:basedOn w:val="6"/>
    <w:qFormat/>
    <w:uiPriority w:val="0"/>
    <w:rPr>
      <w:color w:val="333333"/>
      <w:u w:val="none"/>
    </w:rPr>
  </w:style>
  <w:style w:type="character" w:styleId="8">
    <w:name w:val="Emphasis"/>
    <w:basedOn w:val="6"/>
    <w:qFormat/>
    <w:uiPriority w:val="0"/>
  </w:style>
  <w:style w:type="character" w:styleId="9">
    <w:name w:val="HTML Definition"/>
    <w:basedOn w:val="6"/>
    <w:qFormat/>
    <w:uiPriority w:val="0"/>
  </w:style>
  <w:style w:type="character" w:styleId="10">
    <w:name w:val="HTML Acronym"/>
    <w:basedOn w:val="6"/>
    <w:qFormat/>
    <w:uiPriority w:val="0"/>
  </w:style>
  <w:style w:type="character" w:styleId="11">
    <w:name w:val="HTML Variable"/>
    <w:basedOn w:val="6"/>
    <w:qFormat/>
    <w:uiPriority w:val="0"/>
  </w:style>
  <w:style w:type="character" w:styleId="12">
    <w:name w:val="Hyperlink"/>
    <w:basedOn w:val="6"/>
    <w:qFormat/>
    <w:uiPriority w:val="0"/>
    <w:rPr>
      <w:color w:val="333333"/>
      <w:u w:val="none"/>
    </w:rPr>
  </w:style>
  <w:style w:type="character" w:styleId="13">
    <w:name w:val="HTML Code"/>
    <w:basedOn w:val="6"/>
    <w:qFormat/>
    <w:uiPriority w:val="0"/>
    <w:rPr>
      <w:rFonts w:ascii="Courier New" w:hAnsi="Courier New"/>
      <w:sz w:val="20"/>
    </w:rPr>
  </w:style>
  <w:style w:type="character" w:styleId="14">
    <w:name w:val="HTML Cite"/>
    <w:basedOn w:val="6"/>
    <w:qFormat/>
    <w:uiPriority w:val="0"/>
  </w:style>
  <w:style w:type="character" w:customStyle="1" w:styleId="15">
    <w:name w:val="hj-easyread-speakerprocesser-position-action-icon"/>
    <w:basedOn w:val="6"/>
    <w:qFormat/>
    <w:uiPriority w:val="0"/>
  </w:style>
  <w:style w:type="character" w:customStyle="1" w:styleId="16">
    <w:name w:val="页眉 字符"/>
    <w:basedOn w:val="6"/>
    <w:link w:val="3"/>
    <w:qFormat/>
    <w:uiPriority w:val="0"/>
    <w:rPr>
      <w:rFonts w:asciiTheme="minorHAnsi" w:hAnsiTheme="minorHAnsi" w:eastAsiaTheme="minorEastAsia" w:cstheme="minorBidi"/>
      <w:kern w:val="2"/>
      <w:sz w:val="18"/>
      <w:szCs w:val="18"/>
    </w:rPr>
  </w:style>
  <w:style w:type="character" w:customStyle="1" w:styleId="17">
    <w:name w:val="页脚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435</Words>
  <Characters>2482</Characters>
  <Lines>20</Lines>
  <Paragraphs>5</Paragraphs>
  <TotalTime>2</TotalTime>
  <ScaleCrop>false</ScaleCrop>
  <LinksUpToDate>false</LinksUpToDate>
  <CharactersWithSpaces>2912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2019-06-10T07:27:00Z</dcterms:created>
  <dc:creator>Administrator</dc:creator>
  <cp:lastModifiedBy>Administrator</cp:lastModifiedBy>
  <dcterms:modified xsi:type="dcterms:W3CDTF">2021-06-25T03:13:47Z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18DA07EBB5B64237A9ABC9519846CBBB</vt:lpwstr>
  </property>
</Properties>
</file>